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EA9A" w14:textId="1F5DBF7E" w:rsidR="00915AB9" w:rsidRPr="00915AB9" w:rsidRDefault="00915AB9" w:rsidP="00915AB9">
      <w:r w:rsidRPr="00915AB9">
        <mc:AlternateContent>
          <mc:Choice Requires="wps">
            <w:drawing>
              <wp:inline distT="0" distB="0" distL="0" distR="0" wp14:anchorId="68A4767D" wp14:editId="2CEEA4C2">
                <wp:extent cx="304800" cy="304800"/>
                <wp:effectExtent l="0" t="0" r="0" b="0"/>
                <wp:docPr id="962217036" name="Rectangle 4" descr="User-ad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0FB3E" id="Rectangle 4" o:spid="_x0000_s1026" alt="User-add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15AB9">
        <mc:AlternateContent>
          <mc:Choice Requires="wps">
            <w:drawing>
              <wp:inline distT="0" distB="0" distL="0" distR="0" wp14:anchorId="08629B6A" wp14:editId="164D28E6">
                <wp:extent cx="304800" cy="304800"/>
                <wp:effectExtent l="0" t="0" r="0" b="0"/>
                <wp:docPr id="32645655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8EEFC"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15AB9">
        <w:t xml:space="preserve"> </w:t>
      </w:r>
      <w:r>
        <w:rPr>
          <w:noProof/>
        </w:rPr>
        <mc:AlternateContent>
          <mc:Choice Requires="wps">
            <w:drawing>
              <wp:inline distT="0" distB="0" distL="0" distR="0" wp14:anchorId="216286D5" wp14:editId="75E64E7B">
                <wp:extent cx="301625" cy="301625"/>
                <wp:effectExtent l="0" t="0" r="0" b="0"/>
                <wp:docPr id="1230245978" name="Rectangle 5" descr="User-ad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1128A" id="Rectangle 5" o:spid="_x0000_s1026" alt="User-added image"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0161D1DA" w14:textId="2B680B43" w:rsidR="00915AB9" w:rsidRPr="00915AB9" w:rsidRDefault="00915AB9" w:rsidP="00915AB9">
      <w:pPr>
        <w:rPr>
          <w:bCs w:val="0"/>
        </w:rPr>
      </w:pPr>
      <w:r w:rsidRPr="00915AB9">
        <w:br/>
      </w:r>
      <w:r>
        <w:rPr>
          <w:bCs w:val="0"/>
          <w:noProof/>
        </w:rPr>
        <w:drawing>
          <wp:inline distT="0" distB="0" distL="0" distR="0" wp14:anchorId="74CE5A90" wp14:editId="4962F687">
            <wp:extent cx="6482831" cy="4323997"/>
            <wp:effectExtent l="0" t="0" r="0" b="635"/>
            <wp:docPr id="10750078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7935" cy="4354081"/>
                    </a:xfrm>
                    <a:prstGeom prst="rect">
                      <a:avLst/>
                    </a:prstGeom>
                    <a:noFill/>
                  </pic:spPr>
                </pic:pic>
              </a:graphicData>
            </a:graphic>
          </wp:inline>
        </w:drawing>
      </w:r>
    </w:p>
    <w:p w14:paraId="3A64FF85" w14:textId="6A881385" w:rsidR="00915AB9" w:rsidRPr="00915AB9" w:rsidRDefault="00915AB9" w:rsidP="00915AB9">
      <w:r w:rsidRPr="00915AB9">
        <w:rPr>
          <w:b/>
        </w:rPr>
        <w:t>Introduction</w:t>
      </w:r>
      <w:r w:rsidRPr="00915AB9">
        <w:br/>
      </w:r>
      <w:r w:rsidRPr="00915AB9">
        <w:br/>
        <w:t>Created in 1981, the Idaho Regional Travel and Convention Grant Program is funded through a 2% tax on the sales of hotels, motels, and private campground accommodations. Total collections are disbursed as follows:</w:t>
      </w:r>
    </w:p>
    <w:p w14:paraId="4FAB6888" w14:textId="77777777" w:rsidR="00915AB9" w:rsidRPr="00915AB9" w:rsidRDefault="00915AB9" w:rsidP="00915AB9">
      <w:pPr>
        <w:numPr>
          <w:ilvl w:val="0"/>
          <w:numId w:val="1"/>
        </w:numPr>
      </w:pPr>
      <w:r w:rsidRPr="00915AB9">
        <w:t xml:space="preserve">10% </w:t>
      </w:r>
      <w:proofErr w:type="gramStart"/>
      <w:r w:rsidRPr="00915AB9">
        <w:t>to</w:t>
      </w:r>
      <w:proofErr w:type="gramEnd"/>
      <w:r w:rsidRPr="00915AB9">
        <w:t xml:space="preserve"> the administration of the program</w:t>
      </w:r>
    </w:p>
    <w:p w14:paraId="7DD613BA" w14:textId="77777777" w:rsidR="00915AB9" w:rsidRPr="00915AB9" w:rsidRDefault="00915AB9" w:rsidP="00915AB9">
      <w:pPr>
        <w:numPr>
          <w:ilvl w:val="0"/>
          <w:numId w:val="1"/>
        </w:numPr>
      </w:pPr>
      <w:r w:rsidRPr="00915AB9">
        <w:t> 45% to fund travel promotion statewide</w:t>
      </w:r>
    </w:p>
    <w:p w14:paraId="18BFBD1C" w14:textId="77777777" w:rsidR="00915AB9" w:rsidRPr="00915AB9" w:rsidRDefault="00915AB9" w:rsidP="00915AB9">
      <w:pPr>
        <w:numPr>
          <w:ilvl w:val="0"/>
          <w:numId w:val="1"/>
        </w:numPr>
      </w:pPr>
      <w:r w:rsidRPr="00915AB9">
        <w:t> 45% to grants within the region it was collected</w:t>
      </w:r>
    </w:p>
    <w:p w14:paraId="0EC69C70" w14:textId="77777777" w:rsidR="00915AB9" w:rsidRPr="00915AB9" w:rsidRDefault="00915AB9" w:rsidP="00915AB9">
      <w:r w:rsidRPr="00915AB9">
        <w:br/>
        <w:t xml:space="preserve">The Idaho Travel Council (ITC) oversees the grant program which distributes funds to non-profit, incorporated organizations which have a primary purpose of tourism promotion through a </w:t>
      </w:r>
      <w:r w:rsidRPr="00915AB9">
        <w:lastRenderedPageBreak/>
        <w:t>viable travel or convention marketing program. The ITC has the goal of promoting the State of Idaho and the designated travel regions within the state through:</w:t>
      </w:r>
    </w:p>
    <w:p w14:paraId="746C302D" w14:textId="77777777" w:rsidR="00915AB9" w:rsidRPr="00915AB9" w:rsidRDefault="00915AB9" w:rsidP="00915AB9">
      <w:pPr>
        <w:numPr>
          <w:ilvl w:val="0"/>
          <w:numId w:val="2"/>
        </w:numPr>
      </w:pPr>
      <w:r w:rsidRPr="00915AB9">
        <w:t>Meaningful programs to develop and promote scenic attractions and tourism assets of the state.</w:t>
      </w:r>
    </w:p>
    <w:p w14:paraId="75813717" w14:textId="77777777" w:rsidR="00915AB9" w:rsidRPr="00915AB9" w:rsidRDefault="00915AB9" w:rsidP="00915AB9">
      <w:pPr>
        <w:numPr>
          <w:ilvl w:val="0"/>
          <w:numId w:val="2"/>
        </w:numPr>
      </w:pPr>
      <w:r w:rsidRPr="00915AB9">
        <w:t>Return on Investment, validated through reporting, that the implemented marketing plan is the best use of marketing dollars to achieve overnight stays.</w:t>
      </w:r>
    </w:p>
    <w:p w14:paraId="792B5A39" w14:textId="77777777" w:rsidR="00915AB9" w:rsidRPr="00915AB9" w:rsidRDefault="00915AB9" w:rsidP="00915AB9">
      <w:pPr>
        <w:numPr>
          <w:ilvl w:val="0"/>
          <w:numId w:val="2"/>
        </w:numPr>
      </w:pPr>
      <w:r w:rsidRPr="00915AB9">
        <w:t>Use of cooperative marketing opportunities to leverage budget and market penetration.</w:t>
      </w:r>
    </w:p>
    <w:p w14:paraId="0F313A11" w14:textId="77777777" w:rsidR="00915AB9" w:rsidRPr="00915AB9" w:rsidRDefault="00915AB9" w:rsidP="00915AB9">
      <w:pPr>
        <w:numPr>
          <w:ilvl w:val="0"/>
          <w:numId w:val="2"/>
        </w:numPr>
      </w:pPr>
      <w:r w:rsidRPr="00915AB9">
        <w:t>Collaboration and consolidation of the marketing plan with partners to align strategies and leverage consistent messaging.</w:t>
      </w:r>
    </w:p>
    <w:p w14:paraId="6E8D4D4E" w14:textId="77777777" w:rsidR="00915AB9" w:rsidRPr="00915AB9" w:rsidRDefault="00915AB9" w:rsidP="00915AB9">
      <w:pPr>
        <w:numPr>
          <w:ilvl w:val="0"/>
          <w:numId w:val="2"/>
        </w:numPr>
      </w:pPr>
      <w:r w:rsidRPr="00915AB9">
        <w:t xml:space="preserve">Electronic and social media opportunities that </w:t>
      </w:r>
      <w:proofErr w:type="gramStart"/>
      <w:r w:rsidRPr="00915AB9">
        <w:t>have the ability to</w:t>
      </w:r>
      <w:proofErr w:type="gramEnd"/>
      <w:r w:rsidRPr="00915AB9">
        <w:t xml:space="preserve"> target a broader market base or specific niche audiences.</w:t>
      </w:r>
    </w:p>
    <w:p w14:paraId="3DDB8CD7" w14:textId="77777777" w:rsidR="00915AB9" w:rsidRPr="00915AB9" w:rsidRDefault="00915AB9" w:rsidP="00915AB9">
      <w:r w:rsidRPr="00915AB9">
        <w:br/>
      </w:r>
      <w:r w:rsidRPr="00915AB9">
        <w:rPr>
          <w:b/>
        </w:rPr>
        <w:t>Application Schedule</w:t>
      </w:r>
      <w:r w:rsidRPr="00915AB9">
        <w:br/>
        <w:t>February 2, 2026:  Application Open</w:t>
      </w:r>
      <w:r w:rsidRPr="00915AB9">
        <w:br/>
        <w:t xml:space="preserve">March 30, 2026:  Application Close </w:t>
      </w:r>
      <w:r w:rsidRPr="00915AB9">
        <w:rPr>
          <w:b/>
          <w:i/>
          <w:iCs/>
        </w:rPr>
        <w:t>Due</w:t>
      </w:r>
      <w:r w:rsidRPr="00915AB9">
        <w:rPr>
          <w:i/>
          <w:iCs/>
        </w:rPr>
        <w:t> </w:t>
      </w:r>
      <w:r w:rsidRPr="00915AB9">
        <w:rPr>
          <w:b/>
          <w:i/>
          <w:iCs/>
        </w:rPr>
        <w:t>4:30 pm MDT</w:t>
      </w:r>
      <w:r w:rsidRPr="00915AB9">
        <w:br/>
        <w:t>May 7 - May 8, 2026: Grant Presentations to Council</w:t>
      </w:r>
      <w:r w:rsidRPr="00915AB9">
        <w:br/>
        <w:t>May 9, 2026: Application Re-Open for Edits</w:t>
      </w:r>
      <w:r w:rsidRPr="00915AB9">
        <w:br/>
        <w:t xml:space="preserve">June 5, 2026: Application Close </w:t>
      </w:r>
      <w:r w:rsidRPr="00915AB9">
        <w:rPr>
          <w:b/>
          <w:i/>
          <w:iCs/>
        </w:rPr>
        <w:t>Due</w:t>
      </w:r>
      <w:r w:rsidRPr="00915AB9">
        <w:rPr>
          <w:b/>
        </w:rPr>
        <w:t xml:space="preserve"> </w:t>
      </w:r>
      <w:r w:rsidRPr="00915AB9">
        <w:rPr>
          <w:b/>
          <w:i/>
          <w:iCs/>
        </w:rPr>
        <w:t>4:30 pm MDT</w:t>
      </w:r>
      <w:r w:rsidRPr="00915AB9">
        <w:br/>
        <w:t>July 29-30, 2026: Grant Awards</w:t>
      </w:r>
      <w:r w:rsidRPr="00915AB9">
        <w:br/>
      </w:r>
      <w:r w:rsidRPr="00915AB9">
        <w:br/>
      </w:r>
      <w:r w:rsidRPr="00915AB9">
        <w:rPr>
          <w:b/>
        </w:rPr>
        <w:t>Mandatory Use Templates </w:t>
      </w:r>
      <w:r w:rsidRPr="00915AB9">
        <w:br/>
        <w:t>The following templates must be used with the grant application: </w:t>
      </w:r>
    </w:p>
    <w:p w14:paraId="2AB6F657" w14:textId="77777777" w:rsidR="00915AB9" w:rsidRPr="00915AB9" w:rsidRDefault="00915AB9" w:rsidP="00915AB9">
      <w:hyperlink r:id="rId6" w:tgtFrame="_blank" w:history="1">
        <w:r w:rsidRPr="00915AB9">
          <w:rPr>
            <w:rStyle w:val="Hyperlink"/>
            <w:b/>
          </w:rPr>
          <w:t>ITC Budget Detail Spreadsheet</w:t>
        </w:r>
      </w:hyperlink>
      <w:r w:rsidRPr="00915AB9">
        <w:br/>
      </w:r>
      <w:hyperlink r:id="rId7" w:tgtFrame="_blank" w:history="1">
        <w:r w:rsidRPr="00915AB9">
          <w:rPr>
            <w:rStyle w:val="Hyperlink"/>
            <w:b/>
          </w:rPr>
          <w:t>Cash Match – Applicant Cash Reserves Letter</w:t>
        </w:r>
      </w:hyperlink>
      <w:r w:rsidRPr="00915AB9">
        <w:rPr>
          <w:b/>
        </w:rPr>
        <w:br/>
      </w:r>
      <w:hyperlink r:id="rId8" w:tgtFrame="_blank" w:history="1">
        <w:r w:rsidRPr="00915AB9">
          <w:rPr>
            <w:rStyle w:val="Hyperlink"/>
            <w:b/>
          </w:rPr>
          <w:t>Cash Match – Partner Match Letter</w:t>
        </w:r>
      </w:hyperlink>
      <w:hyperlink r:id="rId9" w:tgtFrame="_blank" w:history="1">
        <w:r w:rsidRPr="00915AB9">
          <w:rPr>
            <w:rStyle w:val="Hyperlink"/>
            <w:b/>
          </w:rPr>
          <w:t>​​​​​​</w:t>
        </w:r>
      </w:hyperlink>
      <w:r w:rsidRPr="00915AB9">
        <w:rPr>
          <w:b/>
        </w:rPr>
        <w:br/>
      </w:r>
      <w:hyperlink r:id="rId10" w:tgtFrame="_blank" w:history="1">
        <w:r w:rsidRPr="00915AB9">
          <w:rPr>
            <w:rStyle w:val="Hyperlink"/>
            <w:b/>
          </w:rPr>
          <w:t>Cash Match - Estimated Wages as Match</w:t>
        </w:r>
      </w:hyperlink>
      <w:r w:rsidRPr="00915AB9">
        <w:rPr>
          <w:b/>
        </w:rPr>
        <w:br/>
      </w:r>
      <w:hyperlink r:id="rId11" w:tgtFrame="_blank" w:history="1">
        <w:r w:rsidRPr="00915AB9">
          <w:rPr>
            <w:rStyle w:val="Hyperlink"/>
            <w:b/>
          </w:rPr>
          <w:t>Procurement Exemption Request</w:t>
        </w:r>
      </w:hyperlink>
    </w:p>
    <w:p w14:paraId="4815201A" w14:textId="77777777" w:rsidR="00915AB9" w:rsidRPr="00915AB9" w:rsidRDefault="00915AB9" w:rsidP="00915AB9">
      <w:r w:rsidRPr="00915AB9">
        <w:br/>
      </w:r>
      <w:r w:rsidRPr="00915AB9">
        <w:rPr>
          <w:b/>
        </w:rPr>
        <w:t>Mandatory Review </w:t>
      </w:r>
      <w:r w:rsidRPr="00915AB9">
        <w:br/>
        <w:t>The following ITC Handbook must be reviewed before grant application.</w:t>
      </w:r>
    </w:p>
    <w:p w14:paraId="6D7D5DA2" w14:textId="77777777" w:rsidR="00915AB9" w:rsidRPr="00915AB9" w:rsidRDefault="00915AB9" w:rsidP="00915AB9">
      <w:hyperlink r:id="rId12" w:tgtFrame="_blank" w:history="1">
        <w:r w:rsidRPr="00915AB9">
          <w:rPr>
            <w:rStyle w:val="Hyperlink"/>
          </w:rPr>
          <w:t>ITC Handbook</w:t>
        </w:r>
      </w:hyperlink>
    </w:p>
    <w:p w14:paraId="7D7E0808" w14:textId="77777777" w:rsidR="00915AB9" w:rsidRPr="00915AB9" w:rsidRDefault="00915AB9" w:rsidP="00915AB9">
      <w:r w:rsidRPr="00915AB9">
        <w:br/>
      </w:r>
      <w:r w:rsidRPr="00915AB9">
        <w:rPr>
          <w:b/>
        </w:rPr>
        <w:t>Available Funds</w:t>
      </w:r>
      <w:r w:rsidRPr="00915AB9">
        <w:t> </w:t>
      </w:r>
      <w:r w:rsidRPr="00915AB9">
        <w:br/>
      </w:r>
      <w:r w:rsidRPr="00915AB9">
        <w:lastRenderedPageBreak/>
        <w:t xml:space="preserve">The availability of grant funds is driven by the 2% tax collection of each region, which is reported by the Idaho State Tax Commission and finalized in July of each state fiscal year. The maximum </w:t>
      </w:r>
      <w:proofErr w:type="gramStart"/>
      <w:r w:rsidRPr="00915AB9">
        <w:t>award</w:t>
      </w:r>
      <w:proofErr w:type="gramEnd"/>
      <w:r w:rsidRPr="00915AB9">
        <w:t xml:space="preserve"> for any grant is the total amount available to the region. Applicants should request adequate funding to implement the proposed marketing plan. </w:t>
      </w:r>
      <w:r w:rsidRPr="00915AB9">
        <w:br/>
      </w:r>
      <w:r w:rsidRPr="00915AB9">
        <w:br/>
      </w:r>
      <w:r w:rsidRPr="00915AB9">
        <w:rPr>
          <w:b/>
        </w:rPr>
        <w:t>Eligible Applicants</w:t>
      </w:r>
      <w:r w:rsidRPr="00915AB9">
        <w:br/>
        <w:t xml:space="preserve">The application is regionally competitive and open to non-profit, incorporated organizations that have in place a viable travel or convention program in their region. Applicant organizations that can demonstrate they represent the entire state may apply for multi-regional funding and will have funds dispersed </w:t>
      </w:r>
      <w:proofErr w:type="gramStart"/>
      <w:r w:rsidRPr="00915AB9">
        <w:t>per</w:t>
      </w:r>
      <w:proofErr w:type="gramEnd"/>
      <w:r w:rsidRPr="00915AB9">
        <w:t xml:space="preserve"> the ITC Council from their respective regional buckets. Eligible applicants must show they have a goal-oriented plan for travel and/or convention promotion and demonstrate adequate resources to carry out the marketing plan, operate and maintain a financial management plan, as well as the ability to administer the requirements of the grant.  Preference is given to programs of Destination Marketing Organizations (DMOs) that have a primary focus on promoting overnight visits to their region. Repeat applicants must be in good standing as determined by the Department and the ITC. Past grant </w:t>
      </w:r>
      <w:proofErr w:type="gramStart"/>
      <w:r w:rsidRPr="00915AB9">
        <w:t>performance</w:t>
      </w:r>
      <w:proofErr w:type="gramEnd"/>
      <w:r w:rsidRPr="00915AB9">
        <w:t xml:space="preserve"> including grant management and execution of the marketing agreement will be considered when evaluating applications. </w:t>
      </w:r>
      <w:r w:rsidRPr="00915AB9">
        <w:br/>
      </w:r>
      <w:r w:rsidRPr="00915AB9">
        <w:br/>
      </w:r>
      <w:r w:rsidRPr="00915AB9">
        <w:rPr>
          <w:b/>
        </w:rPr>
        <w:t>Eligible Costs</w:t>
      </w:r>
      <w:r w:rsidRPr="00915AB9">
        <w:br/>
        <w:t>Marketing plans must promote the marketing, study, research, analysis, and development of Idaho’s travel and convention industry with a focus on drawing overnight visitors to the area that are beyond a 2-hour drive from the applicant’s immediate area. Subject to ITC approval, eligible costs include the following travel and tourism categories:</w:t>
      </w:r>
    </w:p>
    <w:p w14:paraId="67072898" w14:textId="77777777" w:rsidR="00915AB9" w:rsidRPr="00915AB9" w:rsidRDefault="00915AB9" w:rsidP="00915AB9">
      <w:pPr>
        <w:numPr>
          <w:ilvl w:val="0"/>
          <w:numId w:val="3"/>
        </w:numPr>
      </w:pPr>
      <w:r w:rsidRPr="00915AB9">
        <w:t>Advertising; including print, television, radio, website, social media, cooperative advertising, direct marketing, email campaigns, and collateral material production.  </w:t>
      </w:r>
    </w:p>
    <w:p w14:paraId="18AD3BA5" w14:textId="77777777" w:rsidR="00915AB9" w:rsidRPr="00915AB9" w:rsidRDefault="00915AB9" w:rsidP="00915AB9">
      <w:pPr>
        <w:numPr>
          <w:ilvl w:val="0"/>
          <w:numId w:val="3"/>
        </w:numPr>
      </w:pPr>
      <w:r w:rsidRPr="00915AB9">
        <w:t>Familiarization (FAM) tours and site visits</w:t>
      </w:r>
    </w:p>
    <w:p w14:paraId="48D5D60C" w14:textId="77777777" w:rsidR="00915AB9" w:rsidRPr="00915AB9" w:rsidRDefault="00915AB9" w:rsidP="00915AB9">
      <w:pPr>
        <w:numPr>
          <w:ilvl w:val="0"/>
          <w:numId w:val="3"/>
        </w:numPr>
      </w:pPr>
      <w:r w:rsidRPr="00915AB9">
        <w:t>Sponsorship of major events and other partnerships</w:t>
      </w:r>
    </w:p>
    <w:p w14:paraId="4E817189" w14:textId="77777777" w:rsidR="00915AB9" w:rsidRPr="00915AB9" w:rsidRDefault="00915AB9" w:rsidP="00915AB9">
      <w:pPr>
        <w:numPr>
          <w:ilvl w:val="0"/>
          <w:numId w:val="3"/>
        </w:numPr>
      </w:pPr>
      <w:r w:rsidRPr="00915AB9">
        <w:t>Trade shows, conferences, and associated travel costs</w:t>
      </w:r>
    </w:p>
    <w:p w14:paraId="56ED732E" w14:textId="77777777" w:rsidR="00915AB9" w:rsidRPr="00915AB9" w:rsidRDefault="00915AB9" w:rsidP="00915AB9">
      <w:pPr>
        <w:numPr>
          <w:ilvl w:val="0"/>
          <w:numId w:val="3"/>
        </w:numPr>
      </w:pPr>
      <w:r w:rsidRPr="00915AB9">
        <w:t>Training</w:t>
      </w:r>
    </w:p>
    <w:p w14:paraId="6E688074" w14:textId="77777777" w:rsidR="00915AB9" w:rsidRPr="00915AB9" w:rsidRDefault="00915AB9" w:rsidP="00915AB9">
      <w:pPr>
        <w:numPr>
          <w:ilvl w:val="0"/>
          <w:numId w:val="3"/>
        </w:numPr>
      </w:pPr>
      <w:r w:rsidRPr="00915AB9">
        <w:t>Public relations</w:t>
      </w:r>
    </w:p>
    <w:p w14:paraId="3A14CCB0" w14:textId="77777777" w:rsidR="00915AB9" w:rsidRPr="00915AB9" w:rsidRDefault="00915AB9" w:rsidP="00915AB9">
      <w:pPr>
        <w:numPr>
          <w:ilvl w:val="0"/>
          <w:numId w:val="3"/>
        </w:numPr>
      </w:pPr>
      <w:r w:rsidRPr="00915AB9">
        <w:t>Marketing research</w:t>
      </w:r>
    </w:p>
    <w:p w14:paraId="4AFD612A" w14:textId="77777777" w:rsidR="00915AB9" w:rsidRPr="00915AB9" w:rsidRDefault="00915AB9" w:rsidP="00915AB9">
      <w:pPr>
        <w:numPr>
          <w:ilvl w:val="0"/>
          <w:numId w:val="3"/>
        </w:numPr>
      </w:pPr>
      <w:r w:rsidRPr="00915AB9">
        <w:t>Capital outlay</w:t>
      </w:r>
    </w:p>
    <w:p w14:paraId="7585714E" w14:textId="77777777" w:rsidR="00915AB9" w:rsidRPr="00915AB9" w:rsidRDefault="00915AB9" w:rsidP="00915AB9">
      <w:pPr>
        <w:numPr>
          <w:ilvl w:val="0"/>
          <w:numId w:val="3"/>
        </w:numPr>
      </w:pPr>
      <w:r w:rsidRPr="00915AB9">
        <w:t>Administration as defined in the ITC grant handbook</w:t>
      </w:r>
    </w:p>
    <w:p w14:paraId="1B58B081" w14:textId="77777777" w:rsidR="00915AB9" w:rsidRPr="00915AB9" w:rsidRDefault="00915AB9" w:rsidP="00915AB9">
      <w:r w:rsidRPr="00915AB9">
        <w:lastRenderedPageBreak/>
        <w:br/>
      </w:r>
      <w:r w:rsidRPr="00915AB9">
        <w:rPr>
          <w:b/>
        </w:rPr>
        <w:t>Non-Eligible Costs</w:t>
      </w:r>
      <w:r w:rsidRPr="00915AB9">
        <w:br/>
        <w:t>The following is not an all-inclusive list but serves as an example of the types of costs that are not allowable: entertainment, honoraria, alcohol, attend meetings, marketplaces, board meetings or other committees, fees associated with the applicant's membership work or any other cost that does not meet the objective of the program, etc. Grant writing and costs of grant presentation attendance are not allowable costs under current or future grants. </w:t>
      </w:r>
      <w:r w:rsidRPr="00915AB9">
        <w:br/>
      </w:r>
      <w:r w:rsidRPr="00915AB9">
        <w:br/>
      </w:r>
      <w:r w:rsidRPr="00915AB9">
        <w:rPr>
          <w:b/>
        </w:rPr>
        <w:t>Time Period</w:t>
      </w:r>
      <w:r w:rsidRPr="00915AB9">
        <w:br/>
        <w:t>The grant will begin on August 1, 2026, and must be completed and closed out by September 30, 2027.  </w:t>
      </w:r>
      <w:r w:rsidRPr="00915AB9">
        <w:br/>
        <w:t> </w:t>
      </w:r>
      <w:r w:rsidRPr="00915AB9">
        <w:br/>
      </w:r>
      <w:r w:rsidRPr="00915AB9">
        <w:rPr>
          <w:b/>
        </w:rPr>
        <w:t>Match Requirements</w:t>
      </w:r>
      <w:r w:rsidRPr="00915AB9">
        <w:br/>
        <w:t>As a way to leverage grant funding and increase regional and local commitment and plan participation, the program requires a 12.5% cash match. Cash match must be documented through a financial exchange of money showing an investment by the applicant or its partners. Evidence of higher match that shows community and partner buy-in is favorable.  </w:t>
      </w:r>
      <w:r w:rsidRPr="00915AB9">
        <w:br/>
      </w:r>
      <w:r w:rsidRPr="00915AB9">
        <w:br/>
      </w:r>
      <w:r w:rsidRPr="00915AB9">
        <w:rPr>
          <w:b/>
        </w:rPr>
        <w:t>Presentations</w:t>
      </w:r>
      <w:r w:rsidRPr="00915AB9">
        <w:br/>
        <w:t xml:space="preserve">Grant application presentations will be held </w:t>
      </w:r>
      <w:r w:rsidRPr="00915AB9">
        <w:rPr>
          <w:b/>
        </w:rPr>
        <w:t xml:space="preserve">May 7-8, </w:t>
      </w:r>
      <w:proofErr w:type="gramStart"/>
      <w:r w:rsidRPr="00915AB9">
        <w:rPr>
          <w:b/>
        </w:rPr>
        <w:t>2026</w:t>
      </w:r>
      <w:proofErr w:type="gramEnd"/>
      <w:r w:rsidRPr="00915AB9">
        <w:rPr>
          <w:b/>
        </w:rPr>
        <w:t xml:space="preserve"> in Boise, Idaho.</w:t>
      </w:r>
      <w:r w:rsidRPr="00915AB9">
        <w:t xml:space="preserve"> Applicants applying for ITC Grants are </w:t>
      </w:r>
      <w:r w:rsidRPr="00915AB9">
        <w:rPr>
          <w:b/>
          <w:i/>
          <w:iCs/>
        </w:rPr>
        <w:t>strongly encouraged</w:t>
      </w:r>
      <w:r w:rsidRPr="00915AB9">
        <w:t xml:space="preserve"> to present their travel and convention plans. Presenting to the ITC Council provides </w:t>
      </w:r>
      <w:proofErr w:type="gramStart"/>
      <w:r w:rsidRPr="00915AB9">
        <w:t>applicants</w:t>
      </w:r>
      <w:proofErr w:type="gramEnd"/>
      <w:r w:rsidRPr="00915AB9">
        <w:t xml:space="preserve"> the opportunity to present their proposed plan and allows the Council to ask questions before the ITC Grant is submitted. Applicants who </w:t>
      </w:r>
      <w:proofErr w:type="gramStart"/>
      <w:r w:rsidRPr="00915AB9">
        <w:t>do</w:t>
      </w:r>
      <w:proofErr w:type="gramEnd"/>
      <w:r w:rsidRPr="00915AB9">
        <w:t xml:space="preserve"> not present may not be considered for funding. Travel costs are not reimbursable by the ITC grant for attendance at this meeting. A grant presentation schedule and template will be provided by the </w:t>
      </w:r>
      <w:proofErr w:type="gramStart"/>
      <w:r w:rsidRPr="00915AB9">
        <w:t>Department</w:t>
      </w:r>
      <w:proofErr w:type="gramEnd"/>
      <w:r w:rsidRPr="00915AB9">
        <w:t xml:space="preserve"> and the template and timeline will be strictly adhered to.  Applicants must contact the Department at </w:t>
      </w:r>
      <w:hyperlink r:id="rId13" w:tgtFrame="_blank" w:history="1">
        <w:r w:rsidRPr="00915AB9">
          <w:rPr>
            <w:rStyle w:val="Hyperlink"/>
            <w:b/>
          </w:rPr>
          <w:t>grants@commerce.idaho.gov</w:t>
        </w:r>
      </w:hyperlink>
      <w:r w:rsidRPr="00915AB9">
        <w:t xml:space="preserve"> to be added to the schedule. </w:t>
      </w:r>
      <w:r w:rsidRPr="00915AB9">
        <w:br/>
      </w:r>
      <w:r w:rsidRPr="00915AB9">
        <w:br/>
      </w:r>
      <w:r w:rsidRPr="00915AB9">
        <w:rPr>
          <w:b/>
        </w:rPr>
        <w:t>Evaluation Criteria</w:t>
      </w:r>
      <w:r w:rsidRPr="00915AB9">
        <w:br/>
        <w:t>Applications will be scored by the ITC based on the criteria below.  Each section is assigned a weight and will be scored on a scale of 1-10. </w:t>
      </w:r>
    </w:p>
    <w:p w14:paraId="3477FF62" w14:textId="77777777" w:rsidR="00915AB9" w:rsidRPr="00915AB9" w:rsidRDefault="00915AB9" w:rsidP="00915AB9">
      <w:r w:rsidRPr="00915AB9">
        <w:br/>
      </w:r>
      <w:r w:rsidRPr="00915AB9">
        <w:rPr>
          <w:b/>
        </w:rPr>
        <w:t>Eligibility (Reviewed by Idaho Commerce Compliance pass/fail)</w:t>
      </w:r>
      <w:r w:rsidRPr="00915AB9">
        <w:br/>
        <w:t>Key application elements are completed, and necessary documents are uploaded.</w:t>
      </w:r>
      <w:r w:rsidRPr="00915AB9">
        <w:br/>
        <w:t>Presence of an adequate financial management system and ability to administer grants.</w:t>
      </w:r>
      <w:r w:rsidRPr="00915AB9">
        <w:br/>
        <w:t>    </w:t>
      </w:r>
      <w:r w:rsidRPr="00915AB9">
        <w:br/>
      </w:r>
      <w:r w:rsidRPr="00915AB9">
        <w:rPr>
          <w:b/>
        </w:rPr>
        <w:lastRenderedPageBreak/>
        <w:t>Marketing Plan (Weight 50)</w:t>
      </w:r>
      <w:r w:rsidRPr="00915AB9">
        <w:br/>
        <w:t>The proposed marketing plan addresses the current needs of the region.</w:t>
      </w:r>
      <w:r w:rsidRPr="00915AB9">
        <w:br/>
        <w:t>Shows evidence that other resources are not available, or insufficient, to support the marketing plan and that requested funds are sufficient to accomplish the marketing plan.</w:t>
      </w:r>
      <w:r w:rsidRPr="00915AB9">
        <w:br/>
        <w:t>Goals and objectives can be accomplished within a reasonable time frame.</w:t>
      </w:r>
      <w:r w:rsidRPr="00915AB9">
        <w:br/>
        <w:t>The marketing plan demonstrates a sound methodology for measuring achievement.</w:t>
      </w:r>
      <w:r w:rsidRPr="00915AB9">
        <w:br/>
        <w:t>The marketing plan has long-lasting benefits beyond the grant cycle.</w:t>
      </w:r>
      <w:r w:rsidRPr="00915AB9">
        <w:br/>
        <w:t>Translates new ideas, creativity, and technologies into tangible successes.</w:t>
      </w:r>
      <w:r w:rsidRPr="00915AB9">
        <w:br/>
        <w:t>If the applicant is a previous grantee, success is adequately demonstrated through performance measures.      </w:t>
      </w:r>
      <w:r w:rsidRPr="00915AB9">
        <w:br/>
        <w:t>     </w:t>
      </w:r>
      <w:r w:rsidRPr="00915AB9">
        <w:br/>
      </w:r>
      <w:r w:rsidRPr="00915AB9">
        <w:rPr>
          <w:b/>
        </w:rPr>
        <w:t>Regional Impact &amp; Support (Weight 20)</w:t>
      </w:r>
      <w:r w:rsidRPr="00915AB9">
        <w:br/>
        <w:t>The proposed marketing plan will increase local/regional awareness and encourage visitors to stay longer or promote intra-region travel.</w:t>
      </w:r>
      <w:r w:rsidRPr="00915AB9">
        <w:br/>
        <w:t>Details contributing partners who will participate in and benefit from the marketing plan.      </w:t>
      </w:r>
      <w:r w:rsidRPr="00915AB9">
        <w:br/>
        <w:t>     </w:t>
      </w:r>
      <w:r w:rsidRPr="00915AB9">
        <w:br/>
      </w:r>
      <w:r w:rsidRPr="00915AB9">
        <w:rPr>
          <w:b/>
        </w:rPr>
        <w:t>Detailed Budget (Weight 30)</w:t>
      </w:r>
      <w:r w:rsidRPr="00915AB9">
        <w:br/>
        <w:t>Provides a detailed operational budget for the tourism marketing plan, including the sources of cash match.</w:t>
      </w:r>
    </w:p>
    <w:p w14:paraId="7A8D271E" w14:textId="77777777" w:rsidR="00915AB9" w:rsidRPr="00915AB9" w:rsidRDefault="00915AB9" w:rsidP="00915AB9">
      <w:r w:rsidRPr="00915AB9">
        <w:br/>
      </w:r>
      <w:r w:rsidRPr="00915AB9">
        <w:rPr>
          <w:b/>
        </w:rPr>
        <w:t>Grant Agreements</w:t>
      </w:r>
      <w:r w:rsidRPr="00915AB9">
        <w:br/>
        <w:t>Following the ITC award of grant funds, the Department will issue a notice of award detailing any award stipulations. If the full requested amount has not been awarded a revised budget and scope of work will be required prior to the issuance of a grant agreement. </w:t>
      </w:r>
      <w:r w:rsidRPr="00915AB9">
        <w:br/>
      </w:r>
      <w:r w:rsidRPr="00915AB9">
        <w:br/>
      </w:r>
      <w:r w:rsidRPr="00915AB9">
        <w:rPr>
          <w:b/>
        </w:rPr>
        <w:t>Narrative Reports</w:t>
      </w:r>
      <w:r w:rsidRPr="00915AB9">
        <w:br/>
        <w:t>Narrative reports are a contractual requirement of the program. Four reports will be filed with the Department.  If the grant cycle is extended, an additional report will be required for that period. Capital outlay reports are also required, if applicable.</w:t>
      </w:r>
      <w:r w:rsidRPr="00915AB9">
        <w:br/>
        <w:t> </w:t>
      </w:r>
      <w:r w:rsidRPr="00915AB9">
        <w:br/>
      </w:r>
      <w:r w:rsidRPr="00915AB9">
        <w:rPr>
          <w:b/>
        </w:rPr>
        <w:t>Audit Requirement</w:t>
      </w:r>
      <w:r w:rsidRPr="00915AB9">
        <w:br/>
        <w:t xml:space="preserve">All grantees with awards of $100,000 or more are required to participate in an independent compliance audit. Grantees with </w:t>
      </w:r>
      <w:proofErr w:type="gramStart"/>
      <w:r w:rsidRPr="00915AB9">
        <w:t>awards</w:t>
      </w:r>
      <w:proofErr w:type="gramEnd"/>
      <w:r w:rsidRPr="00915AB9">
        <w:t xml:space="preserve"> less than $100,000 may be selected at random for an audit as well.  The Department will arrange for and will bear the cost of the audits.</w:t>
      </w:r>
    </w:p>
    <w:p w14:paraId="37083196" w14:textId="77777777" w:rsidR="003B6E25" w:rsidRDefault="003B6E25"/>
    <w:sectPr w:rsidR="003B6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31C"/>
    <w:multiLevelType w:val="multilevel"/>
    <w:tmpl w:val="90E2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365CA"/>
    <w:multiLevelType w:val="multilevel"/>
    <w:tmpl w:val="6032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840FD"/>
    <w:multiLevelType w:val="multilevel"/>
    <w:tmpl w:val="DCEC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076694">
    <w:abstractNumId w:val="0"/>
  </w:num>
  <w:num w:numId="2" w16cid:durableId="746653945">
    <w:abstractNumId w:val="1"/>
  </w:num>
  <w:num w:numId="3" w16cid:durableId="2049646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B9"/>
    <w:rsid w:val="001F1BC0"/>
    <w:rsid w:val="00226CE9"/>
    <w:rsid w:val="003B6E25"/>
    <w:rsid w:val="005046D0"/>
    <w:rsid w:val="006952C7"/>
    <w:rsid w:val="007365AD"/>
    <w:rsid w:val="008F15BA"/>
    <w:rsid w:val="00915AB9"/>
    <w:rsid w:val="00975618"/>
    <w:rsid w:val="009D5B72"/>
    <w:rsid w:val="00DD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76C"/>
  <w15:chartTrackingRefBased/>
  <w15:docId w15:val="{C7EDBEBC-FC1D-4B29-A938-319D6453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elawadee UI" w:eastAsiaTheme="minorHAnsi" w:hAnsi="Leelawadee UI" w:cstheme="minorBidi"/>
        <w:bCs/>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A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A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5A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5A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5A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5A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5A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A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A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5A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5A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5A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5A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5A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5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A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A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5AB9"/>
    <w:pPr>
      <w:spacing w:before="160"/>
      <w:jc w:val="center"/>
    </w:pPr>
    <w:rPr>
      <w:i/>
      <w:iCs/>
      <w:color w:val="404040" w:themeColor="text1" w:themeTint="BF"/>
    </w:rPr>
  </w:style>
  <w:style w:type="character" w:customStyle="1" w:styleId="QuoteChar">
    <w:name w:val="Quote Char"/>
    <w:basedOn w:val="DefaultParagraphFont"/>
    <w:link w:val="Quote"/>
    <w:uiPriority w:val="29"/>
    <w:rsid w:val="00915AB9"/>
    <w:rPr>
      <w:i/>
      <w:iCs/>
      <w:color w:val="404040" w:themeColor="text1" w:themeTint="BF"/>
    </w:rPr>
  </w:style>
  <w:style w:type="paragraph" w:styleId="ListParagraph">
    <w:name w:val="List Paragraph"/>
    <w:basedOn w:val="Normal"/>
    <w:uiPriority w:val="34"/>
    <w:qFormat/>
    <w:rsid w:val="00915AB9"/>
    <w:pPr>
      <w:ind w:left="720"/>
      <w:contextualSpacing/>
    </w:pPr>
  </w:style>
  <w:style w:type="character" w:styleId="IntenseEmphasis">
    <w:name w:val="Intense Emphasis"/>
    <w:basedOn w:val="DefaultParagraphFont"/>
    <w:uiPriority w:val="21"/>
    <w:qFormat/>
    <w:rsid w:val="00915AB9"/>
    <w:rPr>
      <w:i/>
      <w:iCs/>
      <w:color w:val="0F4761" w:themeColor="accent1" w:themeShade="BF"/>
    </w:rPr>
  </w:style>
  <w:style w:type="paragraph" w:styleId="IntenseQuote">
    <w:name w:val="Intense Quote"/>
    <w:basedOn w:val="Normal"/>
    <w:next w:val="Normal"/>
    <w:link w:val="IntenseQuoteChar"/>
    <w:uiPriority w:val="30"/>
    <w:qFormat/>
    <w:rsid w:val="00915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AB9"/>
    <w:rPr>
      <w:i/>
      <w:iCs/>
      <w:color w:val="0F4761" w:themeColor="accent1" w:themeShade="BF"/>
    </w:rPr>
  </w:style>
  <w:style w:type="character" w:styleId="IntenseReference">
    <w:name w:val="Intense Reference"/>
    <w:basedOn w:val="DefaultParagraphFont"/>
    <w:uiPriority w:val="32"/>
    <w:qFormat/>
    <w:rsid w:val="00915AB9"/>
    <w:rPr>
      <w:b/>
      <w:bCs w:val="0"/>
      <w:smallCaps/>
      <w:color w:val="0F4761" w:themeColor="accent1" w:themeShade="BF"/>
      <w:spacing w:val="5"/>
    </w:rPr>
  </w:style>
  <w:style w:type="character" w:styleId="Hyperlink">
    <w:name w:val="Hyperlink"/>
    <w:basedOn w:val="DefaultParagraphFont"/>
    <w:uiPriority w:val="99"/>
    <w:unhideWhenUsed/>
    <w:rsid w:val="00915AB9"/>
    <w:rPr>
      <w:color w:val="467886" w:themeColor="hyperlink"/>
      <w:u w:val="single"/>
    </w:rPr>
  </w:style>
  <w:style w:type="character" w:styleId="UnresolvedMention">
    <w:name w:val="Unresolved Mention"/>
    <w:basedOn w:val="DefaultParagraphFont"/>
    <w:uiPriority w:val="99"/>
    <w:semiHidden/>
    <w:unhideWhenUsed/>
    <w:rsid w:val="00915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uqrm5qqptfeb1iuiyzxw4/ITC-Application-Cash-Match-Letter.docx?rlkey=fho6z9a44h2bpfbpx1r0gjo43&amp;st=8p3ptqj8&amp;dl=0" TargetMode="External"/><Relationship Id="rId13" Type="http://schemas.openxmlformats.org/officeDocument/2006/relationships/hyperlink" Target="mailto:grants@commerce.idaho.gov" TargetMode="External"/><Relationship Id="rId3" Type="http://schemas.openxmlformats.org/officeDocument/2006/relationships/settings" Target="settings.xml"/><Relationship Id="rId7" Type="http://schemas.openxmlformats.org/officeDocument/2006/relationships/hyperlink" Target="https://www.dropbox.com/scl/fi/69uqiuvqus0jhsh3ljzuc/ITC-Application-Cash-Reserves-Letter.docx?rlkey=bcdxmfe7aw1v35xfw2ujdnjeh&amp;st=sxwp3fb1&amp;dl=0" TargetMode="External"/><Relationship Id="rId12" Type="http://schemas.openxmlformats.org/officeDocument/2006/relationships/hyperlink" Target="https://commerce.idaho.gov/content/uploads/2024/06/ITC-Handbook_Updated-May.3.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cl/fi/uyvcyvuphcbkd3hky4fkc/ITC-Grant-Application-Budget_Updated.xlsx?rlkey=d76bsc9kuvk82mvjh8bo1dz4n&amp;st=qt0lnq63&amp;dl=0" TargetMode="External"/><Relationship Id="rId11" Type="http://schemas.openxmlformats.org/officeDocument/2006/relationships/hyperlink" Target="https://www.dropbox.com/scl/fi/paulxk8o2cpq9e98y6all/ITC__Exemption_Request_Form_Updated.pdf?rlkey=ukfw8uq34p19k6uhcljrqbi8k&amp;st=kvgi116o&amp;dl=0"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dropbox.com/scl/fi/j3jowt96b9ai9gv3zvem9/ITC-Application-Wages-as-Match.xlsx?rlkey=ro6n297e7iemm7mktbio2vfwo&amp;st=37t1gye8&amp;dl=0" TargetMode="External"/><Relationship Id="rId4" Type="http://schemas.openxmlformats.org/officeDocument/2006/relationships/webSettings" Target="webSettings.xml"/><Relationship Id="rId9" Type="http://schemas.openxmlformats.org/officeDocument/2006/relationships/hyperlink" Target="https://commerce.idaho.gov/content/uploads/2021/02/2021-ITC-Cash-Reserves-Letter.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1396</Words>
  <Characters>7960</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Szewczyk</dc:creator>
  <cp:keywords/>
  <dc:description/>
  <cp:lastModifiedBy>Ewa Szewczyk</cp:lastModifiedBy>
  <cp:revision>1</cp:revision>
  <dcterms:created xsi:type="dcterms:W3CDTF">2026-02-18T21:00:00Z</dcterms:created>
  <dcterms:modified xsi:type="dcterms:W3CDTF">2026-02-18T21:11:00Z</dcterms:modified>
</cp:coreProperties>
</file>