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C4FE" w14:textId="77777777" w:rsidR="002E5062" w:rsidRDefault="002E5062" w:rsidP="002E5062">
      <w:pPr>
        <w:pStyle w:val="Heading1"/>
      </w:pPr>
      <w:bookmarkStart w:id="0" w:name="_Toc12011456"/>
      <w:bookmarkStart w:id="1" w:name="_Toc12011886"/>
      <w:r>
        <w:rPr>
          <w:color w:val="365F91"/>
        </w:rPr>
        <w:t>CR-05 Goals and Outcomes</w:t>
      </w:r>
      <w:bookmarkEnd w:id="0"/>
      <w:bookmarkEnd w:id="1"/>
    </w:p>
    <w:p w14:paraId="0BD6321F" w14:textId="77777777" w:rsidR="00A51110" w:rsidRDefault="00A51110"/>
    <w:p w14:paraId="334D8DAE" w14:textId="77777777" w:rsidR="002E5062" w:rsidRDefault="002E5062" w:rsidP="002E5062">
      <w:pPr>
        <w:spacing w:before="243"/>
        <w:ind w:left="140"/>
        <w:rPr>
          <w:i/>
          <w:sz w:val="20"/>
        </w:rPr>
      </w:pPr>
      <w:r>
        <w:rPr>
          <w:b/>
          <w:i/>
          <w:sz w:val="20"/>
        </w:rPr>
        <w:t>Progress the state has made in carrying out its strategic plan and its action plan. 91.520(a</w:t>
      </w:r>
      <w:r>
        <w:rPr>
          <w:i/>
          <w:sz w:val="20"/>
        </w:rPr>
        <w:t>)</w:t>
      </w:r>
    </w:p>
    <w:p w14:paraId="41410B73" w14:textId="77777777" w:rsidR="002E5062" w:rsidRDefault="002E5062" w:rsidP="002E5062">
      <w:pPr>
        <w:pStyle w:val="Heading3"/>
        <w:spacing w:before="118"/>
        <w:ind w:left="140"/>
      </w:pPr>
      <w:bookmarkStart w:id="2" w:name="_Toc12011457"/>
      <w:bookmarkStart w:id="3" w:name="_Toc12011887"/>
      <w:r>
        <w:t>Idaho Department of Commerce</w:t>
      </w:r>
      <w:bookmarkEnd w:id="2"/>
      <w:bookmarkEnd w:id="3"/>
    </w:p>
    <w:p w14:paraId="7761204D" w14:textId="77777777" w:rsidR="002E5062" w:rsidRDefault="002E5062" w:rsidP="002E5062">
      <w:pPr>
        <w:pStyle w:val="BodyText"/>
        <w:spacing w:before="8"/>
        <w:rPr>
          <w:b/>
          <w:sz w:val="19"/>
        </w:rPr>
      </w:pPr>
    </w:p>
    <w:p w14:paraId="64212EE5" w14:textId="33930AAD" w:rsidR="002E5062" w:rsidRDefault="002E5062" w:rsidP="00DE7061">
      <w:pPr>
        <w:pStyle w:val="BodyText"/>
        <w:ind w:left="140"/>
      </w:pPr>
      <w:r>
        <w:t xml:space="preserve">Of the </w:t>
      </w:r>
      <w:r w:rsidR="00255600">
        <w:t>six</w:t>
      </w:r>
      <w:r>
        <w:t xml:space="preserve"> goals established in the consolidated plan:</w:t>
      </w:r>
    </w:p>
    <w:p w14:paraId="3301EFB2" w14:textId="77777777" w:rsidR="005F690B" w:rsidRDefault="005F690B" w:rsidP="00DE7061">
      <w:pPr>
        <w:pStyle w:val="BodyText"/>
        <w:ind w:left="140"/>
      </w:pPr>
    </w:p>
    <w:p w14:paraId="6810EA05" w14:textId="6F521B4A" w:rsidR="002E5062" w:rsidRDefault="00AF283D" w:rsidP="006B02BE">
      <w:pPr>
        <w:pStyle w:val="BodyText"/>
        <w:ind w:left="140" w:right="184"/>
      </w:pPr>
      <w:r w:rsidRPr="00D950D2">
        <w:t>$</w:t>
      </w:r>
      <w:r w:rsidR="00D950D2" w:rsidRPr="00D950D2">
        <w:t>715,</w:t>
      </w:r>
      <w:r w:rsidR="00D950D2">
        <w:t>000</w:t>
      </w:r>
      <w:r w:rsidR="002E5062">
        <w:t xml:space="preserve"> in CDBG funds were awarded to </w:t>
      </w:r>
      <w:r w:rsidR="00D950D2">
        <w:t>three</w:t>
      </w:r>
      <w:r w:rsidR="002E5062">
        <w:t xml:space="preserve"> projects meeting the </w:t>
      </w:r>
      <w:r w:rsidR="002E5062">
        <w:rPr>
          <w:b/>
        </w:rPr>
        <w:t xml:space="preserve">Public Facilities / Infrastructure- Compliance Goal. </w:t>
      </w:r>
      <w:r>
        <w:t xml:space="preserve"> </w:t>
      </w:r>
      <w:r w:rsidR="00D950D2">
        <w:t>3,325</w:t>
      </w:r>
      <w:r w:rsidR="002E5062">
        <w:t xml:space="preserve"> Idaho residents will benefit from these projects, as they will help bring their public facilities systems (infrastructure, community facilities, public utilities) into compliance with environmental laws, federal and state standards, industry standards, or best management practices. </w:t>
      </w:r>
      <w:r w:rsidR="00D950D2">
        <w:t>1,870</w:t>
      </w:r>
      <w:r w:rsidR="002E5062">
        <w:t xml:space="preserve"> of the residents are low-to-moderate income. </w:t>
      </w:r>
      <w:r w:rsidR="00F662CB">
        <w:t xml:space="preserve">The </w:t>
      </w:r>
      <w:r w:rsidR="00D950D2">
        <w:t>three</w:t>
      </w:r>
      <w:r w:rsidR="00F662CB">
        <w:t xml:space="preserve"> projects consist of</w:t>
      </w:r>
      <w:r w:rsidR="00D950D2">
        <w:t xml:space="preserve"> two parks and one community center. </w:t>
      </w:r>
    </w:p>
    <w:p w14:paraId="01561DBC" w14:textId="263D23F0" w:rsidR="005447DC" w:rsidRDefault="005447DC" w:rsidP="005447DC">
      <w:pPr>
        <w:pStyle w:val="BodyText"/>
        <w:ind w:right="184"/>
      </w:pPr>
    </w:p>
    <w:p w14:paraId="5092CFA5" w14:textId="2A17813C" w:rsidR="00345DDE" w:rsidRPr="008E73EE" w:rsidRDefault="00345DDE" w:rsidP="000C2DD9">
      <w:pPr>
        <w:spacing w:after="0"/>
        <w:ind w:left="450"/>
      </w:pPr>
      <w:r w:rsidRPr="000C2DD9">
        <w:t>From April 1, 202</w:t>
      </w:r>
      <w:r w:rsidR="00D950D2" w:rsidRPr="000C2DD9">
        <w:t>4</w:t>
      </w:r>
      <w:r w:rsidRPr="000C2DD9">
        <w:t xml:space="preserve"> to March 30, 202</w:t>
      </w:r>
      <w:r w:rsidR="00D950D2" w:rsidRPr="000C2DD9">
        <w:t>5</w:t>
      </w:r>
      <w:r w:rsidRPr="000C2DD9">
        <w:t xml:space="preserve">, six CDBG projects (projects that were funded in the last five years) were completed and closed out.  These six projects </w:t>
      </w:r>
      <w:r w:rsidR="000C2DD9" w:rsidRPr="000C2DD9">
        <w:t>account for</w:t>
      </w:r>
      <w:r w:rsidRPr="000C2DD9">
        <w:t xml:space="preserve"> </w:t>
      </w:r>
      <w:r w:rsidR="000C2DD9" w:rsidRPr="000C2DD9">
        <w:t>6,308</w:t>
      </w:r>
      <w:r w:rsidR="000C2DD9">
        <w:t xml:space="preserve"> people </w:t>
      </w:r>
      <w:r w:rsidRPr="000C2DD9">
        <w:t>benefiting from the public facility or infrastructure activity.</w:t>
      </w:r>
      <w:r w:rsidRPr="008E73EE">
        <w:t xml:space="preserve">  </w:t>
      </w:r>
    </w:p>
    <w:p w14:paraId="7777CC37" w14:textId="77777777" w:rsidR="005447DC" w:rsidRDefault="005447DC" w:rsidP="00DE7061">
      <w:pPr>
        <w:pStyle w:val="BodyText"/>
        <w:ind w:right="267"/>
        <w:jc w:val="both"/>
      </w:pPr>
    </w:p>
    <w:p w14:paraId="7A037188" w14:textId="3E83E144" w:rsidR="005447DC" w:rsidRDefault="006E7969" w:rsidP="00DE7061">
      <w:pPr>
        <w:pStyle w:val="BodyText"/>
        <w:ind w:left="140" w:right="267"/>
        <w:jc w:val="both"/>
      </w:pPr>
      <w:r>
        <w:t>$1,730,450</w:t>
      </w:r>
      <w:r w:rsidR="002E5062">
        <w:t xml:space="preserve"> in CDBG funds were awarded to </w:t>
      </w:r>
      <w:r w:rsidR="00F0461C">
        <w:t>five</w:t>
      </w:r>
      <w:r w:rsidR="002E5062">
        <w:t xml:space="preserve"> projects meeting the </w:t>
      </w:r>
      <w:r w:rsidR="002E5062">
        <w:rPr>
          <w:b/>
        </w:rPr>
        <w:t xml:space="preserve">Public Facilities / Infrastructure – Rehabilitation Goal. </w:t>
      </w:r>
      <w:r w:rsidR="00AF283D">
        <w:t>7,</w:t>
      </w:r>
      <w:r>
        <w:t>880</w:t>
      </w:r>
      <w:r w:rsidR="002E5062">
        <w:t xml:space="preserve"> Idaho residents will benefit from the rehabilitation, replacement, or remodeling of a public facility system. </w:t>
      </w:r>
      <w:r>
        <w:t>4,633</w:t>
      </w:r>
      <w:r w:rsidR="002E5062">
        <w:t xml:space="preserve"> of the residents are low-to-moderate income. The </w:t>
      </w:r>
      <w:r w:rsidR="007564A3">
        <w:t>five</w:t>
      </w:r>
      <w:r w:rsidR="002E5062">
        <w:t xml:space="preserve"> projects consist of </w:t>
      </w:r>
      <w:r>
        <w:t>two</w:t>
      </w:r>
      <w:r w:rsidR="00AF283D">
        <w:t xml:space="preserve"> water systems</w:t>
      </w:r>
      <w:r>
        <w:t xml:space="preserve">, one </w:t>
      </w:r>
      <w:r w:rsidR="002E3293">
        <w:t>wastewater system</w:t>
      </w:r>
      <w:r>
        <w:t>, and two parks</w:t>
      </w:r>
      <w:r w:rsidR="002E3293">
        <w:t xml:space="preserve">. </w:t>
      </w:r>
    </w:p>
    <w:p w14:paraId="4AF608A8" w14:textId="5635DD4B" w:rsidR="005447DC" w:rsidRDefault="005447DC" w:rsidP="005447DC">
      <w:pPr>
        <w:pStyle w:val="BodyText"/>
        <w:ind w:right="184"/>
      </w:pPr>
    </w:p>
    <w:p w14:paraId="191F50AE" w14:textId="55E9204D" w:rsidR="00345DDE" w:rsidRPr="008E73EE" w:rsidRDefault="00345DDE" w:rsidP="000C2DD9">
      <w:pPr>
        <w:spacing w:after="0"/>
        <w:ind w:left="450"/>
      </w:pPr>
      <w:r w:rsidRPr="000C2DD9">
        <w:t>From April 1, 202</w:t>
      </w:r>
      <w:r w:rsidR="000C2DD9" w:rsidRPr="000C2DD9">
        <w:t>4</w:t>
      </w:r>
      <w:r w:rsidRPr="000C2DD9">
        <w:t xml:space="preserve"> to March 30, 202</w:t>
      </w:r>
      <w:r w:rsidR="000C2DD9" w:rsidRPr="000C2DD9">
        <w:t>5</w:t>
      </w:r>
      <w:r w:rsidRPr="000C2DD9">
        <w:t xml:space="preserve">, </w:t>
      </w:r>
      <w:r w:rsidR="000C2DD9" w:rsidRPr="000C2DD9">
        <w:t>seven</w:t>
      </w:r>
      <w:r w:rsidRPr="000C2DD9">
        <w:t xml:space="preserve"> CDBG projects (projects that were funded in the last five years) were completed and closed out.  These </w:t>
      </w:r>
      <w:r w:rsidR="000C2DD9" w:rsidRPr="000C2DD9">
        <w:t>seven</w:t>
      </w:r>
      <w:r w:rsidRPr="000C2DD9">
        <w:t xml:space="preserve"> projects account </w:t>
      </w:r>
      <w:r w:rsidR="000C2DD9">
        <w:t xml:space="preserve">for </w:t>
      </w:r>
      <w:r w:rsidR="000C2DD9" w:rsidRPr="000C2DD9">
        <w:t>6,661</w:t>
      </w:r>
      <w:r w:rsidR="000C2DD9">
        <w:t xml:space="preserve"> people </w:t>
      </w:r>
      <w:r w:rsidRPr="000C2DD9">
        <w:t>benefiting from the public facility or infrastructure activity.</w:t>
      </w:r>
      <w:r w:rsidRPr="008E73EE">
        <w:t xml:space="preserve">  </w:t>
      </w:r>
    </w:p>
    <w:p w14:paraId="59B9ADD1" w14:textId="77777777" w:rsidR="002E3293" w:rsidRDefault="002E3293" w:rsidP="006B02BE">
      <w:pPr>
        <w:pStyle w:val="BodyText"/>
        <w:ind w:right="267"/>
        <w:jc w:val="both"/>
      </w:pPr>
    </w:p>
    <w:p w14:paraId="3F31C709" w14:textId="25382ED7" w:rsidR="002E5062" w:rsidRDefault="002E5062" w:rsidP="00DE7061">
      <w:pPr>
        <w:pStyle w:val="BodyText"/>
        <w:ind w:left="140" w:right="184"/>
      </w:pPr>
      <w:r>
        <w:t>$</w:t>
      </w:r>
      <w:r w:rsidR="006E7969">
        <w:t xml:space="preserve">4,057,660 </w:t>
      </w:r>
      <w:r>
        <w:t xml:space="preserve">in CDBG funds were awarded to </w:t>
      </w:r>
      <w:r w:rsidR="006E7969">
        <w:t>twelve</w:t>
      </w:r>
      <w:r>
        <w:t xml:space="preserve"> projects meeting the </w:t>
      </w:r>
      <w:r>
        <w:rPr>
          <w:b/>
        </w:rPr>
        <w:t xml:space="preserve">Public Facilities / Infrastructure – New Construction Goal. </w:t>
      </w:r>
      <w:r w:rsidR="006E7969">
        <w:t>56,908</w:t>
      </w:r>
      <w:r>
        <w:t xml:space="preserve"> Idaho residents will benefit from projects that will construct new systems or facilities in their community. </w:t>
      </w:r>
      <w:r w:rsidR="006E7969">
        <w:t xml:space="preserve"> 33,660</w:t>
      </w:r>
      <w:r>
        <w:t xml:space="preserve"> of the residents benefiting are low to moderate income. The </w:t>
      </w:r>
      <w:r w:rsidR="006E7969">
        <w:t>twelve</w:t>
      </w:r>
      <w:r>
        <w:t xml:space="preserve"> projects consist of </w:t>
      </w:r>
      <w:r w:rsidR="006E7969">
        <w:t>three</w:t>
      </w:r>
      <w:r w:rsidR="006F5FC7">
        <w:t xml:space="preserve"> water systems</w:t>
      </w:r>
      <w:r>
        <w:t xml:space="preserve">, </w:t>
      </w:r>
      <w:r w:rsidR="00EC6A2B">
        <w:t>one</w:t>
      </w:r>
      <w:r w:rsidR="00A4271C">
        <w:t xml:space="preserve"> </w:t>
      </w:r>
      <w:r w:rsidR="006E7969">
        <w:t xml:space="preserve">wastewater, one </w:t>
      </w:r>
      <w:r w:rsidR="00A4271C">
        <w:t xml:space="preserve">fire </w:t>
      </w:r>
      <w:r w:rsidR="00EC6A2B">
        <w:t xml:space="preserve">engine, </w:t>
      </w:r>
      <w:r w:rsidR="006E7969">
        <w:t xml:space="preserve">one senior center, and six parks. </w:t>
      </w:r>
      <w:r w:rsidR="00FD4DA9">
        <w:t xml:space="preserve"> </w:t>
      </w:r>
    </w:p>
    <w:p w14:paraId="350FC588" w14:textId="77777777" w:rsidR="00345DDE" w:rsidRDefault="00345DDE" w:rsidP="00DE7061">
      <w:pPr>
        <w:pStyle w:val="BodyText"/>
        <w:ind w:left="140" w:right="184"/>
      </w:pPr>
    </w:p>
    <w:p w14:paraId="5E9599B6" w14:textId="12090D41" w:rsidR="00345DDE" w:rsidRPr="008E73EE" w:rsidRDefault="00345DDE" w:rsidP="000C2DD9">
      <w:pPr>
        <w:spacing w:after="0"/>
        <w:ind w:left="450"/>
      </w:pPr>
      <w:r w:rsidRPr="000C2DD9">
        <w:t>From April 1, 202</w:t>
      </w:r>
      <w:r w:rsidR="000C2DD9" w:rsidRPr="000C2DD9">
        <w:t>4</w:t>
      </w:r>
      <w:r w:rsidRPr="000C2DD9">
        <w:t xml:space="preserve"> to March 30, 202</w:t>
      </w:r>
      <w:r w:rsidR="000C2DD9" w:rsidRPr="000C2DD9">
        <w:t>5</w:t>
      </w:r>
      <w:r w:rsidRPr="000C2DD9">
        <w:t xml:space="preserve">, four CDBG projects (projects that were funded in the last five years) were completed and closed out.  These four projects account for </w:t>
      </w:r>
      <w:r w:rsidR="000C2DD9" w:rsidRPr="000C2DD9">
        <w:t>24,179</w:t>
      </w:r>
      <w:r w:rsidR="000C2DD9">
        <w:t xml:space="preserve"> people</w:t>
      </w:r>
      <w:r w:rsidRPr="000C2DD9">
        <w:t xml:space="preserve"> benefiting from the public facility or infrastructure activity.</w:t>
      </w:r>
      <w:r w:rsidRPr="008E73EE">
        <w:t xml:space="preserve">  </w:t>
      </w:r>
    </w:p>
    <w:p w14:paraId="3F6C5BDD" w14:textId="2693AE5E" w:rsidR="00DE7061" w:rsidRDefault="00DE7061" w:rsidP="006B02BE">
      <w:pPr>
        <w:pStyle w:val="BodyText"/>
        <w:ind w:right="184"/>
      </w:pPr>
    </w:p>
    <w:p w14:paraId="73AD7929" w14:textId="7389DE2F" w:rsidR="002E5062" w:rsidRDefault="00FD4DA9" w:rsidP="006B02BE">
      <w:pPr>
        <w:spacing w:after="0"/>
        <w:ind w:left="140"/>
        <w:rPr>
          <w:bCs/>
        </w:rPr>
      </w:pPr>
      <w:r>
        <w:t xml:space="preserve">No </w:t>
      </w:r>
      <w:r w:rsidR="00EC6A2B">
        <w:t xml:space="preserve">CDBG funds were awarded </w:t>
      </w:r>
      <w:r>
        <w:t xml:space="preserve">to any projects </w:t>
      </w:r>
      <w:r w:rsidR="002E5062">
        <w:t xml:space="preserve">meeting the </w:t>
      </w:r>
      <w:r w:rsidR="002E5062">
        <w:rPr>
          <w:b/>
        </w:rPr>
        <w:t>Economic Development – Job Creation Goal.</w:t>
      </w:r>
      <w:r w:rsidR="00EC6A2B">
        <w:rPr>
          <w:b/>
        </w:rPr>
        <w:t xml:space="preserve">  </w:t>
      </w:r>
      <w:r w:rsidR="00EF3F0D" w:rsidRPr="006B02BE">
        <w:rPr>
          <w:bCs/>
        </w:rPr>
        <w:t xml:space="preserve">Therefore, the outcome of creating 50 jobs is not applicable. </w:t>
      </w:r>
    </w:p>
    <w:p w14:paraId="1D246BE8" w14:textId="77777777" w:rsidR="005F690B" w:rsidRPr="006B02BE" w:rsidRDefault="005F690B" w:rsidP="006B02BE">
      <w:pPr>
        <w:spacing w:after="0"/>
        <w:ind w:left="140"/>
        <w:rPr>
          <w:bCs/>
        </w:rPr>
      </w:pPr>
    </w:p>
    <w:p w14:paraId="7FC8F235" w14:textId="3F92826D" w:rsidR="00614F0A" w:rsidRDefault="00614F0A" w:rsidP="000C2DD9">
      <w:pPr>
        <w:spacing w:after="0"/>
        <w:ind w:left="450" w:firstLine="10"/>
        <w:rPr>
          <w:bCs/>
        </w:rPr>
      </w:pPr>
      <w:r w:rsidRPr="000C2DD9">
        <w:rPr>
          <w:bCs/>
        </w:rPr>
        <w:t>From April 1, 202</w:t>
      </w:r>
      <w:r w:rsidR="000C2DD9" w:rsidRPr="000C2DD9">
        <w:rPr>
          <w:bCs/>
        </w:rPr>
        <w:t>4</w:t>
      </w:r>
      <w:r w:rsidRPr="000C2DD9">
        <w:rPr>
          <w:bCs/>
        </w:rPr>
        <w:t xml:space="preserve"> to March 30, 202</w:t>
      </w:r>
      <w:r w:rsidR="000C2DD9" w:rsidRPr="000C2DD9">
        <w:rPr>
          <w:bCs/>
        </w:rPr>
        <w:t xml:space="preserve">5, one </w:t>
      </w:r>
      <w:r w:rsidRPr="000C2DD9">
        <w:rPr>
          <w:bCs/>
        </w:rPr>
        <w:t>economic development – job creation project</w:t>
      </w:r>
      <w:r w:rsidR="000C2DD9" w:rsidRPr="000C2DD9">
        <w:rPr>
          <w:bCs/>
        </w:rPr>
        <w:t xml:space="preserve"> was </w:t>
      </w:r>
      <w:r w:rsidRPr="000C2DD9">
        <w:rPr>
          <w:bCs/>
        </w:rPr>
        <w:t>closed</w:t>
      </w:r>
      <w:r w:rsidR="00EF3F0D" w:rsidRPr="000C2DD9">
        <w:rPr>
          <w:bCs/>
        </w:rPr>
        <w:t xml:space="preserve"> out. </w:t>
      </w:r>
      <w:r w:rsidR="000C2DD9" w:rsidRPr="000C2DD9">
        <w:rPr>
          <w:bCs/>
        </w:rPr>
        <w:t>E</w:t>
      </w:r>
      <w:r w:rsidR="000C2DD9">
        <w:rPr>
          <w:bCs/>
        </w:rPr>
        <w:t xml:space="preserve">ighteen people benefited from the activity. </w:t>
      </w:r>
    </w:p>
    <w:p w14:paraId="1B16201F" w14:textId="77777777" w:rsidR="00DE7061" w:rsidRPr="00EF3F0D" w:rsidRDefault="00DE7061" w:rsidP="006B02BE">
      <w:pPr>
        <w:spacing w:after="0"/>
        <w:rPr>
          <w:bCs/>
        </w:rPr>
      </w:pPr>
    </w:p>
    <w:p w14:paraId="73E3F012" w14:textId="455A0B6E" w:rsidR="002E5062" w:rsidRDefault="00FD4DA9" w:rsidP="00DE7061">
      <w:pPr>
        <w:spacing w:after="0"/>
        <w:ind w:left="140"/>
        <w:rPr>
          <w:b/>
        </w:rPr>
      </w:pPr>
      <w:r>
        <w:rPr>
          <w:bCs/>
        </w:rPr>
        <w:t>$</w:t>
      </w:r>
      <w:r w:rsidR="00994CF8">
        <w:rPr>
          <w:bCs/>
        </w:rPr>
        <w:t>1,555,000</w:t>
      </w:r>
      <w:r>
        <w:rPr>
          <w:bCs/>
        </w:rPr>
        <w:t xml:space="preserve"> in CDBG funds were </w:t>
      </w:r>
      <w:r w:rsidR="00D51152" w:rsidRPr="00D51152">
        <w:rPr>
          <w:bCs/>
        </w:rPr>
        <w:t xml:space="preserve">awarded to </w:t>
      </w:r>
      <w:r w:rsidR="00994CF8">
        <w:rPr>
          <w:bCs/>
        </w:rPr>
        <w:t>three</w:t>
      </w:r>
      <w:r>
        <w:rPr>
          <w:bCs/>
        </w:rPr>
        <w:t xml:space="preserve"> project</w:t>
      </w:r>
      <w:r w:rsidR="00994CF8">
        <w:rPr>
          <w:bCs/>
        </w:rPr>
        <w:t>s</w:t>
      </w:r>
      <w:r w:rsidR="00D51152" w:rsidRPr="00D51152">
        <w:rPr>
          <w:bCs/>
        </w:rPr>
        <w:t xml:space="preserve"> meeting the</w:t>
      </w:r>
      <w:r w:rsidR="00D51152">
        <w:rPr>
          <w:b/>
        </w:rPr>
        <w:t xml:space="preserve"> Economic Development - Downtown Revitalization Goal. </w:t>
      </w:r>
      <w:r w:rsidR="00614F0A">
        <w:rPr>
          <w:b/>
        </w:rPr>
        <w:t xml:space="preserve">  </w:t>
      </w:r>
    </w:p>
    <w:p w14:paraId="219A974A" w14:textId="77777777" w:rsidR="005F690B" w:rsidRDefault="005F690B" w:rsidP="00DE7061">
      <w:pPr>
        <w:spacing w:after="0"/>
        <w:ind w:left="140"/>
        <w:rPr>
          <w:b/>
        </w:rPr>
      </w:pPr>
    </w:p>
    <w:p w14:paraId="6EE23572" w14:textId="114DF565" w:rsidR="00C55F3B" w:rsidRPr="006B02BE" w:rsidRDefault="00C55F3B" w:rsidP="000C2DD9">
      <w:pPr>
        <w:spacing w:after="0"/>
        <w:ind w:left="450"/>
        <w:rPr>
          <w:bCs/>
        </w:rPr>
      </w:pPr>
      <w:r w:rsidRPr="000C2DD9">
        <w:rPr>
          <w:bCs/>
        </w:rPr>
        <w:t>From April 1, 202</w:t>
      </w:r>
      <w:r w:rsidR="000C2DD9" w:rsidRPr="000C2DD9">
        <w:rPr>
          <w:bCs/>
        </w:rPr>
        <w:t>4</w:t>
      </w:r>
      <w:r w:rsidRPr="000C2DD9">
        <w:rPr>
          <w:bCs/>
        </w:rPr>
        <w:t xml:space="preserve"> to March 30, 202</w:t>
      </w:r>
      <w:r w:rsidR="000C2DD9" w:rsidRPr="000C2DD9">
        <w:rPr>
          <w:bCs/>
        </w:rPr>
        <w:t>5</w:t>
      </w:r>
      <w:r w:rsidRPr="000C2DD9">
        <w:rPr>
          <w:bCs/>
        </w:rPr>
        <w:t xml:space="preserve">, </w:t>
      </w:r>
      <w:r w:rsidR="000C2DD9" w:rsidRPr="000C2DD9">
        <w:rPr>
          <w:bCs/>
        </w:rPr>
        <w:t>two</w:t>
      </w:r>
      <w:r w:rsidRPr="000C2DD9">
        <w:rPr>
          <w:bCs/>
        </w:rPr>
        <w:t xml:space="preserve"> downtown revitalization projects were closed out. </w:t>
      </w:r>
      <w:r w:rsidR="000C2DD9" w:rsidRPr="000C2DD9">
        <w:rPr>
          <w:bCs/>
        </w:rPr>
        <w:t>These two projects account for 5,945 people benefitting from the activity.</w:t>
      </w:r>
      <w:r w:rsidR="000C2DD9">
        <w:rPr>
          <w:bCs/>
        </w:rPr>
        <w:t xml:space="preserve"> </w:t>
      </w:r>
    </w:p>
    <w:p w14:paraId="37FE34D4" w14:textId="77777777" w:rsidR="00DE7061" w:rsidRPr="00C55F3B" w:rsidRDefault="00DE7061" w:rsidP="006B02BE">
      <w:pPr>
        <w:spacing w:after="0"/>
        <w:ind w:left="140"/>
        <w:rPr>
          <w:bCs/>
        </w:rPr>
      </w:pPr>
    </w:p>
    <w:p w14:paraId="307C44E9" w14:textId="59E86EE4" w:rsidR="00B6441F" w:rsidRDefault="00A36B82" w:rsidP="00DE7061">
      <w:pPr>
        <w:spacing w:after="0"/>
        <w:ind w:left="140"/>
      </w:pPr>
      <w:r>
        <w:t>In the 202</w:t>
      </w:r>
      <w:r w:rsidR="009802AD">
        <w:t>4</w:t>
      </w:r>
      <w:r>
        <w:t xml:space="preserve"> program year </w:t>
      </w:r>
      <w:r w:rsidR="00356448">
        <w:t>$</w:t>
      </w:r>
      <w:r w:rsidR="00DE2BAA">
        <w:t>175,000</w:t>
      </w:r>
      <w:r w:rsidR="00255600">
        <w:t xml:space="preserve"> in CDBG CV CARES funds were awarded to </w:t>
      </w:r>
      <w:r w:rsidR="00DE2BAA">
        <w:t xml:space="preserve">one </w:t>
      </w:r>
      <w:r w:rsidR="00255600">
        <w:t xml:space="preserve">project meeting the </w:t>
      </w:r>
      <w:r w:rsidR="00255600" w:rsidRPr="00255600">
        <w:rPr>
          <w:b/>
          <w:bCs/>
        </w:rPr>
        <w:t xml:space="preserve">Prepare, Prevent, and Respond </w:t>
      </w:r>
      <w:r w:rsidR="00A90ADC">
        <w:rPr>
          <w:b/>
          <w:bCs/>
        </w:rPr>
        <w:t xml:space="preserve">and Build Resiliency </w:t>
      </w:r>
      <w:r w:rsidR="00255600" w:rsidRPr="00255600">
        <w:rPr>
          <w:b/>
          <w:bCs/>
        </w:rPr>
        <w:t xml:space="preserve">to COVID-19 </w:t>
      </w:r>
      <w:r w:rsidR="00255600">
        <w:rPr>
          <w:b/>
          <w:bCs/>
        </w:rPr>
        <w:t>I</w:t>
      </w:r>
      <w:r w:rsidR="00255600" w:rsidRPr="00255600">
        <w:rPr>
          <w:b/>
          <w:bCs/>
        </w:rPr>
        <w:t>nfections.</w:t>
      </w:r>
      <w:r w:rsidR="00BD6606">
        <w:t xml:space="preserve"> </w:t>
      </w:r>
      <w:r w:rsidR="00DE2BAA">
        <w:t>Ten</w:t>
      </w:r>
      <w:r w:rsidR="00AF7772">
        <w:t xml:space="preserve"> </w:t>
      </w:r>
      <w:r w:rsidR="00255600">
        <w:t xml:space="preserve">Idaho residents will benefit from </w:t>
      </w:r>
      <w:r w:rsidR="00A90ADC">
        <w:t xml:space="preserve">the </w:t>
      </w:r>
      <w:r w:rsidR="00DE2BAA">
        <w:t xml:space="preserve">job </w:t>
      </w:r>
      <w:r w:rsidR="00DE2BAA">
        <w:lastRenderedPageBreak/>
        <w:t xml:space="preserve">creation </w:t>
      </w:r>
      <w:r w:rsidR="00A90ADC">
        <w:t>project.</w:t>
      </w:r>
      <w:r w:rsidR="00660321">
        <w:t xml:space="preserve"> </w:t>
      </w:r>
      <w:r w:rsidR="00DE2BAA">
        <w:t xml:space="preserve">At least six </w:t>
      </w:r>
      <w:r w:rsidR="00660321">
        <w:t xml:space="preserve">of the residents </w:t>
      </w:r>
      <w:r w:rsidR="00DE2BAA">
        <w:t xml:space="preserve">to be hired are required to be </w:t>
      </w:r>
      <w:r w:rsidR="00660321">
        <w:t>low to moderate</w:t>
      </w:r>
      <w:r w:rsidR="00AF7772">
        <w:t xml:space="preserve"> income</w:t>
      </w:r>
      <w:r w:rsidR="00DE2BAA">
        <w:t xml:space="preserve"> prior to their hiring date. </w:t>
      </w:r>
      <w:r w:rsidR="00660321">
        <w:t xml:space="preserve"> </w:t>
      </w:r>
    </w:p>
    <w:p w14:paraId="25BD2A4D" w14:textId="77777777" w:rsidR="00DE7061" w:rsidRDefault="00DE7061" w:rsidP="006B02BE">
      <w:pPr>
        <w:spacing w:after="0"/>
        <w:ind w:left="140"/>
      </w:pPr>
    </w:p>
    <w:p w14:paraId="37889016" w14:textId="5A3F14F0" w:rsidR="00A36B82" w:rsidRPr="008E73EE" w:rsidRDefault="00A36B82" w:rsidP="000C2DD9">
      <w:pPr>
        <w:spacing w:after="0"/>
        <w:ind w:left="450"/>
      </w:pPr>
      <w:r w:rsidRPr="000C2DD9">
        <w:t>From April 1, 202</w:t>
      </w:r>
      <w:r w:rsidR="00F5280C">
        <w:t>4</w:t>
      </w:r>
      <w:r w:rsidRPr="000C2DD9">
        <w:t xml:space="preserve"> to March 30, 202</w:t>
      </w:r>
      <w:r w:rsidR="00F5280C">
        <w:t>5</w:t>
      </w:r>
      <w:r w:rsidRPr="000C2DD9">
        <w:t>, four CDBG CV CARES projects (projects that were funded in the last three years) were completed and closed out</w:t>
      </w:r>
      <w:r w:rsidR="006E25E7" w:rsidRPr="000C2DD9">
        <w:t xml:space="preserve">. </w:t>
      </w:r>
      <w:r w:rsidRPr="000C2DD9">
        <w:t xml:space="preserve"> These four projects account for </w:t>
      </w:r>
      <w:r w:rsidR="00740A44" w:rsidRPr="000C2DD9">
        <w:t>9,326</w:t>
      </w:r>
      <w:r w:rsidR="000C2DD9" w:rsidRPr="000C2DD9">
        <w:t xml:space="preserve"> people </w:t>
      </w:r>
      <w:r w:rsidRPr="000C2DD9">
        <w:t xml:space="preserve">benefiting from the public facility </w:t>
      </w:r>
      <w:r w:rsidR="000C2DD9">
        <w:t xml:space="preserve">/ </w:t>
      </w:r>
      <w:r w:rsidRPr="000C2DD9">
        <w:t xml:space="preserve">infrastructure </w:t>
      </w:r>
      <w:r w:rsidR="000C2DD9">
        <w:t xml:space="preserve">or public service </w:t>
      </w:r>
      <w:r w:rsidRPr="000C2DD9">
        <w:t>activity.</w:t>
      </w:r>
      <w:r w:rsidRPr="008E73EE">
        <w:t xml:space="preserve">  </w:t>
      </w:r>
    </w:p>
    <w:p w14:paraId="5FE8D474" w14:textId="77777777" w:rsidR="00DE7061" w:rsidRPr="008E73EE" w:rsidRDefault="00DE7061" w:rsidP="006B02BE">
      <w:pPr>
        <w:spacing w:after="0"/>
        <w:ind w:left="140"/>
      </w:pPr>
    </w:p>
    <w:p w14:paraId="5D32A281" w14:textId="71EC6450" w:rsidR="00614F0A" w:rsidRDefault="00614F0A" w:rsidP="00345DDE">
      <w:pPr>
        <w:pStyle w:val="BodyText"/>
        <w:ind w:left="180"/>
      </w:pPr>
      <w:r w:rsidRPr="008E73EE">
        <w:t xml:space="preserve">Note: </w:t>
      </w:r>
      <w:r w:rsidR="005F690B" w:rsidRPr="008E73EE">
        <w:t>B</w:t>
      </w:r>
      <w:r w:rsidRPr="008E73EE">
        <w:t xml:space="preserve">etween the expenditure amounts established in the </w:t>
      </w:r>
      <w:r w:rsidR="000F2A9C" w:rsidRPr="008E73EE">
        <w:t>202</w:t>
      </w:r>
      <w:r w:rsidR="00DE2BAA">
        <w:t>4</w:t>
      </w:r>
      <w:r w:rsidR="000F2A9C" w:rsidRPr="008E73EE">
        <w:t xml:space="preserve"> </w:t>
      </w:r>
      <w:r w:rsidRPr="008E73EE">
        <w:t>annual action plan for the six CDBG goals, recognize the expenditure are the amount</w:t>
      </w:r>
      <w:r w:rsidR="00DE7061" w:rsidRPr="008E73EE">
        <w:t>s</w:t>
      </w:r>
      <w:r w:rsidRPr="008E73EE">
        <w:t xml:space="preserve"> allocated to a CDBG project that meets the applicable goal.  </w:t>
      </w:r>
      <w:r w:rsidR="00DE7061" w:rsidRPr="008E73EE">
        <w:t>Whereas</w:t>
      </w:r>
      <w:r w:rsidRPr="008E73EE">
        <w:t xml:space="preserve"> CDBG projects will take longer than one year to complete the CR-05 outcomes amounts will not align with the projects funded in the 202</w:t>
      </w:r>
      <w:r w:rsidR="00DE2BAA">
        <w:t>4</w:t>
      </w:r>
      <w:r w:rsidRPr="008E73EE">
        <w:t xml:space="preserve"> program year.   </w:t>
      </w:r>
      <w:r w:rsidR="00EF3F0D" w:rsidRPr="008E73EE">
        <w:t>The CR-05 outcomes are for previously funded projects that closed out in the 202</w:t>
      </w:r>
      <w:r w:rsidR="00DE2BAA">
        <w:t>4</w:t>
      </w:r>
      <w:r w:rsidR="00EF3F0D" w:rsidRPr="008E73EE">
        <w:t xml:space="preserve"> program year.</w:t>
      </w:r>
      <w:r w:rsidR="00EF3F0D">
        <w:t xml:space="preserve">  </w:t>
      </w:r>
    </w:p>
    <w:p w14:paraId="46B24BC2" w14:textId="77777777" w:rsidR="00345DDE" w:rsidRPr="007B6339" w:rsidRDefault="00345DDE" w:rsidP="006B02BE">
      <w:pPr>
        <w:pStyle w:val="BodyText"/>
        <w:ind w:left="180"/>
      </w:pPr>
    </w:p>
    <w:p w14:paraId="0A7DE4C5" w14:textId="77777777" w:rsidR="002E5062" w:rsidRPr="00803325" w:rsidRDefault="002E5062" w:rsidP="00C22356">
      <w:pPr>
        <w:spacing w:after="0"/>
        <w:ind w:right="60"/>
        <w:rPr>
          <w:b/>
          <w:i/>
          <w:sz w:val="18"/>
          <w:szCs w:val="18"/>
        </w:rPr>
      </w:pPr>
      <w:r w:rsidRPr="00803325">
        <w:rPr>
          <w:b/>
          <w:i/>
          <w:sz w:val="18"/>
          <w:szCs w:val="18"/>
        </w:rPr>
        <w:t>Comparison of the proposed versus actual outcomes for each outcome measure submitted with the consolidated plan and explain, if applicable, why progress was not made toward meeting goals and objectives. 91.520(g)</w:t>
      </w:r>
    </w:p>
    <w:p w14:paraId="63FA6291" w14:textId="2BF83BF9" w:rsidR="002E5062" w:rsidRPr="00803325" w:rsidRDefault="002E5062" w:rsidP="00C22356">
      <w:pPr>
        <w:pStyle w:val="BodyText"/>
        <w:ind w:right="462"/>
        <w:rPr>
          <w:b/>
          <w:bCs/>
          <w:i/>
          <w:iCs/>
          <w:sz w:val="18"/>
          <w:szCs w:val="18"/>
        </w:rPr>
      </w:pPr>
      <w:r w:rsidRPr="00803325">
        <w:rPr>
          <w:b/>
          <w:bCs/>
          <w:i/>
          <w:iCs/>
          <w:sz w:val="18"/>
          <w:szCs w:val="18"/>
        </w:rPr>
        <w:t>Categories, priority levels, funding sources and amounts, outcomes/objectives, goal outcome indicators, units of measure, targets, actual outcomes/outputs, and percentage completed for each of the grantee's program year goals.</w:t>
      </w:r>
    </w:p>
    <w:p w14:paraId="17A43530" w14:textId="77777777" w:rsidR="001004FB" w:rsidRPr="00803325" w:rsidRDefault="001004FB" w:rsidP="00C22356">
      <w:pPr>
        <w:ind w:right="214"/>
        <w:rPr>
          <w:b/>
          <w:i/>
          <w:sz w:val="18"/>
          <w:szCs w:val="18"/>
        </w:rPr>
      </w:pPr>
      <w:r w:rsidRPr="00803325">
        <w:rPr>
          <w:b/>
          <w:i/>
          <w:sz w:val="18"/>
          <w:szCs w:val="18"/>
        </w:rPr>
        <w:t>Assess how the jurisdiction’s use of funds, particularly CDBG, addresses the priorities and specific objectives identified in the plan, giving special attention to the highest priority activities identified.</w:t>
      </w:r>
    </w:p>
    <w:p w14:paraId="025B9C9A" w14:textId="10024E5B" w:rsidR="001004FB" w:rsidRDefault="0034575B" w:rsidP="00BC079B">
      <w:pPr>
        <w:pStyle w:val="BodyText"/>
        <w:numPr>
          <w:ilvl w:val="0"/>
          <w:numId w:val="26"/>
        </w:numPr>
        <w:spacing w:before="121"/>
        <w:ind w:right="457"/>
      </w:pPr>
      <w:r>
        <w:t>Public Infrastructure and Facilities – Compliance: CDBG obligated / expended $</w:t>
      </w:r>
      <w:r w:rsidR="00B318EF">
        <w:t>715,000</w:t>
      </w:r>
      <w:r>
        <w:t xml:space="preserve"> on activities. This </w:t>
      </w:r>
      <w:r w:rsidR="005460AE">
        <w:t xml:space="preserve">did not meet the 25% goal of </w:t>
      </w:r>
      <w:r w:rsidR="00A90ADC">
        <w:t>$</w:t>
      </w:r>
      <w:r w:rsidR="007E0777" w:rsidRPr="00FE7A6C">
        <w:t>1</w:t>
      </w:r>
      <w:r w:rsidR="00A90ADC" w:rsidRPr="00FE7A6C">
        <w:t>,</w:t>
      </w:r>
      <w:r w:rsidR="00FE7A6C" w:rsidRPr="00FE7A6C">
        <w:t>828,079</w:t>
      </w:r>
      <w:r w:rsidR="007E0777" w:rsidRPr="00FE7A6C">
        <w:t>.</w:t>
      </w:r>
      <w:r>
        <w:t xml:space="preserve"> </w:t>
      </w:r>
    </w:p>
    <w:p w14:paraId="5ED8C7FC" w14:textId="7BC6B42D" w:rsidR="007E0777" w:rsidRDefault="007E0777" w:rsidP="00BC079B">
      <w:pPr>
        <w:pStyle w:val="BodyText"/>
        <w:numPr>
          <w:ilvl w:val="0"/>
          <w:numId w:val="26"/>
        </w:numPr>
        <w:spacing w:before="121"/>
        <w:ind w:right="457"/>
      </w:pPr>
      <w:r>
        <w:t>Public Infrastructure and Facilities – Rehabilitation: CDBG obligated / expended $</w:t>
      </w:r>
      <w:r w:rsidR="005460AE">
        <w:t>1,730,450</w:t>
      </w:r>
      <w:r>
        <w:t xml:space="preserve"> on activities.  This </w:t>
      </w:r>
      <w:r w:rsidR="005460AE">
        <w:t xml:space="preserve">did not meet the </w:t>
      </w:r>
      <w:r>
        <w:t xml:space="preserve">30% </w:t>
      </w:r>
      <w:r w:rsidR="0006020E">
        <w:t xml:space="preserve">goal </w:t>
      </w:r>
      <w:r w:rsidR="0006020E" w:rsidRPr="00FE7A6C">
        <w:t>of $</w:t>
      </w:r>
      <w:r w:rsidR="00C22356" w:rsidRPr="00FE7A6C">
        <w:t>2,</w:t>
      </w:r>
      <w:r w:rsidR="00FE7A6C" w:rsidRPr="00FE7A6C">
        <w:t>193,695</w:t>
      </w:r>
      <w:r w:rsidR="00C22356" w:rsidRPr="00FE7A6C">
        <w:t>.</w:t>
      </w:r>
    </w:p>
    <w:p w14:paraId="153C68C7" w14:textId="2B93CCE0" w:rsidR="007E0777" w:rsidRDefault="007E0777" w:rsidP="00BC079B">
      <w:pPr>
        <w:pStyle w:val="BodyText"/>
        <w:numPr>
          <w:ilvl w:val="0"/>
          <w:numId w:val="26"/>
        </w:numPr>
        <w:spacing w:before="121"/>
        <w:ind w:right="457"/>
      </w:pPr>
      <w:r>
        <w:t>Public Infrastructure and Facilities – New Construction:</w:t>
      </w:r>
      <w:r w:rsidR="0006020E">
        <w:t xml:space="preserve"> CDBG obligated / expended</w:t>
      </w:r>
      <w:r w:rsidR="00C22356">
        <w:t xml:space="preserve"> $</w:t>
      </w:r>
      <w:r w:rsidR="005460AE">
        <w:t>4,057,660</w:t>
      </w:r>
      <w:r w:rsidR="0006020E">
        <w:t xml:space="preserve"> on activities</w:t>
      </w:r>
      <w:r w:rsidR="00C14237">
        <w:t xml:space="preserve">. This exceeded the 25% goal of </w:t>
      </w:r>
      <w:r w:rsidR="00C14237" w:rsidRPr="00FE7A6C">
        <w:t>$</w:t>
      </w:r>
      <w:r w:rsidR="00D154AE" w:rsidRPr="00FE7A6C">
        <w:t>1,</w:t>
      </w:r>
      <w:r w:rsidR="00FE7A6C" w:rsidRPr="00FE7A6C">
        <w:t>828,079</w:t>
      </w:r>
      <w:r w:rsidR="00D154AE">
        <w:t xml:space="preserve">. </w:t>
      </w:r>
      <w:r w:rsidR="00C14237">
        <w:t xml:space="preserve"> </w:t>
      </w:r>
    </w:p>
    <w:p w14:paraId="171CEFEF" w14:textId="0C5E6FAB" w:rsidR="00C628A7" w:rsidRDefault="00C14237" w:rsidP="00BC079B">
      <w:pPr>
        <w:pStyle w:val="BodyText"/>
        <w:numPr>
          <w:ilvl w:val="0"/>
          <w:numId w:val="26"/>
        </w:numPr>
        <w:spacing w:before="121"/>
        <w:ind w:right="457"/>
      </w:pPr>
      <w:r>
        <w:t>Economic Development – Job Creation: CDBG obligated / expended $</w:t>
      </w:r>
      <w:r w:rsidR="00D154AE">
        <w:t>0</w:t>
      </w:r>
      <w:r>
        <w:t xml:space="preserve"> on job creation activities. This did not meet the 10% goal of </w:t>
      </w:r>
      <w:r w:rsidRPr="00FE7A6C">
        <w:t>$7</w:t>
      </w:r>
      <w:r w:rsidR="00FE7A6C" w:rsidRPr="00FE7A6C">
        <w:t>31,231</w:t>
      </w:r>
      <w:r w:rsidRPr="00FE7A6C">
        <w:t>.</w:t>
      </w:r>
    </w:p>
    <w:p w14:paraId="44B2D9D1" w14:textId="636BD41C" w:rsidR="00C14237" w:rsidRDefault="00C14237" w:rsidP="00BC079B">
      <w:pPr>
        <w:pStyle w:val="BodyText"/>
        <w:numPr>
          <w:ilvl w:val="0"/>
          <w:numId w:val="26"/>
        </w:numPr>
        <w:spacing w:before="121"/>
        <w:ind w:right="457"/>
      </w:pPr>
      <w:r>
        <w:t>Economic Development – Downtown Revitalization: CDBG obligated / expended $</w:t>
      </w:r>
      <w:r w:rsidR="005460AE">
        <w:t>1,555</w:t>
      </w:r>
      <w:r w:rsidR="00C22356">
        <w:t>,000</w:t>
      </w:r>
      <w:r>
        <w:t xml:space="preserve"> on </w:t>
      </w:r>
      <w:r w:rsidR="003B6F2E">
        <w:t xml:space="preserve">downtown revitalization activities. This </w:t>
      </w:r>
      <w:r w:rsidR="005460AE">
        <w:t xml:space="preserve">exceeded </w:t>
      </w:r>
      <w:r w:rsidR="003B6F2E">
        <w:t xml:space="preserve">the 10% goal of </w:t>
      </w:r>
      <w:r w:rsidR="003B6F2E" w:rsidRPr="00FE7A6C">
        <w:t>$7</w:t>
      </w:r>
      <w:r w:rsidR="00FE7A6C" w:rsidRPr="00FE7A6C">
        <w:t>31,231</w:t>
      </w:r>
      <w:r w:rsidR="00D154AE" w:rsidRPr="00FE7A6C">
        <w:t>.</w:t>
      </w:r>
    </w:p>
    <w:p w14:paraId="6E0E03D0" w14:textId="77777777" w:rsidR="00B769C1" w:rsidRDefault="00B769C1" w:rsidP="007E0777">
      <w:pPr>
        <w:pStyle w:val="BodyText"/>
        <w:spacing w:before="121"/>
        <w:ind w:left="140" w:right="457"/>
      </w:pPr>
    </w:p>
    <w:p w14:paraId="3FAE6848" w14:textId="2E6CDD43" w:rsidR="00C628A7" w:rsidRDefault="00C628A7" w:rsidP="000B224F">
      <w:pPr>
        <w:pStyle w:val="BodyText"/>
        <w:ind w:left="180"/>
      </w:pPr>
      <w:r>
        <w:t>Note: For the CDBG program, Program Year 202</w:t>
      </w:r>
      <w:r w:rsidR="00FE7A6C">
        <w:t>4</w:t>
      </w:r>
      <w:r>
        <w:t xml:space="preserve"> Table 1 identifies the goals and their corresponding objectives, some of which may have a low percentage of completion or even zero percent (0%) of completion. This is misleading because a goal with its applicable objective is not reported until a project is closed out. It is not uncommon for CDBG projects to take over a year to complete, therefore, a CDBG project may be trending towards meeting a specific goal and its objective, but the trending data is not captured in the table because the project is not closed out.</w:t>
      </w:r>
    </w:p>
    <w:p w14:paraId="0C414987" w14:textId="77777777" w:rsidR="00C628A7" w:rsidRDefault="00C628A7" w:rsidP="000B224F">
      <w:pPr>
        <w:pStyle w:val="BodyText"/>
        <w:spacing w:before="121"/>
        <w:ind w:left="140" w:right="457" w:firstLine="180"/>
        <w:rPr>
          <w:sz w:val="20"/>
        </w:rPr>
      </w:pPr>
    </w:p>
    <w:p w14:paraId="248727BB" w14:textId="77777777" w:rsidR="00BC079B" w:rsidRDefault="00BC079B" w:rsidP="000B224F">
      <w:pPr>
        <w:pStyle w:val="BodyText"/>
        <w:spacing w:before="121"/>
        <w:ind w:left="140" w:right="457" w:firstLine="180"/>
        <w:rPr>
          <w:sz w:val="20"/>
        </w:rPr>
      </w:pPr>
    </w:p>
    <w:p w14:paraId="1599670D" w14:textId="77777777" w:rsidR="00BC079B" w:rsidRDefault="00BC079B" w:rsidP="000B224F">
      <w:pPr>
        <w:pStyle w:val="BodyText"/>
        <w:spacing w:before="121"/>
        <w:ind w:left="140" w:right="457" w:firstLine="180"/>
        <w:rPr>
          <w:sz w:val="20"/>
        </w:rPr>
      </w:pPr>
    </w:p>
    <w:p w14:paraId="2A1D737F" w14:textId="77777777" w:rsidR="00BC079B" w:rsidRDefault="00BC079B" w:rsidP="000B224F">
      <w:pPr>
        <w:pStyle w:val="BodyText"/>
        <w:spacing w:before="121"/>
        <w:ind w:left="140" w:right="457" w:firstLine="180"/>
        <w:rPr>
          <w:sz w:val="20"/>
        </w:rPr>
      </w:pPr>
    </w:p>
    <w:p w14:paraId="4A75F00C" w14:textId="77777777" w:rsidR="00BC079B" w:rsidRDefault="00BC079B" w:rsidP="000B224F">
      <w:pPr>
        <w:pStyle w:val="BodyText"/>
        <w:spacing w:before="121"/>
        <w:ind w:left="140" w:right="457" w:firstLine="180"/>
        <w:rPr>
          <w:sz w:val="20"/>
        </w:rPr>
      </w:pPr>
    </w:p>
    <w:p w14:paraId="35F96702" w14:textId="77777777" w:rsidR="00BC079B" w:rsidRDefault="00BC079B" w:rsidP="000B224F">
      <w:pPr>
        <w:pStyle w:val="BodyText"/>
        <w:spacing w:before="121"/>
        <w:ind w:left="140" w:right="457" w:firstLine="180"/>
        <w:rPr>
          <w:sz w:val="20"/>
        </w:rPr>
      </w:pPr>
    </w:p>
    <w:p w14:paraId="3D983747" w14:textId="77777777" w:rsidR="00BC079B" w:rsidRDefault="00BC079B" w:rsidP="000B224F">
      <w:pPr>
        <w:pStyle w:val="BodyText"/>
        <w:spacing w:before="121"/>
        <w:ind w:left="140" w:right="457" w:firstLine="180"/>
        <w:rPr>
          <w:sz w:val="20"/>
        </w:rPr>
      </w:pPr>
    </w:p>
    <w:p w14:paraId="36E65EAD" w14:textId="77777777" w:rsidR="00BC079B" w:rsidRDefault="00BC079B" w:rsidP="000B224F">
      <w:pPr>
        <w:pStyle w:val="BodyText"/>
        <w:spacing w:before="121"/>
        <w:ind w:left="140" w:right="457" w:firstLine="180"/>
        <w:rPr>
          <w:sz w:val="20"/>
        </w:rPr>
      </w:pPr>
    </w:p>
    <w:p w14:paraId="0AD862C0" w14:textId="77777777" w:rsidR="00BC079B" w:rsidRDefault="00BC079B" w:rsidP="000B224F">
      <w:pPr>
        <w:pStyle w:val="BodyText"/>
        <w:spacing w:before="121"/>
        <w:ind w:left="140" w:right="457" w:firstLine="180"/>
        <w:rPr>
          <w:sz w:val="20"/>
        </w:rPr>
      </w:pPr>
    </w:p>
    <w:p w14:paraId="0327AC13" w14:textId="77777777" w:rsidR="00BC079B" w:rsidRDefault="00BC079B" w:rsidP="000B224F">
      <w:pPr>
        <w:pStyle w:val="BodyText"/>
        <w:spacing w:before="121"/>
        <w:ind w:left="140" w:right="457" w:firstLine="180"/>
        <w:rPr>
          <w:sz w:val="20"/>
        </w:rPr>
      </w:pPr>
    </w:p>
    <w:p w14:paraId="56384816" w14:textId="77777777" w:rsidR="00BC079B" w:rsidRDefault="00BC079B" w:rsidP="000B224F">
      <w:pPr>
        <w:pStyle w:val="BodyText"/>
        <w:spacing w:before="121"/>
        <w:ind w:left="140" w:right="457" w:firstLine="180"/>
        <w:rPr>
          <w:sz w:val="20"/>
        </w:rPr>
      </w:pPr>
    </w:p>
    <w:p w14:paraId="0F937D9D" w14:textId="77777777" w:rsidR="0071142E" w:rsidRDefault="0071142E" w:rsidP="0071142E">
      <w:pPr>
        <w:spacing w:before="100"/>
        <w:ind w:left="140"/>
        <w:rPr>
          <w:rFonts w:ascii="Cambria"/>
          <w:b/>
          <w:sz w:val="32"/>
        </w:rPr>
      </w:pPr>
      <w:r>
        <w:rPr>
          <w:rFonts w:ascii="Cambria"/>
          <w:b/>
          <w:color w:val="365F91"/>
          <w:sz w:val="32"/>
        </w:rPr>
        <w:t>CR-15-Resources and Investments</w:t>
      </w:r>
    </w:p>
    <w:p w14:paraId="48299411" w14:textId="77777777" w:rsidR="00ED69F9" w:rsidRPr="00ED69F9" w:rsidRDefault="00ED69F9" w:rsidP="00ED69F9">
      <w:pPr>
        <w:pStyle w:val="BodyText"/>
        <w:spacing w:before="119"/>
        <w:ind w:left="140" w:right="237"/>
        <w:rPr>
          <w:b/>
          <w:bCs/>
        </w:rPr>
      </w:pPr>
      <w:r w:rsidRPr="00ED69F9">
        <w:rPr>
          <w:b/>
          <w:bCs/>
        </w:rPr>
        <w:t xml:space="preserve">CDBG </w:t>
      </w:r>
    </w:p>
    <w:p w14:paraId="47D2932E" w14:textId="0B2D2E6D" w:rsidR="000C1989" w:rsidRDefault="00ED69F9" w:rsidP="00ED69F9">
      <w:pPr>
        <w:pStyle w:val="BodyText"/>
        <w:spacing w:before="119"/>
        <w:ind w:left="140" w:right="237"/>
        <w:rPr>
          <w:rFonts w:asciiTheme="minorHAnsi" w:eastAsiaTheme="minorHAnsi" w:hAnsiTheme="minorHAnsi" w:cstheme="minorBidi"/>
          <w:b/>
          <w:sz w:val="24"/>
        </w:rPr>
      </w:pPr>
      <w:r w:rsidRPr="00ED69F9">
        <w:t>In the table below, the column identified as "Amount Expended during Program year (20</w:t>
      </w:r>
      <w:r>
        <w:t>2</w:t>
      </w:r>
      <w:r w:rsidR="00FE7A6C">
        <w:t>4</w:t>
      </w:r>
      <w:r w:rsidRPr="00ED69F9">
        <w:t>) as reported in PR-50.</w:t>
      </w:r>
      <w:r w:rsidRPr="00ED69F9">
        <w:rPr>
          <w:rFonts w:asciiTheme="minorHAnsi" w:eastAsiaTheme="minorHAnsi" w:hAnsiTheme="minorHAnsi" w:cstheme="minorBidi"/>
          <w:b/>
          <w:sz w:val="24"/>
        </w:rPr>
        <w:t xml:space="preserve"> </w:t>
      </w:r>
    </w:p>
    <w:p w14:paraId="229DD6C1" w14:textId="21FC264E" w:rsidR="00B36BF3" w:rsidRDefault="00B42207" w:rsidP="00B36BF3">
      <w:pPr>
        <w:pStyle w:val="NormalWeb"/>
      </w:pPr>
      <w:r>
        <w:rPr>
          <w:noProof/>
        </w:rPr>
        <w:drawing>
          <wp:inline distT="0" distB="0" distL="0" distR="0" wp14:anchorId="220DD598" wp14:editId="76400039">
            <wp:extent cx="6798205" cy="5343525"/>
            <wp:effectExtent l="0" t="0" r="3175" b="0"/>
            <wp:docPr id="214797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8205" cy="5343525"/>
                    </a:xfrm>
                    <a:prstGeom prst="rect">
                      <a:avLst/>
                    </a:prstGeom>
                    <a:noFill/>
                    <a:ln>
                      <a:noFill/>
                    </a:ln>
                  </pic:spPr>
                </pic:pic>
              </a:graphicData>
            </a:graphic>
          </wp:inline>
        </w:drawing>
      </w:r>
    </w:p>
    <w:p w14:paraId="64D3E898" w14:textId="77777777" w:rsidR="00B36BF3" w:rsidRDefault="00B36BF3" w:rsidP="00ED69F9">
      <w:pPr>
        <w:pStyle w:val="BodyText"/>
        <w:spacing w:before="119"/>
        <w:ind w:left="140" w:right="237"/>
        <w:rPr>
          <w:rFonts w:asciiTheme="minorHAnsi" w:eastAsiaTheme="minorHAnsi" w:hAnsiTheme="minorHAnsi" w:cstheme="minorBidi"/>
          <w:b/>
          <w:sz w:val="24"/>
        </w:rPr>
      </w:pPr>
    </w:p>
    <w:p w14:paraId="688AC735" w14:textId="77777777" w:rsidR="00ED69F9" w:rsidRPr="001166FA" w:rsidRDefault="00ED69F9" w:rsidP="00ED69F9">
      <w:pPr>
        <w:pStyle w:val="BodyText"/>
        <w:spacing w:before="119"/>
        <w:ind w:left="140" w:right="237"/>
        <w:rPr>
          <w:sz w:val="20"/>
        </w:rPr>
      </w:pPr>
    </w:p>
    <w:p w14:paraId="6894D5ED" w14:textId="03710D40" w:rsidR="000C1989" w:rsidRDefault="000C1989" w:rsidP="000C1989">
      <w:pPr>
        <w:pStyle w:val="NoSpacing"/>
        <w:rPr>
          <w:rFonts w:ascii="Arial" w:hAnsi="Arial" w:cs="Arial"/>
          <w:b/>
          <w:sz w:val="18"/>
          <w:szCs w:val="18"/>
        </w:rPr>
      </w:pPr>
    </w:p>
    <w:p w14:paraId="1A82C858" w14:textId="264C8D2B" w:rsidR="0020724F" w:rsidRDefault="0020724F" w:rsidP="000C1989">
      <w:pPr>
        <w:pStyle w:val="NoSpacing"/>
        <w:rPr>
          <w:rFonts w:ascii="Arial" w:hAnsi="Arial" w:cs="Arial"/>
          <w:b/>
          <w:sz w:val="18"/>
          <w:szCs w:val="18"/>
        </w:rPr>
      </w:pPr>
    </w:p>
    <w:p w14:paraId="61D0831C" w14:textId="378B9ADF" w:rsidR="0020724F" w:rsidRDefault="0020724F" w:rsidP="000C1989">
      <w:pPr>
        <w:pStyle w:val="NoSpacing"/>
        <w:rPr>
          <w:rFonts w:ascii="Arial" w:hAnsi="Arial" w:cs="Arial"/>
          <w:b/>
          <w:sz w:val="18"/>
          <w:szCs w:val="18"/>
        </w:rPr>
      </w:pPr>
    </w:p>
    <w:p w14:paraId="01C13F19" w14:textId="6D9E4CA4" w:rsidR="00484D39" w:rsidRDefault="00484D39" w:rsidP="000C1989">
      <w:pPr>
        <w:pStyle w:val="NoSpacing"/>
        <w:rPr>
          <w:rFonts w:ascii="Arial" w:hAnsi="Arial" w:cs="Arial"/>
          <w:b/>
          <w:sz w:val="18"/>
          <w:szCs w:val="18"/>
        </w:rPr>
      </w:pPr>
    </w:p>
    <w:p w14:paraId="63285A72" w14:textId="6D192412" w:rsidR="00876CB3" w:rsidRPr="00876CB3" w:rsidRDefault="00876CB3" w:rsidP="00876CB3">
      <w:pPr>
        <w:pStyle w:val="NormalWeb"/>
      </w:pPr>
      <w:r w:rsidRPr="00876CB3">
        <w:rPr>
          <w:noProof/>
        </w:rPr>
        <w:lastRenderedPageBreak/>
        <w:drawing>
          <wp:inline distT="0" distB="0" distL="0" distR="0" wp14:anchorId="4482A608" wp14:editId="3020FB1F">
            <wp:extent cx="6560820" cy="8488680"/>
            <wp:effectExtent l="0" t="0" r="0" b="7620"/>
            <wp:docPr id="1642183692" name="Picture 2"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83692" name="Picture 2" descr="Map&#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0820" cy="8488680"/>
                    </a:xfrm>
                    <a:prstGeom prst="rect">
                      <a:avLst/>
                    </a:prstGeom>
                    <a:noFill/>
                    <a:ln>
                      <a:noFill/>
                    </a:ln>
                  </pic:spPr>
                </pic:pic>
              </a:graphicData>
            </a:graphic>
          </wp:inline>
        </w:drawing>
      </w:r>
    </w:p>
    <w:p w14:paraId="082DA96C" w14:textId="3909E657" w:rsidR="00B33E40" w:rsidRPr="00B33E40" w:rsidRDefault="00B33E40" w:rsidP="00B33E40">
      <w:pPr>
        <w:pStyle w:val="NormalWeb"/>
      </w:pPr>
    </w:p>
    <w:p w14:paraId="279B39DC" w14:textId="3EFC6E0A" w:rsidR="008865D1" w:rsidRDefault="008865D1" w:rsidP="008865D1">
      <w:pPr>
        <w:pStyle w:val="NormalWeb"/>
      </w:pPr>
    </w:p>
    <w:p w14:paraId="217C6140" w14:textId="3BAB870D" w:rsidR="00ED69F9" w:rsidRDefault="00ED69F9" w:rsidP="000C1989">
      <w:pPr>
        <w:pStyle w:val="NoSpacing"/>
        <w:rPr>
          <w:rFonts w:ascii="Arial" w:hAnsi="Arial" w:cs="Arial"/>
          <w:b/>
          <w:sz w:val="18"/>
          <w:szCs w:val="18"/>
        </w:rPr>
      </w:pPr>
    </w:p>
    <w:p w14:paraId="3E68DD68" w14:textId="5802B6E5" w:rsidR="00ED69F9" w:rsidRDefault="00ED69F9" w:rsidP="000C1989">
      <w:pPr>
        <w:pStyle w:val="NoSpacing"/>
        <w:rPr>
          <w:rFonts w:ascii="Arial" w:hAnsi="Arial" w:cs="Arial"/>
          <w:b/>
          <w:sz w:val="18"/>
          <w:szCs w:val="18"/>
        </w:rPr>
      </w:pPr>
    </w:p>
    <w:p w14:paraId="7B2F6068" w14:textId="6392613A" w:rsidR="00ED69F9" w:rsidRDefault="00ED69F9" w:rsidP="000C1989">
      <w:pPr>
        <w:pStyle w:val="NoSpacing"/>
        <w:rPr>
          <w:rFonts w:ascii="Arial" w:hAnsi="Arial" w:cs="Arial"/>
          <w:b/>
          <w:sz w:val="18"/>
          <w:szCs w:val="18"/>
        </w:rPr>
      </w:pPr>
    </w:p>
    <w:p w14:paraId="01A8DA32" w14:textId="77777777" w:rsidR="00ED69F9" w:rsidRDefault="00ED69F9" w:rsidP="000C1989">
      <w:pPr>
        <w:pStyle w:val="NoSpacing"/>
        <w:rPr>
          <w:rFonts w:ascii="Arial" w:hAnsi="Arial" w:cs="Arial"/>
          <w:b/>
          <w:sz w:val="18"/>
          <w:szCs w:val="18"/>
        </w:rPr>
      </w:pPr>
    </w:p>
    <w:p w14:paraId="2016EA9C" w14:textId="6629EA00" w:rsidR="00876CB3" w:rsidRPr="00876CB3" w:rsidRDefault="00876CB3" w:rsidP="00876CB3">
      <w:pPr>
        <w:pStyle w:val="NormalWeb"/>
      </w:pPr>
      <w:bookmarkStart w:id="4" w:name="_Toc12011459"/>
      <w:bookmarkStart w:id="5" w:name="_Toc12011888"/>
      <w:r w:rsidRPr="00876CB3">
        <w:rPr>
          <w:noProof/>
        </w:rPr>
        <w:lastRenderedPageBreak/>
        <w:drawing>
          <wp:inline distT="0" distB="0" distL="0" distR="0" wp14:anchorId="5D2CF098" wp14:editId="43ACCB3C">
            <wp:extent cx="6560820" cy="8488680"/>
            <wp:effectExtent l="0" t="0" r="0" b="7620"/>
            <wp:docPr id="669802334" name="Picture 4"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02334" name="Picture 4" descr="Map&#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0820" cy="8488680"/>
                    </a:xfrm>
                    <a:prstGeom prst="rect">
                      <a:avLst/>
                    </a:prstGeom>
                    <a:noFill/>
                    <a:ln>
                      <a:noFill/>
                    </a:ln>
                  </pic:spPr>
                </pic:pic>
              </a:graphicData>
            </a:graphic>
          </wp:inline>
        </w:drawing>
      </w:r>
    </w:p>
    <w:p w14:paraId="5D740031" w14:textId="77777777" w:rsidR="003E6800" w:rsidRDefault="003E6800" w:rsidP="00DC0941">
      <w:pPr>
        <w:pStyle w:val="Heading1"/>
        <w:spacing w:before="58"/>
        <w:ind w:left="0"/>
        <w:rPr>
          <w:color w:val="365F91"/>
        </w:rPr>
      </w:pPr>
    </w:p>
    <w:p w14:paraId="57689010" w14:textId="77777777" w:rsidR="003E6800" w:rsidRDefault="003E6800" w:rsidP="00DC0941">
      <w:pPr>
        <w:pStyle w:val="Heading1"/>
        <w:spacing w:before="58"/>
        <w:ind w:left="0"/>
        <w:rPr>
          <w:color w:val="365F91"/>
        </w:rPr>
      </w:pPr>
    </w:p>
    <w:p w14:paraId="188235E2" w14:textId="36578A7C" w:rsidR="005D25C1" w:rsidRDefault="005D25C1" w:rsidP="00DC0941">
      <w:pPr>
        <w:pStyle w:val="Heading1"/>
        <w:spacing w:before="58"/>
        <w:ind w:left="0"/>
      </w:pPr>
      <w:r>
        <w:rPr>
          <w:color w:val="365F91"/>
        </w:rPr>
        <w:t>Leveraging</w:t>
      </w:r>
      <w:bookmarkEnd w:id="4"/>
      <w:bookmarkEnd w:id="5"/>
    </w:p>
    <w:p w14:paraId="5659D400" w14:textId="77777777" w:rsidR="005D25C1" w:rsidRDefault="005D25C1" w:rsidP="005D25C1">
      <w:pPr>
        <w:spacing w:before="243"/>
        <w:ind w:left="147" w:right="360"/>
        <w:jc w:val="both"/>
        <w:rPr>
          <w:b/>
          <w:i/>
          <w:sz w:val="20"/>
        </w:rPr>
      </w:pPr>
      <w:r>
        <w:rPr>
          <w:b/>
          <w:i/>
          <w:sz w:val="20"/>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4F26E6FB" w14:textId="77777777" w:rsidR="005D25C1" w:rsidRDefault="005D25C1" w:rsidP="005D25C1">
      <w:pPr>
        <w:pStyle w:val="BodyText"/>
        <w:spacing w:before="8"/>
        <w:rPr>
          <w:b/>
          <w:i/>
          <w:sz w:val="19"/>
        </w:rPr>
      </w:pPr>
    </w:p>
    <w:p w14:paraId="22780300" w14:textId="77777777" w:rsidR="005D25C1" w:rsidRDefault="005D25C1" w:rsidP="005D25C1">
      <w:pPr>
        <w:pStyle w:val="Heading2"/>
        <w:ind w:left="147"/>
      </w:pPr>
      <w:bookmarkStart w:id="6" w:name="_Toc12011460"/>
      <w:bookmarkStart w:id="7" w:name="_Toc12011889"/>
      <w:r>
        <w:t>Idaho Department of Commerce- CDBG Program</w:t>
      </w:r>
      <w:bookmarkEnd w:id="6"/>
      <w:bookmarkEnd w:id="7"/>
    </w:p>
    <w:p w14:paraId="7117EC57" w14:textId="77777777" w:rsidR="005D25C1" w:rsidRPr="005D25C1" w:rsidRDefault="005D25C1" w:rsidP="005D25C1"/>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1173"/>
        <w:gridCol w:w="294"/>
        <w:gridCol w:w="4375"/>
      </w:tblGrid>
      <w:tr w:rsidR="005D25C1" w14:paraId="59578F64" w14:textId="77777777" w:rsidTr="0058178F">
        <w:trPr>
          <w:trHeight w:val="1007"/>
        </w:trPr>
        <w:tc>
          <w:tcPr>
            <w:tcW w:w="9512" w:type="dxa"/>
            <w:gridSpan w:val="4"/>
            <w:shd w:val="clear" w:color="auto" w:fill="F1F1F1"/>
          </w:tcPr>
          <w:p w14:paraId="3DD2C18A" w14:textId="3C7FA13D" w:rsidR="005D25C1" w:rsidRDefault="005D25C1" w:rsidP="0058178F">
            <w:pPr>
              <w:pStyle w:val="TableParagraph"/>
              <w:spacing w:before="115" w:line="240" w:lineRule="auto"/>
              <w:ind w:left="107"/>
              <w:rPr>
                <w:rFonts w:ascii="Arial Narrow"/>
                <w:b/>
                <w:sz w:val="24"/>
              </w:rPr>
            </w:pPr>
            <w:r>
              <w:rPr>
                <w:rFonts w:ascii="Arial Narrow"/>
                <w:b/>
                <w:sz w:val="24"/>
              </w:rPr>
              <w:t>2</w:t>
            </w:r>
            <w:r w:rsidR="00556842">
              <w:rPr>
                <w:rFonts w:ascii="Arial Narrow"/>
                <w:b/>
                <w:sz w:val="24"/>
              </w:rPr>
              <w:t>02</w:t>
            </w:r>
            <w:r w:rsidR="00B42207">
              <w:rPr>
                <w:rFonts w:ascii="Arial Narrow"/>
                <w:b/>
                <w:sz w:val="24"/>
              </w:rPr>
              <w:t>4</w:t>
            </w:r>
            <w:r>
              <w:rPr>
                <w:rFonts w:ascii="Arial Narrow"/>
                <w:b/>
                <w:sz w:val="24"/>
              </w:rPr>
              <w:t xml:space="preserve"> CDBG LEVERAGE</w:t>
            </w:r>
          </w:p>
        </w:tc>
      </w:tr>
      <w:tr w:rsidR="005D25C1" w14:paraId="52EFE2B6" w14:textId="77777777" w:rsidTr="0058178F">
        <w:trPr>
          <w:trHeight w:val="1008"/>
        </w:trPr>
        <w:tc>
          <w:tcPr>
            <w:tcW w:w="3670" w:type="dxa"/>
            <w:shd w:val="clear" w:color="auto" w:fill="BEBEBE"/>
          </w:tcPr>
          <w:p w14:paraId="0F24DB61" w14:textId="77777777" w:rsidR="005D25C1" w:rsidRDefault="005D25C1" w:rsidP="0058178F">
            <w:pPr>
              <w:pStyle w:val="TableParagraph"/>
              <w:spacing w:before="115" w:line="240" w:lineRule="auto"/>
              <w:ind w:left="107"/>
              <w:rPr>
                <w:rFonts w:ascii="Arial Narrow"/>
                <w:b/>
                <w:sz w:val="21"/>
              </w:rPr>
            </w:pPr>
            <w:r>
              <w:rPr>
                <w:rFonts w:ascii="Arial Narrow"/>
                <w:b/>
                <w:sz w:val="21"/>
              </w:rPr>
              <w:t>Type/Source</w:t>
            </w:r>
          </w:p>
        </w:tc>
        <w:tc>
          <w:tcPr>
            <w:tcW w:w="1173" w:type="dxa"/>
            <w:shd w:val="clear" w:color="auto" w:fill="BEBEBE"/>
          </w:tcPr>
          <w:p w14:paraId="1400C8DF" w14:textId="77777777" w:rsidR="005D25C1" w:rsidRDefault="005D25C1" w:rsidP="0058178F">
            <w:pPr>
              <w:pStyle w:val="TableParagraph"/>
              <w:spacing w:before="115" w:line="362" w:lineRule="auto"/>
              <w:ind w:left="107" w:right="385"/>
              <w:rPr>
                <w:rFonts w:ascii="Arial Narrow"/>
                <w:b/>
                <w:sz w:val="21"/>
              </w:rPr>
            </w:pPr>
            <w:r>
              <w:rPr>
                <w:rFonts w:ascii="Arial Narrow"/>
                <w:b/>
                <w:sz w:val="21"/>
              </w:rPr>
              <w:t>Match Amount</w:t>
            </w:r>
          </w:p>
        </w:tc>
        <w:tc>
          <w:tcPr>
            <w:tcW w:w="4669" w:type="dxa"/>
            <w:gridSpan w:val="2"/>
            <w:shd w:val="clear" w:color="auto" w:fill="BEBEBE"/>
          </w:tcPr>
          <w:p w14:paraId="7D26C210" w14:textId="77777777" w:rsidR="005D25C1" w:rsidRDefault="005D25C1" w:rsidP="0058178F">
            <w:pPr>
              <w:pStyle w:val="TableParagraph"/>
              <w:spacing w:before="115" w:line="240" w:lineRule="auto"/>
              <w:ind w:left="108"/>
              <w:rPr>
                <w:rFonts w:ascii="Arial Narrow"/>
                <w:b/>
                <w:sz w:val="21"/>
              </w:rPr>
            </w:pPr>
            <w:r>
              <w:rPr>
                <w:rFonts w:ascii="Arial Narrow"/>
                <w:b/>
                <w:sz w:val="21"/>
              </w:rPr>
              <w:t>Goals Addressed</w:t>
            </w:r>
          </w:p>
        </w:tc>
      </w:tr>
      <w:tr w:rsidR="005D25C1" w14:paraId="49AB88B5" w14:textId="77777777" w:rsidTr="0058178F">
        <w:trPr>
          <w:trHeight w:val="241"/>
        </w:trPr>
        <w:tc>
          <w:tcPr>
            <w:tcW w:w="3670" w:type="dxa"/>
            <w:tcBorders>
              <w:bottom w:val="nil"/>
            </w:tcBorders>
          </w:tcPr>
          <w:p w14:paraId="57D9468B" w14:textId="77777777" w:rsidR="005D25C1" w:rsidRDefault="005D25C1" w:rsidP="0058178F">
            <w:pPr>
              <w:pStyle w:val="TableParagraph"/>
              <w:spacing w:before="0" w:line="222" w:lineRule="exact"/>
              <w:ind w:left="107"/>
              <w:rPr>
                <w:rFonts w:ascii="Arial Narrow"/>
                <w:b/>
                <w:i/>
                <w:sz w:val="21"/>
              </w:rPr>
            </w:pPr>
            <w:r>
              <w:rPr>
                <w:rFonts w:ascii="Arial Narrow"/>
                <w:b/>
                <w:i/>
                <w:sz w:val="21"/>
              </w:rPr>
              <w:t>Local:</w:t>
            </w:r>
          </w:p>
        </w:tc>
        <w:tc>
          <w:tcPr>
            <w:tcW w:w="1173" w:type="dxa"/>
            <w:tcBorders>
              <w:bottom w:val="nil"/>
            </w:tcBorders>
          </w:tcPr>
          <w:p w14:paraId="457427F3" w14:textId="77777777" w:rsidR="005D25C1" w:rsidRDefault="005D25C1" w:rsidP="0058178F">
            <w:pPr>
              <w:pStyle w:val="TableParagraph"/>
              <w:spacing w:before="0" w:line="240" w:lineRule="auto"/>
              <w:rPr>
                <w:rFonts w:ascii="Times New Roman"/>
                <w:sz w:val="16"/>
              </w:rPr>
            </w:pPr>
          </w:p>
        </w:tc>
        <w:tc>
          <w:tcPr>
            <w:tcW w:w="294" w:type="dxa"/>
            <w:tcBorders>
              <w:bottom w:val="nil"/>
              <w:right w:val="nil"/>
            </w:tcBorders>
          </w:tcPr>
          <w:p w14:paraId="142D6CDF" w14:textId="77777777" w:rsidR="005D25C1" w:rsidRDefault="005D25C1" w:rsidP="0058178F">
            <w:pPr>
              <w:pStyle w:val="TableParagraph"/>
              <w:spacing w:before="0" w:line="222" w:lineRule="exact"/>
              <w:ind w:right="56"/>
              <w:jc w:val="right"/>
              <w:rPr>
                <w:rFonts w:ascii="Symbol" w:hAnsi="Symbol"/>
                <w:sz w:val="20"/>
              </w:rPr>
            </w:pPr>
            <w:r>
              <w:rPr>
                <w:rFonts w:ascii="Symbol" w:hAnsi="Symbol"/>
                <w:w w:val="99"/>
                <w:sz w:val="20"/>
              </w:rPr>
              <w:t></w:t>
            </w:r>
          </w:p>
        </w:tc>
        <w:tc>
          <w:tcPr>
            <w:tcW w:w="4375" w:type="dxa"/>
            <w:tcBorders>
              <w:left w:val="nil"/>
              <w:bottom w:val="nil"/>
            </w:tcBorders>
          </w:tcPr>
          <w:p w14:paraId="2DB66774" w14:textId="77777777" w:rsidR="005D25C1" w:rsidRDefault="005D25C1" w:rsidP="0058178F">
            <w:pPr>
              <w:pStyle w:val="TableParagraph"/>
              <w:spacing w:before="11" w:line="210" w:lineRule="exact"/>
              <w:ind w:left="71"/>
              <w:rPr>
                <w:rFonts w:ascii="Arial Narrow"/>
                <w:sz w:val="20"/>
              </w:rPr>
            </w:pPr>
            <w:r>
              <w:rPr>
                <w:rFonts w:ascii="Arial Narrow"/>
                <w:sz w:val="20"/>
              </w:rPr>
              <w:t>Public Facilities Infrastructure-Rehabilitation</w:t>
            </w:r>
          </w:p>
        </w:tc>
      </w:tr>
      <w:tr w:rsidR="005D25C1" w14:paraId="178AE9F6" w14:textId="77777777" w:rsidTr="0058178F">
        <w:trPr>
          <w:trHeight w:val="486"/>
        </w:trPr>
        <w:tc>
          <w:tcPr>
            <w:tcW w:w="3670" w:type="dxa"/>
            <w:tcBorders>
              <w:top w:val="nil"/>
              <w:bottom w:val="nil"/>
            </w:tcBorders>
          </w:tcPr>
          <w:p w14:paraId="54A8711A" w14:textId="77777777" w:rsidR="005D25C1" w:rsidRDefault="005D25C1" w:rsidP="0058178F">
            <w:pPr>
              <w:pStyle w:val="TableParagraph"/>
              <w:spacing w:before="3" w:line="240" w:lineRule="auto"/>
              <w:rPr>
                <w:b/>
                <w:sz w:val="19"/>
              </w:rPr>
            </w:pPr>
          </w:p>
          <w:p w14:paraId="5D07DB1E" w14:textId="77777777" w:rsidR="005D25C1" w:rsidRDefault="005D25C1" w:rsidP="0058178F">
            <w:pPr>
              <w:pStyle w:val="TableParagraph"/>
              <w:spacing w:before="0" w:line="231" w:lineRule="exact"/>
              <w:ind w:left="107"/>
              <w:rPr>
                <w:rFonts w:ascii="Arial Narrow"/>
                <w:sz w:val="21"/>
              </w:rPr>
            </w:pPr>
            <w:r>
              <w:rPr>
                <w:rFonts w:ascii="Arial Narrow"/>
                <w:sz w:val="21"/>
              </w:rPr>
              <w:t>Cash, bonds, in-kind</w:t>
            </w:r>
          </w:p>
        </w:tc>
        <w:tc>
          <w:tcPr>
            <w:tcW w:w="1173" w:type="dxa"/>
            <w:tcBorders>
              <w:top w:val="nil"/>
              <w:bottom w:val="nil"/>
            </w:tcBorders>
          </w:tcPr>
          <w:p w14:paraId="116E0497" w14:textId="77777777" w:rsidR="005D25C1" w:rsidRDefault="005D25C1" w:rsidP="0058178F">
            <w:pPr>
              <w:pStyle w:val="TableParagraph"/>
              <w:spacing w:before="5" w:line="240" w:lineRule="auto"/>
              <w:rPr>
                <w:b/>
                <w:sz w:val="19"/>
              </w:rPr>
            </w:pPr>
          </w:p>
          <w:p w14:paraId="44B2BD8B" w14:textId="164C0F3C" w:rsidR="005D25C1" w:rsidRDefault="005D25C1" w:rsidP="0058178F">
            <w:pPr>
              <w:pStyle w:val="TableParagraph"/>
              <w:spacing w:before="0" w:line="228" w:lineRule="exact"/>
              <w:ind w:left="107"/>
              <w:rPr>
                <w:rFonts w:ascii="Arial Narrow"/>
                <w:sz w:val="20"/>
              </w:rPr>
            </w:pPr>
            <w:r>
              <w:rPr>
                <w:rFonts w:ascii="Arial Narrow"/>
                <w:sz w:val="20"/>
              </w:rPr>
              <w:t>$</w:t>
            </w:r>
            <w:r w:rsidR="00B42207">
              <w:rPr>
                <w:rFonts w:ascii="Arial Narrow"/>
                <w:sz w:val="20"/>
              </w:rPr>
              <w:t>21,422,151</w:t>
            </w:r>
          </w:p>
        </w:tc>
        <w:tc>
          <w:tcPr>
            <w:tcW w:w="294" w:type="dxa"/>
            <w:tcBorders>
              <w:top w:val="nil"/>
              <w:bottom w:val="nil"/>
              <w:right w:val="nil"/>
            </w:tcBorders>
          </w:tcPr>
          <w:p w14:paraId="181E492D" w14:textId="77777777" w:rsidR="005D25C1" w:rsidRDefault="005D25C1" w:rsidP="0058178F">
            <w:pPr>
              <w:pStyle w:val="TableParagraph"/>
              <w:spacing w:before="0" w:line="242" w:lineRule="exact"/>
              <w:ind w:left="180"/>
              <w:rPr>
                <w:rFonts w:ascii="Symbol" w:hAnsi="Symbol"/>
                <w:sz w:val="20"/>
              </w:rPr>
            </w:pPr>
            <w:r>
              <w:rPr>
                <w:rFonts w:ascii="Symbol" w:hAnsi="Symbol"/>
                <w:w w:val="99"/>
                <w:sz w:val="20"/>
              </w:rPr>
              <w:t></w:t>
            </w:r>
          </w:p>
          <w:p w14:paraId="5CEA085B" w14:textId="77777777" w:rsidR="005D25C1" w:rsidRDefault="005D25C1" w:rsidP="0058178F">
            <w:pPr>
              <w:pStyle w:val="TableParagraph"/>
              <w:spacing w:before="0" w:line="224" w:lineRule="exact"/>
              <w:ind w:left="180"/>
              <w:rPr>
                <w:rFonts w:ascii="Symbol" w:hAnsi="Symbol"/>
                <w:sz w:val="20"/>
              </w:rPr>
            </w:pPr>
            <w:r>
              <w:rPr>
                <w:rFonts w:ascii="Symbol" w:hAnsi="Symbol"/>
                <w:w w:val="99"/>
                <w:sz w:val="20"/>
              </w:rPr>
              <w:t></w:t>
            </w:r>
          </w:p>
        </w:tc>
        <w:tc>
          <w:tcPr>
            <w:tcW w:w="4375" w:type="dxa"/>
            <w:tcBorders>
              <w:top w:val="nil"/>
              <w:left w:val="nil"/>
              <w:bottom w:val="nil"/>
            </w:tcBorders>
          </w:tcPr>
          <w:p w14:paraId="194F7011" w14:textId="77777777" w:rsidR="005D25C1" w:rsidRDefault="005D25C1" w:rsidP="0058178F">
            <w:pPr>
              <w:pStyle w:val="TableParagraph"/>
              <w:spacing w:before="6" w:line="242" w:lineRule="exact"/>
              <w:ind w:left="71" w:right="789"/>
              <w:rPr>
                <w:rFonts w:ascii="Arial Narrow"/>
                <w:sz w:val="20"/>
              </w:rPr>
            </w:pPr>
            <w:r>
              <w:rPr>
                <w:rFonts w:ascii="Arial Narrow"/>
                <w:sz w:val="20"/>
              </w:rPr>
              <w:t>Public Facilities Infrastructure-Compliance Public Facilities Infrastructure-New Construction</w:t>
            </w:r>
          </w:p>
        </w:tc>
      </w:tr>
      <w:tr w:rsidR="005D25C1" w14:paraId="7D2099B8" w14:textId="77777777" w:rsidTr="0058178F">
        <w:trPr>
          <w:trHeight w:val="239"/>
        </w:trPr>
        <w:tc>
          <w:tcPr>
            <w:tcW w:w="3670" w:type="dxa"/>
            <w:tcBorders>
              <w:top w:val="nil"/>
              <w:bottom w:val="nil"/>
            </w:tcBorders>
          </w:tcPr>
          <w:p w14:paraId="473E352B" w14:textId="77777777" w:rsidR="005D25C1" w:rsidRDefault="005D25C1" w:rsidP="0058178F">
            <w:pPr>
              <w:pStyle w:val="TableParagraph"/>
              <w:spacing w:before="0" w:line="240" w:lineRule="auto"/>
              <w:rPr>
                <w:rFonts w:ascii="Times New Roman"/>
                <w:sz w:val="16"/>
              </w:rPr>
            </w:pPr>
          </w:p>
        </w:tc>
        <w:tc>
          <w:tcPr>
            <w:tcW w:w="1173" w:type="dxa"/>
            <w:tcBorders>
              <w:top w:val="nil"/>
              <w:bottom w:val="nil"/>
            </w:tcBorders>
          </w:tcPr>
          <w:p w14:paraId="388A924E" w14:textId="77777777" w:rsidR="005D25C1" w:rsidRDefault="005D25C1" w:rsidP="0058178F">
            <w:pPr>
              <w:pStyle w:val="TableParagraph"/>
              <w:spacing w:before="0" w:line="240" w:lineRule="auto"/>
              <w:rPr>
                <w:rFonts w:ascii="Times New Roman"/>
                <w:sz w:val="16"/>
              </w:rPr>
            </w:pPr>
          </w:p>
        </w:tc>
        <w:tc>
          <w:tcPr>
            <w:tcW w:w="294" w:type="dxa"/>
            <w:tcBorders>
              <w:top w:val="nil"/>
              <w:bottom w:val="nil"/>
              <w:right w:val="nil"/>
            </w:tcBorders>
          </w:tcPr>
          <w:p w14:paraId="371B9274" w14:textId="77777777" w:rsidR="005D25C1" w:rsidRDefault="005D25C1" w:rsidP="0058178F">
            <w:pPr>
              <w:pStyle w:val="TableParagraph"/>
              <w:spacing w:before="0" w:line="220" w:lineRule="exact"/>
              <w:ind w:right="56"/>
              <w:jc w:val="right"/>
              <w:rPr>
                <w:rFonts w:ascii="Symbol" w:hAnsi="Symbol"/>
                <w:sz w:val="20"/>
              </w:rPr>
            </w:pPr>
            <w:r>
              <w:rPr>
                <w:rFonts w:ascii="Symbol" w:hAnsi="Symbol"/>
                <w:w w:val="99"/>
                <w:sz w:val="20"/>
              </w:rPr>
              <w:t></w:t>
            </w:r>
          </w:p>
        </w:tc>
        <w:tc>
          <w:tcPr>
            <w:tcW w:w="4375" w:type="dxa"/>
            <w:tcBorders>
              <w:top w:val="nil"/>
              <w:left w:val="nil"/>
              <w:bottom w:val="nil"/>
            </w:tcBorders>
          </w:tcPr>
          <w:p w14:paraId="37CE36FF" w14:textId="77777777" w:rsidR="005D25C1" w:rsidRDefault="005D25C1" w:rsidP="0058178F">
            <w:pPr>
              <w:pStyle w:val="TableParagraph"/>
              <w:spacing w:before="9" w:line="210" w:lineRule="exact"/>
              <w:ind w:left="71"/>
              <w:rPr>
                <w:rFonts w:ascii="Arial Narrow"/>
                <w:sz w:val="20"/>
              </w:rPr>
            </w:pPr>
            <w:r>
              <w:rPr>
                <w:rFonts w:ascii="Arial Narrow"/>
                <w:sz w:val="20"/>
              </w:rPr>
              <w:t>Economic Development-Job Creation</w:t>
            </w:r>
          </w:p>
        </w:tc>
      </w:tr>
      <w:tr w:rsidR="005D25C1" w14:paraId="7250FF11" w14:textId="77777777" w:rsidTr="0058178F">
        <w:trPr>
          <w:trHeight w:val="244"/>
        </w:trPr>
        <w:tc>
          <w:tcPr>
            <w:tcW w:w="3670" w:type="dxa"/>
            <w:tcBorders>
              <w:top w:val="nil"/>
            </w:tcBorders>
          </w:tcPr>
          <w:p w14:paraId="66B613D0" w14:textId="77777777" w:rsidR="005D25C1" w:rsidRDefault="005D25C1" w:rsidP="0058178F">
            <w:pPr>
              <w:pStyle w:val="TableParagraph"/>
              <w:spacing w:before="0" w:line="240" w:lineRule="auto"/>
              <w:rPr>
                <w:rFonts w:ascii="Times New Roman"/>
                <w:sz w:val="16"/>
              </w:rPr>
            </w:pPr>
          </w:p>
        </w:tc>
        <w:tc>
          <w:tcPr>
            <w:tcW w:w="1173" w:type="dxa"/>
            <w:tcBorders>
              <w:top w:val="nil"/>
            </w:tcBorders>
          </w:tcPr>
          <w:p w14:paraId="72230905" w14:textId="77777777" w:rsidR="005D25C1" w:rsidRDefault="005D25C1" w:rsidP="0058178F">
            <w:pPr>
              <w:pStyle w:val="TableParagraph"/>
              <w:spacing w:before="0" w:line="240" w:lineRule="auto"/>
              <w:rPr>
                <w:rFonts w:ascii="Times New Roman"/>
                <w:sz w:val="16"/>
              </w:rPr>
            </w:pPr>
          </w:p>
        </w:tc>
        <w:tc>
          <w:tcPr>
            <w:tcW w:w="294" w:type="dxa"/>
            <w:tcBorders>
              <w:top w:val="nil"/>
              <w:right w:val="nil"/>
            </w:tcBorders>
          </w:tcPr>
          <w:p w14:paraId="451E0BB0" w14:textId="77777777" w:rsidR="005D25C1" w:rsidRDefault="005D25C1" w:rsidP="0058178F">
            <w:pPr>
              <w:pStyle w:val="TableParagraph"/>
              <w:spacing w:before="0" w:line="225" w:lineRule="exact"/>
              <w:ind w:right="56"/>
              <w:jc w:val="right"/>
              <w:rPr>
                <w:rFonts w:ascii="Symbol" w:hAnsi="Symbol"/>
                <w:sz w:val="20"/>
              </w:rPr>
            </w:pPr>
            <w:r>
              <w:rPr>
                <w:rFonts w:ascii="Symbol" w:hAnsi="Symbol"/>
                <w:w w:val="99"/>
                <w:sz w:val="20"/>
              </w:rPr>
              <w:t></w:t>
            </w:r>
          </w:p>
        </w:tc>
        <w:tc>
          <w:tcPr>
            <w:tcW w:w="4375" w:type="dxa"/>
            <w:tcBorders>
              <w:top w:val="nil"/>
              <w:left w:val="nil"/>
            </w:tcBorders>
          </w:tcPr>
          <w:p w14:paraId="2CB336FB" w14:textId="77777777" w:rsidR="005D25C1" w:rsidRDefault="005D25C1" w:rsidP="0058178F">
            <w:pPr>
              <w:pStyle w:val="TableParagraph"/>
              <w:spacing w:before="12" w:line="213" w:lineRule="exact"/>
              <w:ind w:left="71"/>
              <w:rPr>
                <w:rFonts w:ascii="Arial Narrow"/>
                <w:sz w:val="20"/>
              </w:rPr>
            </w:pPr>
            <w:r>
              <w:rPr>
                <w:rFonts w:ascii="Arial Narrow"/>
                <w:sz w:val="20"/>
              </w:rPr>
              <w:t>Economic Development- Downtown Revitalization</w:t>
            </w:r>
          </w:p>
        </w:tc>
      </w:tr>
      <w:tr w:rsidR="005D25C1" w14:paraId="3432902D" w14:textId="77777777" w:rsidTr="0058178F">
        <w:trPr>
          <w:trHeight w:val="240"/>
        </w:trPr>
        <w:tc>
          <w:tcPr>
            <w:tcW w:w="3670" w:type="dxa"/>
            <w:tcBorders>
              <w:bottom w:val="nil"/>
            </w:tcBorders>
          </w:tcPr>
          <w:p w14:paraId="28561EBF" w14:textId="77777777" w:rsidR="005D25C1" w:rsidRDefault="005D25C1" w:rsidP="0058178F">
            <w:pPr>
              <w:pStyle w:val="TableParagraph"/>
              <w:spacing w:before="0" w:line="221" w:lineRule="exact"/>
              <w:ind w:left="107"/>
              <w:rPr>
                <w:rFonts w:ascii="Arial Narrow"/>
                <w:i/>
                <w:sz w:val="21"/>
              </w:rPr>
            </w:pPr>
            <w:r>
              <w:rPr>
                <w:rFonts w:ascii="Arial Narrow"/>
                <w:i/>
                <w:sz w:val="21"/>
              </w:rPr>
              <w:t>State:</w:t>
            </w:r>
          </w:p>
        </w:tc>
        <w:tc>
          <w:tcPr>
            <w:tcW w:w="1173" w:type="dxa"/>
            <w:tcBorders>
              <w:bottom w:val="nil"/>
            </w:tcBorders>
          </w:tcPr>
          <w:p w14:paraId="0AE64AB3" w14:textId="77777777" w:rsidR="005D25C1" w:rsidRDefault="005D25C1" w:rsidP="0058178F">
            <w:pPr>
              <w:pStyle w:val="TableParagraph"/>
              <w:spacing w:before="0" w:line="240" w:lineRule="auto"/>
              <w:rPr>
                <w:rFonts w:ascii="Times New Roman"/>
                <w:sz w:val="16"/>
              </w:rPr>
            </w:pPr>
          </w:p>
        </w:tc>
        <w:tc>
          <w:tcPr>
            <w:tcW w:w="294" w:type="dxa"/>
            <w:tcBorders>
              <w:bottom w:val="nil"/>
              <w:right w:val="nil"/>
            </w:tcBorders>
          </w:tcPr>
          <w:p w14:paraId="3FCC692E" w14:textId="77777777" w:rsidR="005D25C1" w:rsidRDefault="005D25C1" w:rsidP="0058178F">
            <w:pPr>
              <w:pStyle w:val="TableParagraph"/>
              <w:spacing w:before="0" w:line="221" w:lineRule="exact"/>
              <w:ind w:right="56"/>
              <w:jc w:val="right"/>
              <w:rPr>
                <w:rFonts w:ascii="Symbol" w:hAnsi="Symbol"/>
                <w:sz w:val="20"/>
              </w:rPr>
            </w:pPr>
            <w:r>
              <w:rPr>
                <w:rFonts w:ascii="Symbol" w:hAnsi="Symbol"/>
                <w:w w:val="99"/>
                <w:sz w:val="20"/>
              </w:rPr>
              <w:t></w:t>
            </w:r>
          </w:p>
        </w:tc>
        <w:tc>
          <w:tcPr>
            <w:tcW w:w="4375" w:type="dxa"/>
            <w:tcBorders>
              <w:left w:val="nil"/>
              <w:bottom w:val="nil"/>
            </w:tcBorders>
          </w:tcPr>
          <w:p w14:paraId="1FEBCD60" w14:textId="77777777" w:rsidR="005D25C1" w:rsidRDefault="005D25C1" w:rsidP="0058178F">
            <w:pPr>
              <w:pStyle w:val="TableParagraph"/>
              <w:spacing w:before="9" w:line="212" w:lineRule="exact"/>
              <w:ind w:left="71"/>
              <w:rPr>
                <w:rFonts w:ascii="Arial Narrow"/>
                <w:sz w:val="20"/>
              </w:rPr>
            </w:pPr>
            <w:r>
              <w:rPr>
                <w:rFonts w:ascii="Arial Narrow"/>
                <w:sz w:val="20"/>
              </w:rPr>
              <w:t>Public Facilities Infrastructure-Rehabilitation</w:t>
            </w:r>
          </w:p>
        </w:tc>
      </w:tr>
      <w:tr w:rsidR="005D25C1" w14:paraId="70BB8CD9" w14:textId="77777777" w:rsidTr="0058178F">
        <w:trPr>
          <w:trHeight w:val="729"/>
        </w:trPr>
        <w:tc>
          <w:tcPr>
            <w:tcW w:w="3670" w:type="dxa"/>
            <w:tcBorders>
              <w:top w:val="nil"/>
              <w:bottom w:val="nil"/>
            </w:tcBorders>
          </w:tcPr>
          <w:p w14:paraId="12D1DFF3" w14:textId="77777777" w:rsidR="005D25C1" w:rsidRDefault="005D25C1" w:rsidP="0058178F">
            <w:pPr>
              <w:pStyle w:val="TableParagraph"/>
              <w:spacing w:before="4" w:line="240" w:lineRule="auto"/>
              <w:rPr>
                <w:b/>
                <w:sz w:val="19"/>
              </w:rPr>
            </w:pPr>
          </w:p>
          <w:p w14:paraId="18891957" w14:textId="77777777" w:rsidR="005D25C1" w:rsidRDefault="005D25C1" w:rsidP="0058178F">
            <w:pPr>
              <w:pStyle w:val="TableParagraph"/>
              <w:spacing w:before="0" w:line="240" w:lineRule="atLeast"/>
              <w:ind w:left="107" w:right="345"/>
              <w:rPr>
                <w:rFonts w:ascii="Arial Narrow"/>
                <w:sz w:val="21"/>
              </w:rPr>
            </w:pPr>
            <w:r>
              <w:rPr>
                <w:rFonts w:ascii="Arial Narrow"/>
                <w:sz w:val="21"/>
              </w:rPr>
              <w:t>Grants from Idaho Dept. of Environmental Quality</w:t>
            </w:r>
          </w:p>
        </w:tc>
        <w:tc>
          <w:tcPr>
            <w:tcW w:w="1173" w:type="dxa"/>
            <w:tcBorders>
              <w:top w:val="nil"/>
              <w:bottom w:val="nil"/>
            </w:tcBorders>
          </w:tcPr>
          <w:p w14:paraId="5E9DCA96" w14:textId="77777777" w:rsidR="005D25C1" w:rsidRDefault="005D25C1" w:rsidP="0058178F">
            <w:pPr>
              <w:pStyle w:val="TableParagraph"/>
              <w:spacing w:before="4" w:line="240" w:lineRule="auto"/>
              <w:rPr>
                <w:b/>
                <w:sz w:val="19"/>
              </w:rPr>
            </w:pPr>
          </w:p>
          <w:p w14:paraId="6671CE3B" w14:textId="4B08F083" w:rsidR="005D25C1" w:rsidRDefault="00B928E6" w:rsidP="0058178F">
            <w:pPr>
              <w:pStyle w:val="TableParagraph"/>
              <w:spacing w:before="0" w:line="240" w:lineRule="auto"/>
              <w:ind w:left="107"/>
              <w:rPr>
                <w:rFonts w:ascii="Arial Narrow"/>
                <w:sz w:val="21"/>
              </w:rPr>
            </w:pPr>
            <w:r>
              <w:rPr>
                <w:rFonts w:ascii="Arial Narrow"/>
                <w:sz w:val="21"/>
              </w:rPr>
              <w:t xml:space="preserve"> </w:t>
            </w:r>
            <w:r w:rsidR="00B42207">
              <w:rPr>
                <w:rFonts w:ascii="Arial Narrow"/>
                <w:sz w:val="21"/>
              </w:rPr>
              <w:t>$1,361,500</w:t>
            </w:r>
          </w:p>
        </w:tc>
        <w:tc>
          <w:tcPr>
            <w:tcW w:w="294" w:type="dxa"/>
            <w:tcBorders>
              <w:top w:val="nil"/>
              <w:bottom w:val="nil"/>
              <w:right w:val="nil"/>
            </w:tcBorders>
          </w:tcPr>
          <w:p w14:paraId="3701A34C" w14:textId="77777777" w:rsidR="005D25C1" w:rsidRDefault="005D25C1" w:rsidP="0058178F">
            <w:pPr>
              <w:pStyle w:val="TableParagraph"/>
              <w:spacing w:before="0" w:line="243" w:lineRule="exact"/>
              <w:ind w:left="180"/>
              <w:rPr>
                <w:rFonts w:ascii="Symbol" w:hAnsi="Symbol"/>
                <w:sz w:val="20"/>
              </w:rPr>
            </w:pPr>
            <w:r>
              <w:rPr>
                <w:rFonts w:ascii="Symbol" w:hAnsi="Symbol"/>
                <w:w w:val="99"/>
                <w:sz w:val="20"/>
              </w:rPr>
              <w:t></w:t>
            </w:r>
          </w:p>
          <w:p w14:paraId="54E269BC" w14:textId="77777777" w:rsidR="005D25C1" w:rsidRDefault="005D25C1" w:rsidP="0058178F">
            <w:pPr>
              <w:pStyle w:val="TableParagraph"/>
              <w:spacing w:before="0" w:line="242" w:lineRule="exact"/>
              <w:ind w:left="180"/>
              <w:rPr>
                <w:rFonts w:ascii="Symbol" w:hAnsi="Symbol"/>
                <w:sz w:val="20"/>
              </w:rPr>
            </w:pPr>
            <w:r>
              <w:rPr>
                <w:rFonts w:ascii="Symbol" w:hAnsi="Symbol"/>
                <w:w w:val="99"/>
                <w:sz w:val="20"/>
              </w:rPr>
              <w:t></w:t>
            </w:r>
          </w:p>
          <w:p w14:paraId="0CFF23F2" w14:textId="77777777" w:rsidR="005D25C1" w:rsidRDefault="005D25C1" w:rsidP="0058178F">
            <w:pPr>
              <w:pStyle w:val="TableParagraph"/>
              <w:spacing w:before="0" w:line="224" w:lineRule="exact"/>
              <w:ind w:left="180"/>
              <w:rPr>
                <w:rFonts w:ascii="Symbol" w:hAnsi="Symbol"/>
                <w:sz w:val="20"/>
              </w:rPr>
            </w:pPr>
            <w:r>
              <w:rPr>
                <w:rFonts w:ascii="Symbol" w:hAnsi="Symbol"/>
                <w:w w:val="99"/>
                <w:sz w:val="20"/>
              </w:rPr>
              <w:t></w:t>
            </w:r>
          </w:p>
        </w:tc>
        <w:tc>
          <w:tcPr>
            <w:tcW w:w="4375" w:type="dxa"/>
            <w:tcBorders>
              <w:top w:val="nil"/>
              <w:left w:val="nil"/>
              <w:bottom w:val="nil"/>
            </w:tcBorders>
          </w:tcPr>
          <w:p w14:paraId="3312BBCE" w14:textId="77777777" w:rsidR="005D25C1" w:rsidRDefault="005D25C1" w:rsidP="0058178F">
            <w:pPr>
              <w:pStyle w:val="TableParagraph"/>
              <w:spacing w:before="2" w:line="240" w:lineRule="atLeast"/>
              <w:ind w:left="71" w:right="789"/>
              <w:rPr>
                <w:rFonts w:ascii="Arial Narrow"/>
                <w:sz w:val="20"/>
              </w:rPr>
            </w:pPr>
            <w:r>
              <w:rPr>
                <w:rFonts w:ascii="Arial Narrow"/>
                <w:sz w:val="20"/>
              </w:rPr>
              <w:t>Public Facilities Infrastructure-Compliance Public Facilities Infrastructure-New Construction Economic Development-Job Creation</w:t>
            </w:r>
          </w:p>
        </w:tc>
      </w:tr>
      <w:tr w:rsidR="005D25C1" w14:paraId="2FCDABA9" w14:textId="77777777" w:rsidTr="0058178F">
        <w:trPr>
          <w:trHeight w:val="246"/>
        </w:trPr>
        <w:tc>
          <w:tcPr>
            <w:tcW w:w="3670" w:type="dxa"/>
            <w:tcBorders>
              <w:top w:val="nil"/>
            </w:tcBorders>
          </w:tcPr>
          <w:p w14:paraId="661757D1" w14:textId="77777777" w:rsidR="005D25C1" w:rsidRDefault="005D25C1" w:rsidP="0058178F">
            <w:pPr>
              <w:pStyle w:val="TableParagraph"/>
              <w:spacing w:before="0" w:line="240" w:lineRule="auto"/>
              <w:rPr>
                <w:rFonts w:ascii="Times New Roman"/>
                <w:sz w:val="16"/>
              </w:rPr>
            </w:pPr>
          </w:p>
        </w:tc>
        <w:tc>
          <w:tcPr>
            <w:tcW w:w="1173" w:type="dxa"/>
            <w:tcBorders>
              <w:top w:val="nil"/>
            </w:tcBorders>
          </w:tcPr>
          <w:p w14:paraId="2890D7DA" w14:textId="77777777" w:rsidR="005D25C1" w:rsidRDefault="005D25C1" w:rsidP="0058178F">
            <w:pPr>
              <w:pStyle w:val="TableParagraph"/>
              <w:spacing w:before="0" w:line="240" w:lineRule="auto"/>
              <w:rPr>
                <w:rFonts w:ascii="Times New Roman"/>
                <w:sz w:val="16"/>
              </w:rPr>
            </w:pPr>
          </w:p>
        </w:tc>
        <w:tc>
          <w:tcPr>
            <w:tcW w:w="294" w:type="dxa"/>
            <w:tcBorders>
              <w:top w:val="nil"/>
              <w:right w:val="nil"/>
            </w:tcBorders>
          </w:tcPr>
          <w:p w14:paraId="57B58163" w14:textId="77777777" w:rsidR="005D25C1" w:rsidRDefault="005D25C1" w:rsidP="0058178F">
            <w:pPr>
              <w:pStyle w:val="TableParagraph"/>
              <w:spacing w:before="0" w:line="226" w:lineRule="exact"/>
              <w:ind w:right="56"/>
              <w:jc w:val="right"/>
              <w:rPr>
                <w:rFonts w:ascii="Symbol" w:hAnsi="Symbol"/>
                <w:sz w:val="20"/>
              </w:rPr>
            </w:pPr>
            <w:r>
              <w:rPr>
                <w:rFonts w:ascii="Symbol" w:hAnsi="Symbol"/>
                <w:w w:val="99"/>
                <w:sz w:val="20"/>
              </w:rPr>
              <w:t></w:t>
            </w:r>
          </w:p>
        </w:tc>
        <w:tc>
          <w:tcPr>
            <w:tcW w:w="4375" w:type="dxa"/>
            <w:tcBorders>
              <w:top w:val="nil"/>
              <w:left w:val="nil"/>
            </w:tcBorders>
          </w:tcPr>
          <w:p w14:paraId="69319FD5" w14:textId="77777777" w:rsidR="005D25C1" w:rsidRDefault="005D25C1" w:rsidP="0058178F">
            <w:pPr>
              <w:pStyle w:val="TableParagraph"/>
              <w:spacing w:before="13" w:line="213" w:lineRule="exact"/>
              <w:ind w:left="71"/>
              <w:rPr>
                <w:rFonts w:ascii="Arial Narrow"/>
                <w:sz w:val="20"/>
              </w:rPr>
            </w:pPr>
            <w:r>
              <w:rPr>
                <w:rFonts w:ascii="Arial Narrow"/>
                <w:sz w:val="20"/>
              </w:rPr>
              <w:t>Economic Development- Downtown Revitalization</w:t>
            </w:r>
          </w:p>
        </w:tc>
      </w:tr>
      <w:tr w:rsidR="005D25C1" w14:paraId="23D4FED1" w14:textId="77777777" w:rsidTr="0058178F">
        <w:trPr>
          <w:trHeight w:val="239"/>
        </w:trPr>
        <w:tc>
          <w:tcPr>
            <w:tcW w:w="3670" w:type="dxa"/>
            <w:tcBorders>
              <w:bottom w:val="nil"/>
            </w:tcBorders>
          </w:tcPr>
          <w:p w14:paraId="003F40D9" w14:textId="77777777" w:rsidR="005D25C1" w:rsidRDefault="005D25C1" w:rsidP="0058178F">
            <w:pPr>
              <w:pStyle w:val="TableParagraph"/>
              <w:spacing w:before="0" w:line="220" w:lineRule="exact"/>
              <w:ind w:left="107"/>
              <w:rPr>
                <w:rFonts w:ascii="Arial Narrow"/>
                <w:b/>
                <w:i/>
                <w:sz w:val="21"/>
              </w:rPr>
            </w:pPr>
            <w:r>
              <w:rPr>
                <w:rFonts w:ascii="Arial Narrow"/>
                <w:b/>
                <w:i/>
                <w:sz w:val="21"/>
              </w:rPr>
              <w:t>Federal:</w:t>
            </w:r>
          </w:p>
        </w:tc>
        <w:tc>
          <w:tcPr>
            <w:tcW w:w="1173" w:type="dxa"/>
            <w:tcBorders>
              <w:bottom w:val="nil"/>
            </w:tcBorders>
          </w:tcPr>
          <w:p w14:paraId="15A77F21" w14:textId="77777777" w:rsidR="005D25C1" w:rsidRDefault="005D25C1" w:rsidP="0058178F">
            <w:pPr>
              <w:pStyle w:val="TableParagraph"/>
              <w:spacing w:before="0" w:line="240" w:lineRule="auto"/>
              <w:rPr>
                <w:rFonts w:ascii="Times New Roman"/>
                <w:sz w:val="16"/>
              </w:rPr>
            </w:pPr>
          </w:p>
        </w:tc>
        <w:tc>
          <w:tcPr>
            <w:tcW w:w="294" w:type="dxa"/>
            <w:tcBorders>
              <w:bottom w:val="nil"/>
              <w:right w:val="nil"/>
            </w:tcBorders>
          </w:tcPr>
          <w:p w14:paraId="55C4D49A" w14:textId="77777777" w:rsidR="005D25C1" w:rsidRDefault="005D25C1" w:rsidP="0058178F">
            <w:pPr>
              <w:pStyle w:val="TableParagraph"/>
              <w:spacing w:before="0" w:line="220" w:lineRule="exact"/>
              <w:ind w:right="56"/>
              <w:jc w:val="right"/>
              <w:rPr>
                <w:rFonts w:ascii="Symbol" w:hAnsi="Symbol"/>
                <w:sz w:val="20"/>
              </w:rPr>
            </w:pPr>
            <w:r>
              <w:rPr>
                <w:rFonts w:ascii="Symbol" w:hAnsi="Symbol"/>
                <w:w w:val="99"/>
                <w:sz w:val="20"/>
              </w:rPr>
              <w:t></w:t>
            </w:r>
          </w:p>
        </w:tc>
        <w:tc>
          <w:tcPr>
            <w:tcW w:w="4375" w:type="dxa"/>
            <w:tcBorders>
              <w:left w:val="nil"/>
              <w:bottom w:val="nil"/>
            </w:tcBorders>
          </w:tcPr>
          <w:p w14:paraId="7B1D0851" w14:textId="77777777" w:rsidR="005D25C1" w:rsidRDefault="005D25C1" w:rsidP="0058178F">
            <w:pPr>
              <w:pStyle w:val="TableParagraph"/>
              <w:spacing w:before="9" w:line="210" w:lineRule="exact"/>
              <w:ind w:left="71"/>
              <w:rPr>
                <w:rFonts w:ascii="Arial Narrow"/>
                <w:sz w:val="20"/>
              </w:rPr>
            </w:pPr>
            <w:r>
              <w:rPr>
                <w:rFonts w:ascii="Arial Narrow"/>
                <w:sz w:val="20"/>
              </w:rPr>
              <w:t>Public Facilities Infrastructure-Rehabilitation</w:t>
            </w:r>
          </w:p>
        </w:tc>
      </w:tr>
      <w:tr w:rsidR="005D25C1" w14:paraId="136F45F9" w14:textId="77777777" w:rsidTr="0058178F">
        <w:trPr>
          <w:trHeight w:val="730"/>
        </w:trPr>
        <w:tc>
          <w:tcPr>
            <w:tcW w:w="3670" w:type="dxa"/>
            <w:tcBorders>
              <w:top w:val="nil"/>
              <w:bottom w:val="nil"/>
            </w:tcBorders>
          </w:tcPr>
          <w:p w14:paraId="3D406746" w14:textId="77777777" w:rsidR="005D25C1" w:rsidRDefault="005D25C1" w:rsidP="0058178F">
            <w:pPr>
              <w:pStyle w:val="TableParagraph"/>
              <w:spacing w:before="11" w:line="240" w:lineRule="auto"/>
              <w:rPr>
                <w:b/>
                <w:sz w:val="19"/>
              </w:rPr>
            </w:pPr>
          </w:p>
          <w:p w14:paraId="6AC6CFFA" w14:textId="77777777" w:rsidR="005D25C1" w:rsidRDefault="005D25C1" w:rsidP="0058178F">
            <w:pPr>
              <w:pStyle w:val="TableParagraph"/>
              <w:spacing w:before="0" w:line="240" w:lineRule="exact"/>
              <w:ind w:left="107" w:right="183"/>
              <w:rPr>
                <w:rFonts w:ascii="Arial Narrow"/>
                <w:sz w:val="21"/>
              </w:rPr>
            </w:pPr>
            <w:r>
              <w:rPr>
                <w:rFonts w:ascii="Arial Narrow"/>
                <w:sz w:val="21"/>
              </w:rPr>
              <w:t>Grants from USDA- Rural Development and US Army Corp of Engineers</w:t>
            </w:r>
          </w:p>
        </w:tc>
        <w:tc>
          <w:tcPr>
            <w:tcW w:w="1173" w:type="dxa"/>
            <w:tcBorders>
              <w:top w:val="nil"/>
              <w:bottom w:val="nil"/>
            </w:tcBorders>
          </w:tcPr>
          <w:p w14:paraId="6825AB12" w14:textId="77777777" w:rsidR="005D25C1" w:rsidRDefault="005D25C1" w:rsidP="0058178F">
            <w:pPr>
              <w:pStyle w:val="TableParagraph"/>
              <w:spacing w:before="6" w:line="240" w:lineRule="auto"/>
              <w:rPr>
                <w:b/>
                <w:sz w:val="19"/>
              </w:rPr>
            </w:pPr>
          </w:p>
          <w:p w14:paraId="0820B81F" w14:textId="7E577017" w:rsidR="005D25C1" w:rsidRDefault="00B42207" w:rsidP="0058178F">
            <w:pPr>
              <w:pStyle w:val="TableParagraph"/>
              <w:spacing w:before="0" w:line="240" w:lineRule="auto"/>
              <w:ind w:left="107"/>
              <w:rPr>
                <w:rFonts w:ascii="Arial Narrow"/>
                <w:sz w:val="21"/>
              </w:rPr>
            </w:pPr>
            <w:r>
              <w:rPr>
                <w:rFonts w:ascii="Arial Narrow"/>
                <w:sz w:val="21"/>
              </w:rPr>
              <w:t xml:space="preserve">    </w:t>
            </w:r>
            <w:r w:rsidR="005D25C1">
              <w:rPr>
                <w:rFonts w:ascii="Arial Narrow"/>
                <w:sz w:val="21"/>
              </w:rPr>
              <w:t>$</w:t>
            </w:r>
            <w:r>
              <w:rPr>
                <w:rFonts w:ascii="Arial Narrow"/>
                <w:sz w:val="21"/>
              </w:rPr>
              <w:t>125,000</w:t>
            </w:r>
          </w:p>
        </w:tc>
        <w:tc>
          <w:tcPr>
            <w:tcW w:w="294" w:type="dxa"/>
            <w:tcBorders>
              <w:top w:val="nil"/>
              <w:bottom w:val="nil"/>
              <w:right w:val="nil"/>
            </w:tcBorders>
          </w:tcPr>
          <w:p w14:paraId="6A4423EC" w14:textId="77777777" w:rsidR="005D25C1" w:rsidRDefault="005D25C1" w:rsidP="0058178F">
            <w:pPr>
              <w:pStyle w:val="TableParagraph"/>
              <w:spacing w:before="0" w:line="243" w:lineRule="exact"/>
              <w:ind w:left="180"/>
              <w:rPr>
                <w:rFonts w:ascii="Symbol" w:hAnsi="Symbol"/>
                <w:sz w:val="20"/>
              </w:rPr>
            </w:pPr>
            <w:r>
              <w:rPr>
                <w:rFonts w:ascii="Symbol" w:hAnsi="Symbol"/>
                <w:w w:val="99"/>
                <w:sz w:val="20"/>
              </w:rPr>
              <w:t></w:t>
            </w:r>
          </w:p>
          <w:p w14:paraId="53230A72" w14:textId="77777777" w:rsidR="005D25C1" w:rsidRDefault="005D25C1" w:rsidP="0058178F">
            <w:pPr>
              <w:pStyle w:val="TableParagraph"/>
              <w:spacing w:before="0" w:line="244" w:lineRule="exact"/>
              <w:ind w:left="180"/>
              <w:rPr>
                <w:rFonts w:ascii="Symbol" w:hAnsi="Symbol"/>
                <w:sz w:val="20"/>
              </w:rPr>
            </w:pPr>
            <w:r>
              <w:rPr>
                <w:rFonts w:ascii="Symbol" w:hAnsi="Symbol"/>
                <w:w w:val="99"/>
                <w:sz w:val="20"/>
              </w:rPr>
              <w:t></w:t>
            </w:r>
          </w:p>
          <w:p w14:paraId="02549EF8" w14:textId="77777777" w:rsidR="005D25C1" w:rsidRDefault="005D25C1" w:rsidP="0058178F">
            <w:pPr>
              <w:pStyle w:val="TableParagraph"/>
              <w:spacing w:before="0" w:line="223" w:lineRule="exact"/>
              <w:ind w:left="180"/>
              <w:rPr>
                <w:rFonts w:ascii="Symbol" w:hAnsi="Symbol"/>
                <w:sz w:val="20"/>
              </w:rPr>
            </w:pPr>
            <w:r>
              <w:rPr>
                <w:rFonts w:ascii="Symbol" w:hAnsi="Symbol"/>
                <w:w w:val="99"/>
                <w:sz w:val="20"/>
              </w:rPr>
              <w:t></w:t>
            </w:r>
          </w:p>
        </w:tc>
        <w:tc>
          <w:tcPr>
            <w:tcW w:w="4375" w:type="dxa"/>
            <w:tcBorders>
              <w:top w:val="nil"/>
              <w:left w:val="nil"/>
              <w:bottom w:val="nil"/>
            </w:tcBorders>
          </w:tcPr>
          <w:p w14:paraId="0363449F" w14:textId="77777777" w:rsidR="005D25C1" w:rsidRDefault="005D25C1" w:rsidP="0058178F">
            <w:pPr>
              <w:pStyle w:val="TableParagraph"/>
              <w:spacing w:before="12" w:line="240" w:lineRule="auto"/>
              <w:ind w:left="71"/>
              <w:rPr>
                <w:rFonts w:ascii="Arial Narrow"/>
                <w:sz w:val="20"/>
              </w:rPr>
            </w:pPr>
            <w:r>
              <w:rPr>
                <w:rFonts w:ascii="Arial Narrow"/>
                <w:sz w:val="20"/>
              </w:rPr>
              <w:t>Public Facilities Infrastructure-Compliance</w:t>
            </w:r>
          </w:p>
          <w:p w14:paraId="124C47E8" w14:textId="77777777" w:rsidR="005D25C1" w:rsidRDefault="005D25C1" w:rsidP="0058178F">
            <w:pPr>
              <w:pStyle w:val="TableParagraph"/>
              <w:spacing w:before="5" w:line="240" w:lineRule="atLeast"/>
              <w:ind w:left="71" w:right="787"/>
              <w:rPr>
                <w:rFonts w:ascii="Arial Narrow"/>
                <w:sz w:val="20"/>
              </w:rPr>
            </w:pPr>
            <w:r>
              <w:rPr>
                <w:rFonts w:ascii="Arial Narrow"/>
                <w:sz w:val="20"/>
              </w:rPr>
              <w:t>Public Facilities Infrastructure-New Construction Economic Development-Job Creation</w:t>
            </w:r>
          </w:p>
        </w:tc>
      </w:tr>
      <w:tr w:rsidR="005D25C1" w14:paraId="13325A35" w14:textId="77777777" w:rsidTr="0058178F">
        <w:trPr>
          <w:trHeight w:val="247"/>
        </w:trPr>
        <w:tc>
          <w:tcPr>
            <w:tcW w:w="3670" w:type="dxa"/>
            <w:tcBorders>
              <w:top w:val="nil"/>
            </w:tcBorders>
          </w:tcPr>
          <w:p w14:paraId="2EDC1C9D" w14:textId="77777777" w:rsidR="005D25C1" w:rsidRDefault="005D25C1" w:rsidP="0058178F">
            <w:pPr>
              <w:pStyle w:val="TableParagraph"/>
              <w:spacing w:before="0" w:line="240" w:lineRule="auto"/>
              <w:rPr>
                <w:rFonts w:ascii="Times New Roman"/>
                <w:sz w:val="18"/>
              </w:rPr>
            </w:pPr>
          </w:p>
        </w:tc>
        <w:tc>
          <w:tcPr>
            <w:tcW w:w="1173" w:type="dxa"/>
            <w:tcBorders>
              <w:top w:val="nil"/>
            </w:tcBorders>
          </w:tcPr>
          <w:p w14:paraId="4D42893D" w14:textId="77777777" w:rsidR="005D25C1" w:rsidRDefault="005D25C1" w:rsidP="0058178F">
            <w:pPr>
              <w:pStyle w:val="TableParagraph"/>
              <w:spacing w:before="0" w:line="240" w:lineRule="auto"/>
              <w:rPr>
                <w:rFonts w:ascii="Times New Roman"/>
                <w:sz w:val="18"/>
              </w:rPr>
            </w:pPr>
          </w:p>
        </w:tc>
        <w:tc>
          <w:tcPr>
            <w:tcW w:w="294" w:type="dxa"/>
            <w:tcBorders>
              <w:top w:val="nil"/>
              <w:right w:val="nil"/>
            </w:tcBorders>
          </w:tcPr>
          <w:p w14:paraId="0C97D553" w14:textId="77777777" w:rsidR="005D25C1" w:rsidRDefault="005D25C1" w:rsidP="0058178F">
            <w:pPr>
              <w:pStyle w:val="TableParagraph"/>
              <w:spacing w:before="0" w:line="227" w:lineRule="exact"/>
              <w:ind w:right="56"/>
              <w:jc w:val="right"/>
              <w:rPr>
                <w:rFonts w:ascii="Symbol" w:hAnsi="Symbol"/>
                <w:sz w:val="20"/>
              </w:rPr>
            </w:pPr>
            <w:r>
              <w:rPr>
                <w:rFonts w:ascii="Symbol" w:hAnsi="Symbol"/>
                <w:w w:val="99"/>
                <w:sz w:val="20"/>
              </w:rPr>
              <w:t></w:t>
            </w:r>
          </w:p>
        </w:tc>
        <w:tc>
          <w:tcPr>
            <w:tcW w:w="4375" w:type="dxa"/>
            <w:tcBorders>
              <w:top w:val="nil"/>
              <w:left w:val="nil"/>
            </w:tcBorders>
          </w:tcPr>
          <w:p w14:paraId="37DF7904" w14:textId="77777777" w:rsidR="005D25C1" w:rsidRDefault="005D25C1" w:rsidP="0058178F">
            <w:pPr>
              <w:pStyle w:val="TableParagraph"/>
              <w:spacing w:before="12" w:line="215" w:lineRule="exact"/>
              <w:ind w:left="71"/>
              <w:rPr>
                <w:rFonts w:ascii="Arial Narrow"/>
                <w:sz w:val="20"/>
              </w:rPr>
            </w:pPr>
            <w:r>
              <w:rPr>
                <w:rFonts w:ascii="Arial Narrow"/>
                <w:sz w:val="20"/>
              </w:rPr>
              <w:t>Economic Development- Downtown Revitalization</w:t>
            </w:r>
          </w:p>
        </w:tc>
      </w:tr>
      <w:tr w:rsidR="005D25C1" w14:paraId="6263942E" w14:textId="77777777" w:rsidTr="0058178F">
        <w:trPr>
          <w:trHeight w:val="230"/>
        </w:trPr>
        <w:tc>
          <w:tcPr>
            <w:tcW w:w="3670" w:type="dxa"/>
            <w:tcBorders>
              <w:bottom w:val="nil"/>
            </w:tcBorders>
          </w:tcPr>
          <w:p w14:paraId="0DBB6F3C" w14:textId="77777777" w:rsidR="005D25C1" w:rsidRDefault="005D25C1" w:rsidP="0058178F">
            <w:pPr>
              <w:pStyle w:val="TableParagraph"/>
              <w:spacing w:before="0" w:line="210" w:lineRule="exact"/>
              <w:ind w:left="107"/>
              <w:rPr>
                <w:rFonts w:ascii="Arial Narrow"/>
                <w:b/>
                <w:i/>
                <w:sz w:val="21"/>
              </w:rPr>
            </w:pPr>
            <w:r>
              <w:rPr>
                <w:rFonts w:ascii="Arial Narrow"/>
                <w:b/>
                <w:i/>
                <w:sz w:val="21"/>
              </w:rPr>
              <w:t>Private:</w:t>
            </w:r>
          </w:p>
        </w:tc>
        <w:tc>
          <w:tcPr>
            <w:tcW w:w="1173" w:type="dxa"/>
            <w:tcBorders>
              <w:bottom w:val="nil"/>
            </w:tcBorders>
          </w:tcPr>
          <w:p w14:paraId="6AA70B50" w14:textId="77777777" w:rsidR="005D25C1" w:rsidRDefault="005D25C1" w:rsidP="0058178F">
            <w:pPr>
              <w:pStyle w:val="TableParagraph"/>
              <w:spacing w:before="0" w:line="240" w:lineRule="auto"/>
              <w:rPr>
                <w:rFonts w:ascii="Times New Roman"/>
                <w:sz w:val="16"/>
              </w:rPr>
            </w:pPr>
          </w:p>
        </w:tc>
        <w:tc>
          <w:tcPr>
            <w:tcW w:w="294" w:type="dxa"/>
            <w:vMerge w:val="restart"/>
            <w:tcBorders>
              <w:right w:val="nil"/>
            </w:tcBorders>
          </w:tcPr>
          <w:p w14:paraId="2569F6F2" w14:textId="77777777" w:rsidR="005D25C1" w:rsidRDefault="005D25C1" w:rsidP="0058178F">
            <w:pPr>
              <w:pStyle w:val="TableParagraph"/>
              <w:spacing w:before="0" w:line="239" w:lineRule="exact"/>
              <w:ind w:left="180"/>
              <w:rPr>
                <w:rFonts w:ascii="Symbol" w:hAnsi="Symbol"/>
                <w:sz w:val="20"/>
              </w:rPr>
            </w:pPr>
            <w:r>
              <w:rPr>
                <w:rFonts w:ascii="Symbol" w:hAnsi="Symbol"/>
                <w:w w:val="99"/>
                <w:sz w:val="20"/>
              </w:rPr>
              <w:t></w:t>
            </w:r>
          </w:p>
          <w:p w14:paraId="6D33778E" w14:textId="77777777" w:rsidR="005D25C1" w:rsidRDefault="005D25C1" w:rsidP="0058178F">
            <w:pPr>
              <w:pStyle w:val="TableParagraph"/>
              <w:spacing w:before="0" w:line="242" w:lineRule="exact"/>
              <w:ind w:left="180"/>
              <w:rPr>
                <w:rFonts w:ascii="Symbol" w:hAnsi="Symbol"/>
                <w:sz w:val="20"/>
              </w:rPr>
            </w:pPr>
            <w:r>
              <w:rPr>
                <w:rFonts w:ascii="Symbol" w:hAnsi="Symbol"/>
                <w:w w:val="99"/>
                <w:sz w:val="20"/>
              </w:rPr>
              <w:t></w:t>
            </w:r>
          </w:p>
          <w:p w14:paraId="6A7E7406" w14:textId="77777777" w:rsidR="005D25C1" w:rsidRDefault="005D25C1" w:rsidP="0058178F">
            <w:pPr>
              <w:pStyle w:val="TableParagraph"/>
              <w:spacing w:before="0" w:line="244" w:lineRule="exact"/>
              <w:ind w:left="180"/>
              <w:rPr>
                <w:rFonts w:ascii="Symbol" w:hAnsi="Symbol"/>
                <w:sz w:val="20"/>
              </w:rPr>
            </w:pPr>
            <w:r>
              <w:rPr>
                <w:rFonts w:ascii="Symbol" w:hAnsi="Symbol"/>
                <w:w w:val="99"/>
                <w:sz w:val="20"/>
              </w:rPr>
              <w:t></w:t>
            </w:r>
          </w:p>
          <w:p w14:paraId="10360AAF" w14:textId="77777777" w:rsidR="005D25C1" w:rsidRDefault="005D25C1" w:rsidP="0058178F">
            <w:pPr>
              <w:pStyle w:val="TableParagraph"/>
              <w:spacing w:before="0" w:line="244" w:lineRule="exact"/>
              <w:ind w:left="180"/>
              <w:rPr>
                <w:rFonts w:ascii="Symbol" w:hAnsi="Symbol"/>
                <w:sz w:val="20"/>
              </w:rPr>
            </w:pPr>
            <w:r>
              <w:rPr>
                <w:rFonts w:ascii="Symbol" w:hAnsi="Symbol"/>
                <w:w w:val="99"/>
                <w:sz w:val="20"/>
              </w:rPr>
              <w:t></w:t>
            </w:r>
          </w:p>
          <w:p w14:paraId="0444A2C3" w14:textId="77777777" w:rsidR="005D25C1" w:rsidRDefault="005D25C1" w:rsidP="0058178F">
            <w:pPr>
              <w:pStyle w:val="TableParagraph"/>
              <w:spacing w:before="0" w:line="225" w:lineRule="exact"/>
              <w:ind w:left="180"/>
              <w:rPr>
                <w:rFonts w:ascii="Symbol" w:hAnsi="Symbol"/>
                <w:sz w:val="20"/>
              </w:rPr>
            </w:pPr>
            <w:r>
              <w:rPr>
                <w:rFonts w:ascii="Symbol" w:hAnsi="Symbol"/>
                <w:w w:val="99"/>
                <w:sz w:val="20"/>
              </w:rPr>
              <w:t></w:t>
            </w:r>
          </w:p>
        </w:tc>
        <w:tc>
          <w:tcPr>
            <w:tcW w:w="4375" w:type="dxa"/>
            <w:vMerge w:val="restart"/>
            <w:tcBorders>
              <w:left w:val="nil"/>
            </w:tcBorders>
          </w:tcPr>
          <w:p w14:paraId="5824B561" w14:textId="77777777" w:rsidR="005D25C1" w:rsidRDefault="005D25C1" w:rsidP="0058178F">
            <w:pPr>
              <w:pStyle w:val="TableParagraph"/>
              <w:spacing w:before="9" w:line="254" w:lineRule="auto"/>
              <w:ind w:left="71" w:right="789"/>
              <w:rPr>
                <w:rFonts w:ascii="Arial Narrow"/>
                <w:sz w:val="20"/>
              </w:rPr>
            </w:pPr>
            <w:r>
              <w:rPr>
                <w:rFonts w:ascii="Arial Narrow"/>
                <w:sz w:val="20"/>
              </w:rPr>
              <w:t>Public Facilities Infrastructure-Rehabilitation Public Facilities Infrastructure-Compliance Public Facilities Infrastructure-New Construction Economic Development-Job Creation</w:t>
            </w:r>
          </w:p>
          <w:p w14:paraId="134F4054" w14:textId="77777777" w:rsidR="005D25C1" w:rsidRDefault="005D25C1" w:rsidP="0058178F">
            <w:pPr>
              <w:pStyle w:val="TableParagraph"/>
              <w:spacing w:before="0" w:line="212" w:lineRule="exact"/>
              <w:ind w:left="71"/>
              <w:rPr>
                <w:rFonts w:ascii="Arial Narrow"/>
                <w:sz w:val="20"/>
              </w:rPr>
            </w:pPr>
            <w:r>
              <w:rPr>
                <w:rFonts w:ascii="Arial Narrow"/>
                <w:sz w:val="20"/>
              </w:rPr>
              <w:t>Economic Development- Downtown Revitalization</w:t>
            </w:r>
          </w:p>
        </w:tc>
      </w:tr>
      <w:tr w:rsidR="005D25C1" w14:paraId="4BD0C881" w14:textId="77777777" w:rsidTr="0058178F">
        <w:trPr>
          <w:trHeight w:val="231"/>
        </w:trPr>
        <w:tc>
          <w:tcPr>
            <w:tcW w:w="3670" w:type="dxa"/>
            <w:tcBorders>
              <w:top w:val="nil"/>
              <w:bottom w:val="nil"/>
            </w:tcBorders>
          </w:tcPr>
          <w:p w14:paraId="2138955C" w14:textId="77777777" w:rsidR="005D25C1" w:rsidRDefault="005D25C1" w:rsidP="0058178F">
            <w:pPr>
              <w:pStyle w:val="TableParagraph"/>
              <w:spacing w:before="0" w:line="240" w:lineRule="auto"/>
              <w:rPr>
                <w:rFonts w:ascii="Times New Roman"/>
                <w:sz w:val="16"/>
              </w:rPr>
            </w:pPr>
          </w:p>
        </w:tc>
        <w:tc>
          <w:tcPr>
            <w:tcW w:w="1173" w:type="dxa"/>
            <w:tcBorders>
              <w:top w:val="nil"/>
              <w:bottom w:val="nil"/>
            </w:tcBorders>
          </w:tcPr>
          <w:p w14:paraId="12C6AC70" w14:textId="17343837" w:rsidR="005D25C1" w:rsidRDefault="00B928E6" w:rsidP="0058178F">
            <w:pPr>
              <w:pStyle w:val="TableParagraph"/>
              <w:spacing w:before="0" w:line="211" w:lineRule="exact"/>
              <w:ind w:left="107"/>
              <w:rPr>
                <w:rFonts w:ascii="Arial Narrow"/>
                <w:sz w:val="21"/>
              </w:rPr>
            </w:pPr>
            <w:r>
              <w:rPr>
                <w:rFonts w:ascii="Arial Narrow"/>
                <w:sz w:val="21"/>
              </w:rPr>
              <w:t xml:space="preserve">  </w:t>
            </w:r>
            <w:r w:rsidR="00B42207">
              <w:rPr>
                <w:rFonts w:ascii="Arial Narrow"/>
                <w:sz w:val="21"/>
              </w:rPr>
              <w:t xml:space="preserve">          </w:t>
            </w:r>
            <w:r>
              <w:rPr>
                <w:rFonts w:ascii="Arial Narrow"/>
                <w:sz w:val="21"/>
              </w:rPr>
              <w:t xml:space="preserve"> </w:t>
            </w:r>
            <w:r w:rsidR="005D25C1">
              <w:rPr>
                <w:rFonts w:ascii="Arial Narrow"/>
                <w:sz w:val="21"/>
              </w:rPr>
              <w:t>$</w:t>
            </w:r>
            <w:r>
              <w:rPr>
                <w:rFonts w:ascii="Arial Narrow"/>
                <w:sz w:val="21"/>
              </w:rPr>
              <w:t>0</w:t>
            </w:r>
          </w:p>
        </w:tc>
        <w:tc>
          <w:tcPr>
            <w:tcW w:w="294" w:type="dxa"/>
            <w:vMerge/>
            <w:tcBorders>
              <w:top w:val="nil"/>
              <w:right w:val="nil"/>
            </w:tcBorders>
          </w:tcPr>
          <w:p w14:paraId="6AD1F923" w14:textId="77777777" w:rsidR="005D25C1" w:rsidRDefault="005D25C1" w:rsidP="0058178F">
            <w:pPr>
              <w:rPr>
                <w:sz w:val="2"/>
                <w:szCs w:val="2"/>
              </w:rPr>
            </w:pPr>
          </w:p>
        </w:tc>
        <w:tc>
          <w:tcPr>
            <w:tcW w:w="4375" w:type="dxa"/>
            <w:vMerge/>
            <w:tcBorders>
              <w:top w:val="nil"/>
              <w:left w:val="nil"/>
            </w:tcBorders>
          </w:tcPr>
          <w:p w14:paraId="144F9340" w14:textId="77777777" w:rsidR="005D25C1" w:rsidRDefault="005D25C1" w:rsidP="0058178F">
            <w:pPr>
              <w:rPr>
                <w:sz w:val="2"/>
                <w:szCs w:val="2"/>
              </w:rPr>
            </w:pPr>
          </w:p>
        </w:tc>
      </w:tr>
      <w:tr w:rsidR="005D25C1" w14:paraId="4FF089D5" w14:textId="77777777" w:rsidTr="0058178F">
        <w:trPr>
          <w:trHeight w:val="231"/>
        </w:trPr>
        <w:tc>
          <w:tcPr>
            <w:tcW w:w="3670" w:type="dxa"/>
            <w:tcBorders>
              <w:top w:val="nil"/>
              <w:bottom w:val="nil"/>
            </w:tcBorders>
          </w:tcPr>
          <w:p w14:paraId="23A8D6EE" w14:textId="77777777" w:rsidR="005D25C1" w:rsidRDefault="005D25C1" w:rsidP="0058178F">
            <w:pPr>
              <w:pStyle w:val="TableParagraph"/>
              <w:spacing w:before="0" w:line="211" w:lineRule="exact"/>
              <w:ind w:left="107"/>
              <w:rPr>
                <w:rFonts w:ascii="Arial Narrow"/>
                <w:sz w:val="21"/>
              </w:rPr>
            </w:pPr>
            <w:r>
              <w:rPr>
                <w:rFonts w:ascii="Arial Narrow"/>
                <w:sz w:val="21"/>
              </w:rPr>
              <w:t>Business,</w:t>
            </w:r>
          </w:p>
        </w:tc>
        <w:tc>
          <w:tcPr>
            <w:tcW w:w="1173" w:type="dxa"/>
            <w:tcBorders>
              <w:top w:val="nil"/>
              <w:bottom w:val="nil"/>
            </w:tcBorders>
          </w:tcPr>
          <w:p w14:paraId="1F4A28AD" w14:textId="77777777" w:rsidR="005D25C1" w:rsidRDefault="005D25C1" w:rsidP="0058178F">
            <w:pPr>
              <w:pStyle w:val="TableParagraph"/>
              <w:spacing w:before="0" w:line="240" w:lineRule="auto"/>
              <w:rPr>
                <w:rFonts w:ascii="Times New Roman"/>
                <w:sz w:val="16"/>
              </w:rPr>
            </w:pPr>
          </w:p>
        </w:tc>
        <w:tc>
          <w:tcPr>
            <w:tcW w:w="294" w:type="dxa"/>
            <w:vMerge/>
            <w:tcBorders>
              <w:top w:val="nil"/>
              <w:right w:val="nil"/>
            </w:tcBorders>
          </w:tcPr>
          <w:p w14:paraId="7B0741DF" w14:textId="77777777" w:rsidR="005D25C1" w:rsidRDefault="005D25C1" w:rsidP="0058178F">
            <w:pPr>
              <w:rPr>
                <w:sz w:val="2"/>
                <w:szCs w:val="2"/>
              </w:rPr>
            </w:pPr>
          </w:p>
        </w:tc>
        <w:tc>
          <w:tcPr>
            <w:tcW w:w="4375" w:type="dxa"/>
            <w:vMerge/>
            <w:tcBorders>
              <w:top w:val="nil"/>
              <w:left w:val="nil"/>
            </w:tcBorders>
          </w:tcPr>
          <w:p w14:paraId="6076FDB9" w14:textId="77777777" w:rsidR="005D25C1" w:rsidRDefault="005D25C1" w:rsidP="0058178F">
            <w:pPr>
              <w:rPr>
                <w:sz w:val="2"/>
                <w:szCs w:val="2"/>
              </w:rPr>
            </w:pPr>
          </w:p>
        </w:tc>
      </w:tr>
      <w:tr w:rsidR="005D25C1" w14:paraId="5FBFB2F9" w14:textId="77777777" w:rsidTr="0058178F">
        <w:trPr>
          <w:trHeight w:val="491"/>
        </w:trPr>
        <w:tc>
          <w:tcPr>
            <w:tcW w:w="3670" w:type="dxa"/>
            <w:tcBorders>
              <w:top w:val="nil"/>
            </w:tcBorders>
          </w:tcPr>
          <w:p w14:paraId="59E4923C" w14:textId="77777777" w:rsidR="005D25C1" w:rsidRDefault="005D25C1" w:rsidP="0058178F">
            <w:pPr>
              <w:pStyle w:val="TableParagraph"/>
              <w:spacing w:before="0" w:line="236" w:lineRule="exact"/>
              <w:ind w:left="107"/>
              <w:rPr>
                <w:rFonts w:ascii="Arial Narrow"/>
                <w:sz w:val="21"/>
              </w:rPr>
            </w:pPr>
            <w:r>
              <w:rPr>
                <w:rFonts w:ascii="Arial Narrow"/>
                <w:sz w:val="21"/>
              </w:rPr>
              <w:t>Foundation Grants</w:t>
            </w:r>
          </w:p>
        </w:tc>
        <w:tc>
          <w:tcPr>
            <w:tcW w:w="1173" w:type="dxa"/>
            <w:tcBorders>
              <w:top w:val="nil"/>
            </w:tcBorders>
          </w:tcPr>
          <w:p w14:paraId="30CAEA2E" w14:textId="77777777" w:rsidR="005D25C1" w:rsidRDefault="005D25C1" w:rsidP="0058178F">
            <w:pPr>
              <w:pStyle w:val="TableParagraph"/>
              <w:spacing w:before="0" w:line="240" w:lineRule="auto"/>
              <w:rPr>
                <w:rFonts w:ascii="Times New Roman"/>
                <w:sz w:val="20"/>
              </w:rPr>
            </w:pPr>
          </w:p>
        </w:tc>
        <w:tc>
          <w:tcPr>
            <w:tcW w:w="294" w:type="dxa"/>
            <w:vMerge/>
            <w:tcBorders>
              <w:top w:val="nil"/>
              <w:right w:val="nil"/>
            </w:tcBorders>
          </w:tcPr>
          <w:p w14:paraId="7386AD24" w14:textId="77777777" w:rsidR="005D25C1" w:rsidRDefault="005D25C1" w:rsidP="0058178F">
            <w:pPr>
              <w:rPr>
                <w:sz w:val="2"/>
                <w:szCs w:val="2"/>
              </w:rPr>
            </w:pPr>
          </w:p>
        </w:tc>
        <w:tc>
          <w:tcPr>
            <w:tcW w:w="4375" w:type="dxa"/>
            <w:vMerge/>
            <w:tcBorders>
              <w:top w:val="nil"/>
              <w:left w:val="nil"/>
            </w:tcBorders>
          </w:tcPr>
          <w:p w14:paraId="10AD3465" w14:textId="77777777" w:rsidR="005D25C1" w:rsidRDefault="005D25C1" w:rsidP="0058178F">
            <w:pPr>
              <w:rPr>
                <w:sz w:val="2"/>
                <w:szCs w:val="2"/>
              </w:rPr>
            </w:pPr>
          </w:p>
        </w:tc>
      </w:tr>
      <w:tr w:rsidR="005D25C1" w14:paraId="5651D561" w14:textId="77777777" w:rsidTr="0058178F">
        <w:trPr>
          <w:trHeight w:val="431"/>
        </w:trPr>
        <w:tc>
          <w:tcPr>
            <w:tcW w:w="3670" w:type="dxa"/>
          </w:tcPr>
          <w:p w14:paraId="5841E1B5" w14:textId="77777777" w:rsidR="005D25C1" w:rsidRDefault="005D25C1" w:rsidP="0058178F">
            <w:pPr>
              <w:pStyle w:val="TableParagraph"/>
              <w:spacing w:before="0" w:line="238" w:lineRule="exact"/>
              <w:ind w:left="107"/>
              <w:rPr>
                <w:rFonts w:ascii="Arial Narrow"/>
                <w:b/>
                <w:sz w:val="21"/>
              </w:rPr>
            </w:pPr>
            <w:r>
              <w:rPr>
                <w:rFonts w:ascii="Arial Narrow"/>
                <w:b/>
                <w:sz w:val="21"/>
              </w:rPr>
              <w:t>Total</w:t>
            </w:r>
          </w:p>
        </w:tc>
        <w:tc>
          <w:tcPr>
            <w:tcW w:w="1173" w:type="dxa"/>
          </w:tcPr>
          <w:p w14:paraId="727CC221" w14:textId="7E555F32" w:rsidR="005D25C1" w:rsidRDefault="005D25C1" w:rsidP="0058178F">
            <w:pPr>
              <w:pStyle w:val="TableParagraph"/>
              <w:spacing w:before="0" w:line="238" w:lineRule="exact"/>
              <w:ind w:left="107"/>
              <w:rPr>
                <w:rFonts w:ascii="Arial Narrow"/>
                <w:sz w:val="21"/>
              </w:rPr>
            </w:pPr>
            <w:r>
              <w:rPr>
                <w:rFonts w:ascii="Arial Narrow"/>
                <w:sz w:val="21"/>
              </w:rPr>
              <w:t>$</w:t>
            </w:r>
            <w:r w:rsidR="00B42207">
              <w:rPr>
                <w:rFonts w:ascii="Arial Narrow"/>
                <w:sz w:val="21"/>
              </w:rPr>
              <w:t>22,908,651</w:t>
            </w:r>
          </w:p>
        </w:tc>
        <w:tc>
          <w:tcPr>
            <w:tcW w:w="4669" w:type="dxa"/>
            <w:gridSpan w:val="2"/>
          </w:tcPr>
          <w:p w14:paraId="373062FA" w14:textId="77777777" w:rsidR="005D25C1" w:rsidRDefault="005D25C1" w:rsidP="0058178F">
            <w:pPr>
              <w:pStyle w:val="TableParagraph"/>
              <w:spacing w:before="0" w:line="240" w:lineRule="auto"/>
              <w:rPr>
                <w:rFonts w:ascii="Times New Roman"/>
                <w:sz w:val="20"/>
              </w:rPr>
            </w:pPr>
          </w:p>
        </w:tc>
      </w:tr>
    </w:tbl>
    <w:p w14:paraId="1C73CBCC" w14:textId="77777777" w:rsidR="00FF0719" w:rsidRDefault="00FF0719" w:rsidP="0071142E"/>
    <w:p w14:paraId="215E179E" w14:textId="39FE8574" w:rsidR="003B76BE" w:rsidRDefault="003B76BE" w:rsidP="003B76BE">
      <w:pPr>
        <w:pStyle w:val="BodyText"/>
        <w:spacing w:before="119"/>
        <w:ind w:left="147" w:right="270"/>
      </w:pPr>
      <w:r>
        <w:t>IDC received $</w:t>
      </w:r>
      <w:r w:rsidR="006747A1">
        <w:t>8,236,180</w:t>
      </w:r>
      <w:r>
        <w:t xml:space="preserve"> in CDBG funds for PY 20</w:t>
      </w:r>
      <w:r w:rsidR="00C66FB4">
        <w:t>2</w:t>
      </w:r>
      <w:r w:rsidR="006747A1">
        <w:t>4</w:t>
      </w:r>
      <w:r>
        <w:t>. The state and local communities leveraged $</w:t>
      </w:r>
      <w:r w:rsidR="006747A1">
        <w:t>22,908,651</w:t>
      </w:r>
      <w:r>
        <w:t xml:space="preserve"> to match CDBG funds that were used to fund projects and state administration activities. </w:t>
      </w:r>
      <w:r w:rsidRPr="008B7799">
        <w:t>For every CDBG dollar invested, IDC and local communities leveraged $</w:t>
      </w:r>
      <w:r w:rsidR="006747A1">
        <w:t>2.78</w:t>
      </w:r>
      <w:r w:rsidRPr="008B7799">
        <w:t xml:space="preserve"> to match the 20</w:t>
      </w:r>
      <w:r w:rsidR="00F41B35">
        <w:t>2</w:t>
      </w:r>
      <w:r w:rsidR="006747A1">
        <w:t>4</w:t>
      </w:r>
      <w:r w:rsidRPr="008B7799">
        <w:t xml:space="preserve"> HUD CDBG grant award. In regard to IDC program administration, IDC has provided $</w:t>
      </w:r>
      <w:r w:rsidR="006747A1">
        <w:t>164,724</w:t>
      </w:r>
      <w:r w:rsidRPr="008B7799">
        <w:t xml:space="preserve"> in match to the CDBG program.</w:t>
      </w:r>
    </w:p>
    <w:p w14:paraId="31BCDF51" w14:textId="169F615B" w:rsidR="003B76BE" w:rsidRDefault="000A21CD" w:rsidP="003B76BE">
      <w:pPr>
        <w:pStyle w:val="BodyText"/>
        <w:spacing w:before="119"/>
        <w:ind w:left="147" w:right="433"/>
      </w:pPr>
      <w:r>
        <w:t>In regard to</w:t>
      </w:r>
      <w:r w:rsidR="003B76BE">
        <w:t xml:space="preserve"> project match, the CDBG program does not require communities to provide any match in order to receive an ICDBG grant, but the state’s competitive grant process does award points to communities who do provide match. As a result, many of the projects that receive ICDBG funding do leverage matching funds. The</w:t>
      </w:r>
    </w:p>
    <w:p w14:paraId="35CFF4E0" w14:textId="34E9CE37" w:rsidR="003B76BE" w:rsidRDefault="003B76BE" w:rsidP="003B76BE">
      <w:pPr>
        <w:pStyle w:val="BodyText"/>
        <w:spacing w:before="1"/>
        <w:ind w:left="147" w:right="235"/>
      </w:pPr>
      <w:r>
        <w:t>table above provides a summary of sources of match, the match that was leveraged, and the strategies that were addressed.</w:t>
      </w:r>
    </w:p>
    <w:p w14:paraId="0898E595" w14:textId="4A7E60B5" w:rsidR="003B2542" w:rsidRDefault="003B2542" w:rsidP="003B76BE">
      <w:pPr>
        <w:pStyle w:val="BodyText"/>
        <w:spacing w:before="1"/>
        <w:ind w:left="147" w:right="235"/>
      </w:pPr>
    </w:p>
    <w:p w14:paraId="7E689AF5" w14:textId="4DF84B51" w:rsidR="003B2542" w:rsidRDefault="003B2542" w:rsidP="00203360">
      <w:pPr>
        <w:pStyle w:val="BodyText"/>
        <w:spacing w:before="1"/>
        <w:ind w:left="147" w:right="235"/>
      </w:pPr>
      <w:r w:rsidRPr="00062027">
        <w:t xml:space="preserve">CDBG </w:t>
      </w:r>
      <w:r w:rsidR="000A21CD" w:rsidRPr="00062027">
        <w:t>grantees</w:t>
      </w:r>
      <w:r w:rsidRPr="00062027">
        <w:t xml:space="preserve"> (cities and counties) and many of their sub-recipients </w:t>
      </w:r>
      <w:r w:rsidR="00062027" w:rsidRPr="00062027">
        <w:t>(government</w:t>
      </w:r>
      <w:r w:rsidRPr="00062027">
        <w:t xml:space="preserve"> special </w:t>
      </w:r>
      <w:r w:rsidR="000A21CD" w:rsidRPr="00062027">
        <w:t>districts)</w:t>
      </w:r>
      <w:r w:rsidRPr="00062027">
        <w:t xml:space="preserve"> which are public entities do own the land or easements where CDBG funded projects are constructed to address the CDBG </w:t>
      </w:r>
      <w:r w:rsidRPr="00062027">
        <w:lastRenderedPageBreak/>
        <w:t>goals and objectives.  Basically, almost all CDBG projects (water, wastewater, parks, downtown revitalization, senior center, community centers, health clinics, fire stations, etc.) are located on publicly owned land or property.</w:t>
      </w:r>
    </w:p>
    <w:p w14:paraId="6D50DB3D" w14:textId="77777777" w:rsidR="003B2542" w:rsidRDefault="003B2542" w:rsidP="003B76BE">
      <w:pPr>
        <w:pStyle w:val="BodyText"/>
        <w:spacing w:before="1"/>
        <w:ind w:left="147" w:right="235"/>
      </w:pPr>
    </w:p>
    <w:p w14:paraId="2F57DA71" w14:textId="77777777" w:rsidR="00F41B35" w:rsidRDefault="00F41B35" w:rsidP="0071142E"/>
    <w:p w14:paraId="562EBE1B" w14:textId="77777777" w:rsidR="008C44D4" w:rsidRPr="00AF63BA" w:rsidRDefault="008C44D4" w:rsidP="008C44D4">
      <w:pPr>
        <w:pStyle w:val="Heading1"/>
        <w:spacing w:before="99"/>
        <w:ind w:left="147"/>
        <w:rPr>
          <w:color w:val="FF0000"/>
        </w:rPr>
      </w:pPr>
      <w:bookmarkStart w:id="8" w:name="_Toc12011462"/>
      <w:bookmarkStart w:id="9" w:name="_Toc12011890"/>
      <w:r w:rsidRPr="00AF63BA">
        <w:rPr>
          <w:color w:val="FF0000"/>
        </w:rPr>
        <w:t>CR-35-Other Actions</w:t>
      </w:r>
      <w:bookmarkEnd w:id="8"/>
      <w:bookmarkEnd w:id="9"/>
    </w:p>
    <w:p w14:paraId="5A400220" w14:textId="77777777" w:rsidR="008C44D4" w:rsidRDefault="008C44D4" w:rsidP="008C44D4">
      <w:pPr>
        <w:pStyle w:val="Heading3"/>
      </w:pPr>
      <w:bookmarkStart w:id="10" w:name="_Toc12011463"/>
      <w:bookmarkStart w:id="11" w:name="_Toc12011891"/>
      <w:r>
        <w:t>Actions taken to address obstacles to meeting underserved needs. 91.220(k); 91.320(j)</w:t>
      </w:r>
      <w:bookmarkEnd w:id="10"/>
      <w:bookmarkEnd w:id="11"/>
    </w:p>
    <w:p w14:paraId="649E6A2D" w14:textId="77777777" w:rsidR="008C44D4" w:rsidRDefault="008C44D4" w:rsidP="008C44D4">
      <w:pPr>
        <w:pStyle w:val="BodyText"/>
        <w:spacing w:before="8"/>
        <w:rPr>
          <w:b/>
          <w:sz w:val="19"/>
        </w:rPr>
      </w:pPr>
    </w:p>
    <w:p w14:paraId="2C5C3769" w14:textId="0F656DBB" w:rsidR="008C44D4" w:rsidRDefault="008C44D4" w:rsidP="008C44D4">
      <w:pPr>
        <w:pStyle w:val="BodyText"/>
        <w:ind w:left="147" w:right="270"/>
      </w:pPr>
      <w:r>
        <w:t xml:space="preserve">IDC staff continues to offer training and technical assistance to cities and counties, grant administrators, and design professionals. </w:t>
      </w:r>
      <w:r w:rsidR="006747A1">
        <w:t xml:space="preserve">To more effectively develop CDBG technical capacity for Grantees, </w:t>
      </w:r>
      <w:r w:rsidR="009D2BDF">
        <w:t xml:space="preserve"> IDC now provide</w:t>
      </w:r>
      <w:r w:rsidR="006747A1">
        <w:t>s</w:t>
      </w:r>
      <w:r w:rsidR="009D2BDF">
        <w:t xml:space="preserve"> certified grant administration training on-line. IDC has recorded presentations on eligibility, environmental reviews, labor, procurement, acquisition, and section 3. </w:t>
      </w:r>
      <w:r w:rsidR="008D651E">
        <w:t xml:space="preserve">IDC provides </w:t>
      </w:r>
      <w:r>
        <w:t>ongoing one-on-one technical assistance to communities. IDC has available at its website [</w:t>
      </w:r>
      <w:hyperlink r:id="rId11">
        <w:r>
          <w:rPr>
            <w:u w:val="single"/>
            <w:shd w:val="clear" w:color="auto" w:fill="C0C0C0"/>
          </w:rPr>
          <w:t>http://commerce.idaho.gov/</w:t>
        </w:r>
      </w:hyperlink>
      <w:r>
        <w:t>] both the CDBG grant administration manual and application handbook.</w:t>
      </w:r>
    </w:p>
    <w:p w14:paraId="68C682AC" w14:textId="207A7A14" w:rsidR="008C44D4" w:rsidRDefault="008C44D4" w:rsidP="008C44D4">
      <w:pPr>
        <w:pStyle w:val="BodyText"/>
        <w:spacing w:before="121"/>
        <w:ind w:left="147" w:right="270"/>
      </w:pPr>
      <w:r>
        <w:t xml:space="preserve">To help build local government capacity to manage CDBG projects, IDC will train consultants to become CDBG grant administrators, instead of relying on resource-limited cities and counties to ensure requirements and rules are met. </w:t>
      </w:r>
    </w:p>
    <w:p w14:paraId="228FDDEC" w14:textId="77777777" w:rsidR="008C44D4" w:rsidRDefault="008C44D4" w:rsidP="008C44D4">
      <w:pPr>
        <w:pStyle w:val="Heading3"/>
        <w:spacing w:before="120"/>
      </w:pPr>
      <w:bookmarkStart w:id="12" w:name="_Toc12011464"/>
      <w:bookmarkStart w:id="13" w:name="_Toc12011892"/>
      <w:r>
        <w:t>Actions taken to reduce the number of poverty-level families. 91.220(k); 91.320(j)</w:t>
      </w:r>
      <w:bookmarkEnd w:id="12"/>
      <w:bookmarkEnd w:id="13"/>
    </w:p>
    <w:p w14:paraId="04416D9F" w14:textId="77777777" w:rsidR="008C44D4" w:rsidRDefault="008C44D4" w:rsidP="008C44D4">
      <w:pPr>
        <w:pStyle w:val="BodyText"/>
        <w:spacing w:before="8"/>
        <w:rPr>
          <w:b/>
          <w:sz w:val="19"/>
        </w:rPr>
      </w:pPr>
    </w:p>
    <w:p w14:paraId="5D1719CB" w14:textId="760D944E" w:rsidR="008C44D4" w:rsidRDefault="008C44D4" w:rsidP="008C44D4">
      <w:pPr>
        <w:pStyle w:val="BodyText"/>
        <w:ind w:left="147" w:right="254"/>
      </w:pPr>
      <w:r>
        <w:t xml:space="preserve">IDC’s anti-poverty strategy consists of four </w:t>
      </w:r>
      <w:r w:rsidR="00342FA1">
        <w:t>methods</w:t>
      </w:r>
      <w:r>
        <w:t>. First, IDC will provide CDBG funds to cities and counties</w:t>
      </w:r>
      <w:r w:rsidR="00342FA1">
        <w:t xml:space="preserve"> t</w:t>
      </w:r>
      <w:r>
        <w:t>o construct public infrastructure or facilities that lead to a business’s ability to create or retain jobs. At a minimum, low-to-moderate income (LMI) individuals, including individuals at poverty level, must take 51% of these jobs. Jobs taken by LMI individuals should increase their income and help them develop more marketable skills as well as their confidence. IDC is creating opportunity for low income and poverty individuals.</w:t>
      </w:r>
    </w:p>
    <w:p w14:paraId="5A4560F4" w14:textId="1186B609" w:rsidR="008C44D4" w:rsidRDefault="008C44D4" w:rsidP="008C44D4">
      <w:pPr>
        <w:pStyle w:val="BodyText"/>
        <w:spacing w:before="119"/>
        <w:ind w:left="147" w:right="163"/>
      </w:pPr>
      <w:r>
        <w:t>Second, the implementation of HUD’s Section 3 Program. The program fosters local economic development and individual self-sufficiency for low</w:t>
      </w:r>
      <w:r w:rsidR="008D651E">
        <w:t>er</w:t>
      </w:r>
      <w:r>
        <w:t xml:space="preserve"> income persons in the solicitation of professional services and construction work needed to complete CDBG projects. The purpose of these requirements is to ensure that a greater share of</w:t>
      </w:r>
    </w:p>
    <w:p w14:paraId="32A5532C" w14:textId="03ED2C65" w:rsidR="008C44D4" w:rsidRDefault="008C44D4" w:rsidP="008C44D4">
      <w:pPr>
        <w:pStyle w:val="BodyText"/>
        <w:spacing w:before="1"/>
        <w:ind w:left="147" w:right="470"/>
      </w:pPr>
      <w:r>
        <w:t>economic opportunities generated by HUD funding is targeted to low</w:t>
      </w:r>
      <w:r w:rsidR="008D651E">
        <w:t>er</w:t>
      </w:r>
      <w:r>
        <w:t xml:space="preserve"> income families who live in the grantee’s jurisdiction.</w:t>
      </w:r>
    </w:p>
    <w:p w14:paraId="0B74935B" w14:textId="14C150A2" w:rsidR="008C44D4" w:rsidRDefault="008C44D4" w:rsidP="008C44D4">
      <w:pPr>
        <w:pStyle w:val="BodyText"/>
        <w:spacing w:before="120"/>
        <w:ind w:left="147" w:right="225"/>
      </w:pPr>
      <w:r>
        <w:t xml:space="preserve">ICDBG funded grantees and their sub-recipient, contractors or businesses must make a good faith effort to award contracts to Section 3 business concerns and utilize Section 3 area residents as trainees and employees. </w:t>
      </w:r>
    </w:p>
    <w:p w14:paraId="1245D1C5" w14:textId="116E0BF0" w:rsidR="008C44D4" w:rsidRDefault="008C44D4" w:rsidP="008C44D4">
      <w:pPr>
        <w:pStyle w:val="BodyText"/>
        <w:spacing w:before="121"/>
        <w:ind w:left="147" w:right="384"/>
      </w:pPr>
      <w:r>
        <w:t>Third, IDC advertised CDBG funded projects through Idaho</w:t>
      </w:r>
      <w:r w:rsidR="00853F91">
        <w:t>’s APEX Accelerator</w:t>
      </w:r>
      <w:r>
        <w:t xml:space="preserve"> </w:t>
      </w:r>
      <w:r w:rsidR="00853F91">
        <w:t xml:space="preserve">Bid Match program </w:t>
      </w:r>
      <w:r>
        <w:t>to ensure professional and construction services on CDBG funded projects were directly solicited</w:t>
      </w:r>
      <w:r w:rsidR="00567009">
        <w:t xml:space="preserve"> to</w:t>
      </w:r>
      <w:r w:rsidR="00D3491A">
        <w:t xml:space="preserve"> 508</w:t>
      </w:r>
      <w:r w:rsidR="00567009">
        <w:t xml:space="preserve"> businesses</w:t>
      </w:r>
      <w:r w:rsidR="00643EE8">
        <w:t>.  T</w:t>
      </w:r>
      <w:r w:rsidR="00567009">
        <w:t xml:space="preserve">hese businesses comprise of Disadvantaged Businesses, Women Business Enterprises, HUD Zone </w:t>
      </w:r>
      <w:r w:rsidR="00A720F2">
        <w:t>Businesses, SBA Section 8(a) Businesses, Disabled Veteran owned Businesses, and Minor</w:t>
      </w:r>
      <w:r w:rsidR="007264A5">
        <w:t>ity Owned Businesses</w:t>
      </w:r>
      <w:r w:rsidR="00A720F2">
        <w:t xml:space="preserve">. </w:t>
      </w:r>
    </w:p>
    <w:p w14:paraId="3F2E61F5" w14:textId="77777777" w:rsidR="008C44D4" w:rsidRDefault="008C44D4" w:rsidP="008C44D4">
      <w:pPr>
        <w:pStyle w:val="BodyText"/>
        <w:spacing w:before="1"/>
      </w:pPr>
    </w:p>
    <w:p w14:paraId="7170CCDE" w14:textId="07BE75AB" w:rsidR="008C44D4" w:rsidRDefault="008C44D4" w:rsidP="008C44D4">
      <w:pPr>
        <w:pStyle w:val="BodyText"/>
        <w:ind w:left="147" w:right="270"/>
      </w:pPr>
      <w:r>
        <w:t>Fourth, IDC provides additional points to job creation projects that are located or sited in the Small Business Administration’s HUB zones</w:t>
      </w:r>
      <w:r w:rsidR="00295DC2">
        <w:t xml:space="preserve"> (</w:t>
      </w:r>
      <w:r>
        <w:t>HUB zones are historically underutilized business zones that typically have higher rates of unemployment or lower per capita income then national levels</w:t>
      </w:r>
      <w:r w:rsidR="00295DC2">
        <w:t>) and Opportunity Zones</w:t>
      </w:r>
      <w:r>
        <w:t>.</w:t>
      </w:r>
    </w:p>
    <w:p w14:paraId="0F704AD3" w14:textId="77777777" w:rsidR="008C44D4" w:rsidRDefault="008C44D4" w:rsidP="0071142E"/>
    <w:p w14:paraId="61F342F6" w14:textId="77777777" w:rsidR="00AF63BA" w:rsidRPr="00AF63BA" w:rsidRDefault="00AF63BA" w:rsidP="00AF63BA">
      <w:pPr>
        <w:pStyle w:val="Heading3"/>
        <w:spacing w:before="0"/>
        <w:rPr>
          <w:color w:val="FF0000"/>
        </w:rPr>
      </w:pPr>
      <w:bookmarkStart w:id="14" w:name="_Toc12011465"/>
      <w:bookmarkStart w:id="15" w:name="_Toc12011893"/>
      <w:r w:rsidRPr="00AF63BA">
        <w:rPr>
          <w:color w:val="FF0000"/>
        </w:rPr>
        <w:t>Actions taken to develop institutional structure. 91.220(k); 91.320(j)</w:t>
      </w:r>
      <w:bookmarkEnd w:id="14"/>
      <w:bookmarkEnd w:id="15"/>
    </w:p>
    <w:p w14:paraId="4C5CCE0E" w14:textId="77777777" w:rsidR="00AF63BA" w:rsidRPr="00AF63BA" w:rsidRDefault="00AF63BA" w:rsidP="00AF63BA">
      <w:pPr>
        <w:pStyle w:val="BodyText"/>
        <w:spacing w:before="8"/>
        <w:rPr>
          <w:b/>
          <w:color w:val="FF0000"/>
          <w:sz w:val="19"/>
        </w:rPr>
      </w:pPr>
    </w:p>
    <w:p w14:paraId="1F59BE23" w14:textId="45CCB0EE" w:rsidR="00AF63BA" w:rsidRDefault="00AF63BA" w:rsidP="00AF63BA">
      <w:pPr>
        <w:pStyle w:val="BodyText"/>
        <w:ind w:left="147" w:right="367"/>
      </w:pPr>
      <w:r>
        <w:t>IDC believes that the department does not have gaps in its institutional structure or in the delivery of the CDBG program. The CDBG program strengths include the administration of the CDBG program for over 3</w:t>
      </w:r>
      <w:r w:rsidR="00667E70">
        <w:t>5</w:t>
      </w:r>
      <w:r>
        <w:t xml:space="preserve"> years and maintain</w:t>
      </w:r>
      <w:r w:rsidR="00853F91">
        <w:t>s</w:t>
      </w:r>
      <w:r>
        <w:t xml:space="preserve"> consistent rules, yet adapting to necessary program changes. IDC’s certified grant administration program has also established a network of experienced and knowledgeable consultants that help cities and</w:t>
      </w:r>
    </w:p>
    <w:p w14:paraId="50E01064" w14:textId="77777777" w:rsidR="00AF63BA" w:rsidRDefault="00AF63BA" w:rsidP="00AF63BA">
      <w:pPr>
        <w:pStyle w:val="BodyText"/>
        <w:spacing w:before="1"/>
        <w:ind w:left="147"/>
      </w:pPr>
      <w:r>
        <w:t>counties manage a CDBG project. In addition, IDC’s CDBG staff provides on-going technical assistance.</w:t>
      </w:r>
    </w:p>
    <w:p w14:paraId="3EE1B7B3" w14:textId="56D6D23F" w:rsidR="00AF63BA" w:rsidRDefault="0005149D" w:rsidP="00AF63BA">
      <w:pPr>
        <w:pStyle w:val="BodyText"/>
        <w:spacing w:before="120"/>
        <w:ind w:left="147" w:right="270"/>
      </w:pPr>
      <w:r>
        <w:t xml:space="preserve">IDC did consult with over </w:t>
      </w:r>
      <w:r w:rsidR="00853F91">
        <w:t>40</w:t>
      </w:r>
      <w:r w:rsidR="00062027">
        <w:t xml:space="preserve"> </w:t>
      </w:r>
      <w:r>
        <w:t xml:space="preserve">cities and counties.  </w:t>
      </w:r>
      <w:r w:rsidR="00AF63BA" w:rsidRPr="00A5095C">
        <w:t xml:space="preserve">Technical assistance activities can range from strategic planning </w:t>
      </w:r>
      <w:r w:rsidR="00AF63BA" w:rsidRPr="00A5095C">
        <w:lastRenderedPageBreak/>
        <w:t>and project development to on-site training</w:t>
      </w:r>
      <w:r w:rsidR="00AF63BA">
        <w:t>.</w:t>
      </w:r>
    </w:p>
    <w:p w14:paraId="74513307" w14:textId="77777777" w:rsidR="00AF63BA" w:rsidRDefault="00AF63BA" w:rsidP="00AF63BA">
      <w:pPr>
        <w:pStyle w:val="BodyText"/>
        <w:spacing w:before="120"/>
        <w:ind w:left="147" w:right="198"/>
      </w:pPr>
      <w:r>
        <w:t>IDC staff also continued to work to improve the amount and quality of data available on the IDC website. In addition, IDC posts the Consolidated Plan, Annual Action Plan, CAPER, and CDBG Application Handbook and Grant Administration Manual.</w:t>
      </w:r>
    </w:p>
    <w:p w14:paraId="6A1F8E0C" w14:textId="58907716" w:rsidR="00AF63BA" w:rsidRDefault="00AF63BA" w:rsidP="00AF63BA">
      <w:pPr>
        <w:pStyle w:val="BodyText"/>
        <w:spacing w:before="119"/>
        <w:ind w:left="147" w:right="398"/>
      </w:pPr>
      <w:r>
        <w:t>IDC continues to hold quarterly meeting</w:t>
      </w:r>
      <w:r w:rsidR="0005149D">
        <w:t>s</w:t>
      </w:r>
      <w:r>
        <w:t xml:space="preserve"> with USDA-Rural Development, Army Corps of Engineers, and Idaho Department of Environmental Quality to discuss community needs and coordinate efforts to meet those needs.</w:t>
      </w:r>
    </w:p>
    <w:p w14:paraId="579961F6" w14:textId="39034082" w:rsidR="00AF63BA" w:rsidRDefault="00AF63BA" w:rsidP="00AF63BA">
      <w:pPr>
        <w:pStyle w:val="BodyText"/>
        <w:spacing w:before="121"/>
        <w:ind w:left="147" w:right="481"/>
      </w:pPr>
      <w:r>
        <w:t xml:space="preserve">IDC </w:t>
      </w:r>
      <w:r w:rsidR="00E91E94">
        <w:t>continues to provide</w:t>
      </w:r>
      <w:r>
        <w:t xml:space="preserve"> grant administration training, application trainings and one-on-one technical assistance to local governments, non-profits, grant consultants, and design professionals in efforts to ensure the on-going and future effective use of CDBG funds.</w:t>
      </w:r>
    </w:p>
    <w:p w14:paraId="32500105" w14:textId="77777777" w:rsidR="00AF63BA" w:rsidRDefault="00AF63BA" w:rsidP="0071142E"/>
    <w:p w14:paraId="4243F0D0" w14:textId="77777777" w:rsidR="00AF63BA" w:rsidRPr="00AF63BA" w:rsidRDefault="00AF63BA" w:rsidP="00AF63BA">
      <w:pPr>
        <w:pStyle w:val="Heading3"/>
        <w:spacing w:before="121"/>
        <w:ind w:right="270"/>
        <w:rPr>
          <w:color w:val="FF0000"/>
        </w:rPr>
      </w:pPr>
      <w:bookmarkStart w:id="16" w:name="_Toc12011466"/>
      <w:bookmarkStart w:id="17" w:name="_Toc12011894"/>
      <w:r w:rsidRPr="00AF63BA">
        <w:rPr>
          <w:color w:val="FF0000"/>
        </w:rPr>
        <w:t>Actions taken to enhance coordination between public and private housing and social service agencies. 91.220(k); 91.320(j)</w:t>
      </w:r>
      <w:bookmarkEnd w:id="16"/>
      <w:bookmarkEnd w:id="17"/>
    </w:p>
    <w:p w14:paraId="437A26CA" w14:textId="77777777" w:rsidR="00AF63BA" w:rsidRDefault="00AF63BA" w:rsidP="00AF63BA">
      <w:pPr>
        <w:pStyle w:val="BodyText"/>
        <w:spacing w:before="7"/>
        <w:rPr>
          <w:b/>
          <w:sz w:val="19"/>
        </w:rPr>
      </w:pPr>
    </w:p>
    <w:p w14:paraId="402EFB4F" w14:textId="3E587581" w:rsidR="00AF63BA" w:rsidRDefault="00AF63BA" w:rsidP="00AF63BA">
      <w:pPr>
        <w:pStyle w:val="ListParagraph"/>
        <w:numPr>
          <w:ilvl w:val="0"/>
          <w:numId w:val="2"/>
        </w:numPr>
        <w:tabs>
          <w:tab w:val="left" w:pos="436"/>
        </w:tabs>
        <w:spacing w:before="0" w:line="259" w:lineRule="auto"/>
        <w:ind w:right="281" w:hanging="360"/>
        <w:rPr>
          <w:rFonts w:ascii="Calibri"/>
        </w:rPr>
      </w:pPr>
      <w:r>
        <w:rPr>
          <w:rFonts w:ascii="Calibri"/>
        </w:rPr>
        <w:t>IHFA</w:t>
      </w:r>
      <w:r>
        <w:rPr>
          <w:rFonts w:ascii="Calibri"/>
          <w:spacing w:val="-1"/>
        </w:rPr>
        <w:t xml:space="preserve"> </w:t>
      </w:r>
      <w:r>
        <w:rPr>
          <w:rFonts w:ascii="Calibri"/>
        </w:rPr>
        <w:t>and</w:t>
      </w:r>
      <w:r>
        <w:rPr>
          <w:rFonts w:ascii="Calibri"/>
          <w:spacing w:val="-2"/>
        </w:rPr>
        <w:t xml:space="preserve"> </w:t>
      </w:r>
      <w:r>
        <w:rPr>
          <w:rFonts w:ascii="Calibri"/>
        </w:rPr>
        <w:t>IDC</w:t>
      </w:r>
      <w:r>
        <w:rPr>
          <w:rFonts w:ascii="Calibri"/>
          <w:spacing w:val="-1"/>
        </w:rPr>
        <w:t xml:space="preserve"> </w:t>
      </w:r>
      <w:r>
        <w:rPr>
          <w:rFonts w:ascii="Calibri"/>
        </w:rPr>
        <w:t>will</w:t>
      </w:r>
      <w:r>
        <w:rPr>
          <w:rFonts w:ascii="Calibri"/>
          <w:spacing w:val="-3"/>
        </w:rPr>
        <w:t xml:space="preserve"> </w:t>
      </w:r>
      <w:r>
        <w:rPr>
          <w:rFonts w:ascii="Calibri"/>
        </w:rPr>
        <w:t>continue</w:t>
      </w:r>
      <w:r>
        <w:rPr>
          <w:rFonts w:ascii="Calibri"/>
          <w:spacing w:val="-4"/>
        </w:rPr>
        <w:t xml:space="preserve"> </w:t>
      </w:r>
      <w:r>
        <w:rPr>
          <w:rFonts w:ascii="Calibri"/>
        </w:rPr>
        <w:t>to</w:t>
      </w:r>
      <w:r>
        <w:rPr>
          <w:rFonts w:ascii="Calibri"/>
          <w:spacing w:val="-4"/>
        </w:rPr>
        <w:t xml:space="preserve"> </w:t>
      </w:r>
      <w:r>
        <w:rPr>
          <w:rFonts w:ascii="Calibri"/>
        </w:rPr>
        <w:t>facilitate</w:t>
      </w:r>
      <w:r>
        <w:rPr>
          <w:rFonts w:ascii="Calibri"/>
          <w:spacing w:val="-2"/>
        </w:rPr>
        <w:t xml:space="preserve"> </w:t>
      </w:r>
      <w:r>
        <w:rPr>
          <w:rFonts w:ascii="Calibri"/>
        </w:rPr>
        <w:t>the</w:t>
      </w:r>
      <w:r>
        <w:rPr>
          <w:rFonts w:ascii="Calibri"/>
          <w:spacing w:val="-4"/>
        </w:rPr>
        <w:t xml:space="preserve"> </w:t>
      </w:r>
      <w:r>
        <w:rPr>
          <w:rFonts w:ascii="Calibri"/>
        </w:rPr>
        <w:t>coordination</w:t>
      </w:r>
      <w:r>
        <w:rPr>
          <w:rFonts w:ascii="Calibri"/>
          <w:spacing w:val="-3"/>
        </w:rPr>
        <w:t xml:space="preserve"> </w:t>
      </w:r>
      <w:r>
        <w:rPr>
          <w:rFonts w:ascii="Calibri"/>
        </w:rPr>
        <w:t>and</w:t>
      </w:r>
      <w:r>
        <w:rPr>
          <w:rFonts w:ascii="Calibri"/>
          <w:spacing w:val="-3"/>
        </w:rPr>
        <w:t xml:space="preserve"> </w:t>
      </w:r>
      <w:r>
        <w:rPr>
          <w:rFonts w:ascii="Calibri"/>
        </w:rPr>
        <w:t>participation</w:t>
      </w:r>
      <w:r>
        <w:rPr>
          <w:rFonts w:ascii="Calibri"/>
          <w:spacing w:val="-3"/>
        </w:rPr>
        <w:t xml:space="preserve"> </w:t>
      </w:r>
      <w:r>
        <w:rPr>
          <w:rFonts w:ascii="Calibri"/>
        </w:rPr>
        <w:t>between</w:t>
      </w:r>
      <w:r>
        <w:rPr>
          <w:rFonts w:ascii="Calibri"/>
          <w:spacing w:val="-2"/>
        </w:rPr>
        <w:t xml:space="preserve"> </w:t>
      </w:r>
      <w:r>
        <w:rPr>
          <w:rFonts w:ascii="Calibri"/>
        </w:rPr>
        <w:t>public</w:t>
      </w:r>
      <w:r>
        <w:rPr>
          <w:rFonts w:ascii="Calibri"/>
          <w:spacing w:val="-2"/>
        </w:rPr>
        <w:t xml:space="preserve"> </w:t>
      </w:r>
      <w:r>
        <w:rPr>
          <w:rFonts w:ascii="Calibri"/>
        </w:rPr>
        <w:t>and</w:t>
      </w:r>
      <w:r>
        <w:rPr>
          <w:rFonts w:ascii="Calibri"/>
          <w:spacing w:val="-3"/>
        </w:rPr>
        <w:t xml:space="preserve"> </w:t>
      </w:r>
      <w:r>
        <w:rPr>
          <w:rFonts w:ascii="Calibri"/>
        </w:rPr>
        <w:t>private</w:t>
      </w:r>
      <w:r>
        <w:rPr>
          <w:rFonts w:ascii="Calibri"/>
          <w:spacing w:val="-4"/>
        </w:rPr>
        <w:t xml:space="preserve"> </w:t>
      </w:r>
      <w:r>
        <w:rPr>
          <w:rFonts w:ascii="Calibri"/>
        </w:rPr>
        <w:t>housing and in stakeholder forums during PY20</w:t>
      </w:r>
      <w:r w:rsidR="00E91E94">
        <w:rPr>
          <w:rFonts w:ascii="Calibri"/>
        </w:rPr>
        <w:t>21</w:t>
      </w:r>
      <w:r>
        <w:rPr>
          <w:rFonts w:ascii="Calibri"/>
        </w:rPr>
        <w:t xml:space="preserve"> to enhance collaboration and coordination of public, private and faith-based service providers for housing, economic development, and other</w:t>
      </w:r>
      <w:r>
        <w:rPr>
          <w:rFonts w:ascii="Calibri"/>
          <w:spacing w:val="-9"/>
        </w:rPr>
        <w:t xml:space="preserve"> </w:t>
      </w:r>
      <w:r>
        <w:rPr>
          <w:rFonts w:ascii="Calibri"/>
        </w:rPr>
        <w:t>services:</w:t>
      </w:r>
    </w:p>
    <w:p w14:paraId="656BDD10" w14:textId="77777777" w:rsidR="00AF63BA" w:rsidRDefault="00AF63BA" w:rsidP="00AF63BA">
      <w:pPr>
        <w:pStyle w:val="ListParagraph"/>
        <w:numPr>
          <w:ilvl w:val="1"/>
          <w:numId w:val="2"/>
        </w:numPr>
        <w:tabs>
          <w:tab w:val="left" w:pos="1013"/>
        </w:tabs>
        <w:spacing w:before="161"/>
        <w:ind w:hanging="360"/>
        <w:rPr>
          <w:rFonts w:ascii="Calibri" w:hAnsi="Calibri"/>
        </w:rPr>
      </w:pPr>
      <w:r>
        <w:rPr>
          <w:rFonts w:ascii="Calibri" w:hAnsi="Calibri"/>
        </w:rPr>
        <w:t>Idaho’s Regional Housing</w:t>
      </w:r>
      <w:r>
        <w:rPr>
          <w:rFonts w:ascii="Calibri" w:hAnsi="Calibri"/>
          <w:spacing w:val="-2"/>
        </w:rPr>
        <w:t xml:space="preserve"> </w:t>
      </w:r>
      <w:r>
        <w:rPr>
          <w:rFonts w:ascii="Calibri" w:hAnsi="Calibri"/>
        </w:rPr>
        <w:t>Roundtable</w:t>
      </w:r>
    </w:p>
    <w:p w14:paraId="760CA712" w14:textId="1A2F25E6" w:rsidR="00AF63BA" w:rsidRDefault="00AF63BA" w:rsidP="00AF63BA">
      <w:pPr>
        <w:pStyle w:val="ListParagraph"/>
        <w:numPr>
          <w:ilvl w:val="1"/>
          <w:numId w:val="2"/>
        </w:numPr>
        <w:tabs>
          <w:tab w:val="left" w:pos="1013"/>
        </w:tabs>
        <w:spacing w:before="22"/>
        <w:ind w:hanging="360"/>
        <w:rPr>
          <w:rFonts w:ascii="Calibri" w:hAnsi="Calibri"/>
        </w:rPr>
      </w:pPr>
      <w:r>
        <w:rPr>
          <w:rFonts w:ascii="Calibri" w:hAnsi="Calibri"/>
        </w:rPr>
        <w:t>Idaho Rural Partnership</w:t>
      </w:r>
      <w:r>
        <w:rPr>
          <w:rFonts w:ascii="Calibri" w:hAnsi="Calibri"/>
          <w:spacing w:val="-5"/>
        </w:rPr>
        <w:t xml:space="preserve"> </w:t>
      </w:r>
      <w:r>
        <w:rPr>
          <w:rFonts w:ascii="Calibri" w:hAnsi="Calibri"/>
        </w:rPr>
        <w:t>(</w:t>
      </w:r>
      <w:hyperlink r:id="rId12">
        <w:r>
          <w:rPr>
            <w:rFonts w:ascii="Calibri" w:hAnsi="Calibri"/>
            <w:u w:val="single"/>
          </w:rPr>
          <w:t>www.irp.idaho.gov</w:t>
        </w:r>
      </w:hyperlink>
      <w:r>
        <w:rPr>
          <w:rFonts w:ascii="Calibri" w:hAnsi="Calibri"/>
        </w:rPr>
        <w:t>)</w:t>
      </w:r>
    </w:p>
    <w:p w14:paraId="05036F8A" w14:textId="77777777" w:rsidR="00233F67" w:rsidRDefault="00233F67" w:rsidP="00233F67">
      <w:pPr>
        <w:pStyle w:val="ListParagraph"/>
        <w:numPr>
          <w:ilvl w:val="1"/>
          <w:numId w:val="2"/>
        </w:numPr>
        <w:tabs>
          <w:tab w:val="left" w:pos="1013"/>
        </w:tabs>
        <w:spacing w:before="50"/>
        <w:ind w:left="1012"/>
        <w:rPr>
          <w:rFonts w:ascii="Calibri" w:hAnsi="Calibri"/>
        </w:rPr>
      </w:pPr>
      <w:r>
        <w:rPr>
          <w:rFonts w:ascii="Calibri" w:hAnsi="Calibri"/>
        </w:rPr>
        <w:t>Association of Idaho Cities</w:t>
      </w:r>
      <w:r>
        <w:rPr>
          <w:rFonts w:ascii="Calibri" w:hAnsi="Calibri"/>
          <w:spacing w:val="-4"/>
        </w:rPr>
        <w:t xml:space="preserve"> </w:t>
      </w:r>
      <w:r>
        <w:rPr>
          <w:rFonts w:ascii="Calibri" w:hAnsi="Calibri"/>
        </w:rPr>
        <w:t>(</w:t>
      </w:r>
      <w:hyperlink r:id="rId13">
        <w:r>
          <w:rPr>
            <w:rFonts w:ascii="Calibri" w:hAnsi="Calibri"/>
            <w:u w:val="single"/>
          </w:rPr>
          <w:t>https://idahocities.org</w:t>
        </w:r>
      </w:hyperlink>
      <w:r>
        <w:rPr>
          <w:rFonts w:ascii="Calibri" w:hAnsi="Calibri"/>
        </w:rPr>
        <w:t>)</w:t>
      </w:r>
    </w:p>
    <w:p w14:paraId="6FDAC132" w14:textId="77777777" w:rsidR="00233F67" w:rsidRDefault="00233F67" w:rsidP="00233F67">
      <w:pPr>
        <w:pStyle w:val="ListParagraph"/>
        <w:numPr>
          <w:ilvl w:val="1"/>
          <w:numId w:val="2"/>
        </w:numPr>
        <w:tabs>
          <w:tab w:val="left" w:pos="1013"/>
        </w:tabs>
        <w:spacing w:before="20"/>
        <w:ind w:left="1012"/>
        <w:rPr>
          <w:rFonts w:ascii="Calibri" w:hAnsi="Calibri"/>
        </w:rPr>
      </w:pPr>
      <w:r>
        <w:rPr>
          <w:rFonts w:ascii="Calibri" w:hAnsi="Calibri"/>
        </w:rPr>
        <w:t>Disability Action Center NW</w:t>
      </w:r>
      <w:r>
        <w:rPr>
          <w:rFonts w:ascii="Calibri" w:hAnsi="Calibri"/>
          <w:spacing w:val="-4"/>
        </w:rPr>
        <w:t xml:space="preserve"> </w:t>
      </w:r>
      <w:r>
        <w:rPr>
          <w:rFonts w:ascii="Calibri" w:hAnsi="Calibri"/>
        </w:rPr>
        <w:t>(</w:t>
      </w:r>
      <w:hyperlink r:id="rId14">
        <w:r>
          <w:rPr>
            <w:rFonts w:ascii="Calibri" w:hAnsi="Calibri"/>
            <w:u w:val="single"/>
          </w:rPr>
          <w:t>http://dacnw.org</w:t>
        </w:r>
      </w:hyperlink>
      <w:r>
        <w:rPr>
          <w:rFonts w:ascii="Calibri" w:hAnsi="Calibri"/>
        </w:rPr>
        <w:t>)</w:t>
      </w:r>
    </w:p>
    <w:p w14:paraId="3632809E" w14:textId="77777777" w:rsidR="00233F67" w:rsidRDefault="00233F67" w:rsidP="00233F67">
      <w:pPr>
        <w:pStyle w:val="ListParagraph"/>
        <w:numPr>
          <w:ilvl w:val="1"/>
          <w:numId w:val="2"/>
        </w:numPr>
        <w:tabs>
          <w:tab w:val="left" w:pos="1013"/>
        </w:tabs>
        <w:spacing w:before="22"/>
        <w:ind w:left="1012"/>
        <w:rPr>
          <w:rFonts w:ascii="Calibri" w:hAnsi="Calibri"/>
        </w:rPr>
      </w:pPr>
      <w:r>
        <w:rPr>
          <w:rFonts w:ascii="Calibri" w:hAnsi="Calibri"/>
        </w:rPr>
        <w:t>Consortium for Idahoans with Disabilities</w:t>
      </w:r>
      <w:r>
        <w:rPr>
          <w:rFonts w:ascii="Calibri" w:hAnsi="Calibri"/>
          <w:spacing w:val="-2"/>
        </w:rPr>
        <w:t xml:space="preserve"> </w:t>
      </w:r>
      <w:r>
        <w:rPr>
          <w:rFonts w:ascii="Calibri" w:hAnsi="Calibri"/>
        </w:rPr>
        <w:t>(</w:t>
      </w:r>
      <w:hyperlink r:id="rId15">
        <w:r>
          <w:rPr>
            <w:rFonts w:ascii="Calibri" w:hAnsi="Calibri"/>
            <w:u w:val="single"/>
          </w:rPr>
          <w:t>https://www.idahocid.com</w:t>
        </w:r>
      </w:hyperlink>
      <w:r>
        <w:rPr>
          <w:rFonts w:ascii="Calibri" w:hAnsi="Calibri"/>
        </w:rPr>
        <w:t>)</w:t>
      </w:r>
    </w:p>
    <w:p w14:paraId="4A7D0524" w14:textId="77777777" w:rsidR="00233F67" w:rsidRDefault="00233F67" w:rsidP="00233F67">
      <w:pPr>
        <w:pStyle w:val="ListParagraph"/>
        <w:numPr>
          <w:ilvl w:val="1"/>
          <w:numId w:val="2"/>
        </w:numPr>
        <w:tabs>
          <w:tab w:val="left" w:pos="1013"/>
        </w:tabs>
        <w:spacing w:before="22"/>
        <w:ind w:left="1012"/>
        <w:rPr>
          <w:rFonts w:ascii="Calibri" w:hAnsi="Calibri"/>
        </w:rPr>
      </w:pPr>
      <w:r>
        <w:rPr>
          <w:rFonts w:ascii="Calibri" w:hAnsi="Calibri"/>
        </w:rPr>
        <w:t>Idaho Commission on Hispanic Affairs</w:t>
      </w:r>
      <w:r>
        <w:rPr>
          <w:rFonts w:ascii="Calibri" w:hAnsi="Calibri"/>
          <w:spacing w:val="-7"/>
        </w:rPr>
        <w:t xml:space="preserve"> </w:t>
      </w:r>
      <w:r>
        <w:rPr>
          <w:rFonts w:ascii="Calibri" w:hAnsi="Calibri"/>
        </w:rPr>
        <w:t>(</w:t>
      </w:r>
      <w:hyperlink r:id="rId16">
        <w:r>
          <w:rPr>
            <w:rFonts w:ascii="Calibri" w:hAnsi="Calibri"/>
            <w:u w:val="single"/>
          </w:rPr>
          <w:t>https://icha.idaho.gov</w:t>
        </w:r>
      </w:hyperlink>
      <w:r>
        <w:rPr>
          <w:rFonts w:ascii="Calibri" w:hAnsi="Calibri"/>
        </w:rPr>
        <w:t>)</w:t>
      </w:r>
    </w:p>
    <w:p w14:paraId="393B0474" w14:textId="77777777" w:rsidR="00233F67" w:rsidRDefault="00233F67" w:rsidP="00233F67">
      <w:pPr>
        <w:pStyle w:val="ListParagraph"/>
        <w:numPr>
          <w:ilvl w:val="1"/>
          <w:numId w:val="2"/>
        </w:numPr>
        <w:tabs>
          <w:tab w:val="left" w:pos="1013"/>
        </w:tabs>
        <w:spacing w:before="20"/>
        <w:ind w:left="1012"/>
        <w:rPr>
          <w:rFonts w:ascii="Calibri" w:hAnsi="Calibri"/>
        </w:rPr>
      </w:pPr>
      <w:r>
        <w:rPr>
          <w:rFonts w:ascii="Calibri" w:hAnsi="Calibri"/>
        </w:rPr>
        <w:t>Idaho Commission on Aging</w:t>
      </w:r>
      <w:r>
        <w:rPr>
          <w:rFonts w:ascii="Calibri" w:hAnsi="Calibri"/>
          <w:spacing w:val="-6"/>
        </w:rPr>
        <w:t xml:space="preserve"> </w:t>
      </w:r>
      <w:r>
        <w:rPr>
          <w:rFonts w:ascii="Calibri" w:hAnsi="Calibri"/>
        </w:rPr>
        <w:t>(</w:t>
      </w:r>
      <w:hyperlink r:id="rId17">
        <w:r>
          <w:rPr>
            <w:rFonts w:ascii="Calibri" w:hAnsi="Calibri"/>
            <w:u w:val="single"/>
          </w:rPr>
          <w:t>https://aging.idaho.gov</w:t>
        </w:r>
      </w:hyperlink>
      <w:r>
        <w:rPr>
          <w:rFonts w:ascii="Calibri" w:hAnsi="Calibri"/>
        </w:rPr>
        <w:t>)</w:t>
      </w:r>
    </w:p>
    <w:p w14:paraId="2826AFD5" w14:textId="77777777" w:rsidR="00233F67" w:rsidRDefault="00233F67" w:rsidP="00233F67">
      <w:pPr>
        <w:pStyle w:val="ListParagraph"/>
        <w:numPr>
          <w:ilvl w:val="1"/>
          <w:numId w:val="2"/>
        </w:numPr>
        <w:tabs>
          <w:tab w:val="left" w:pos="1013"/>
        </w:tabs>
        <w:spacing w:before="22"/>
        <w:ind w:left="1012"/>
        <w:rPr>
          <w:rFonts w:ascii="Calibri" w:hAnsi="Calibri"/>
        </w:rPr>
      </w:pPr>
      <w:r>
        <w:rPr>
          <w:rFonts w:ascii="Calibri" w:hAnsi="Calibri"/>
        </w:rPr>
        <w:t>Idaho Association of Counties</w:t>
      </w:r>
      <w:r>
        <w:rPr>
          <w:rFonts w:ascii="Calibri" w:hAnsi="Calibri"/>
          <w:spacing w:val="-4"/>
        </w:rPr>
        <w:t xml:space="preserve"> </w:t>
      </w:r>
      <w:r>
        <w:rPr>
          <w:rFonts w:ascii="Calibri" w:hAnsi="Calibri"/>
        </w:rPr>
        <w:t>(</w:t>
      </w:r>
      <w:hyperlink r:id="rId18">
        <w:r>
          <w:rPr>
            <w:rFonts w:ascii="Calibri" w:hAnsi="Calibri"/>
            <w:u w:val="single"/>
          </w:rPr>
          <w:t>http://idcounties.org</w:t>
        </w:r>
      </w:hyperlink>
      <w:r>
        <w:rPr>
          <w:rFonts w:ascii="Calibri" w:hAnsi="Calibri"/>
        </w:rPr>
        <w:t>)</w:t>
      </w:r>
    </w:p>
    <w:p w14:paraId="6F34421D" w14:textId="77777777" w:rsidR="00233F67" w:rsidRDefault="00233F67" w:rsidP="00233F67">
      <w:pPr>
        <w:pStyle w:val="ListParagraph"/>
        <w:numPr>
          <w:ilvl w:val="1"/>
          <w:numId w:val="2"/>
        </w:numPr>
        <w:tabs>
          <w:tab w:val="left" w:pos="1013"/>
        </w:tabs>
        <w:spacing w:before="22"/>
        <w:ind w:left="1012"/>
        <w:rPr>
          <w:rFonts w:ascii="Calibri" w:hAnsi="Calibri"/>
        </w:rPr>
      </w:pPr>
      <w:r>
        <w:rPr>
          <w:rFonts w:ascii="Calibri" w:hAnsi="Calibri"/>
        </w:rPr>
        <w:t>Local Planning Districts</w:t>
      </w:r>
    </w:p>
    <w:p w14:paraId="42D9342B" w14:textId="77777777" w:rsidR="00233F67" w:rsidRDefault="00233F67" w:rsidP="00233F67">
      <w:pPr>
        <w:pStyle w:val="ListParagraph"/>
        <w:numPr>
          <w:ilvl w:val="1"/>
          <w:numId w:val="2"/>
        </w:numPr>
        <w:tabs>
          <w:tab w:val="left" w:pos="1013"/>
        </w:tabs>
        <w:spacing w:before="20"/>
        <w:ind w:left="1012"/>
        <w:rPr>
          <w:rFonts w:ascii="Calibri" w:hAnsi="Calibri"/>
        </w:rPr>
      </w:pPr>
      <w:r>
        <w:rPr>
          <w:rFonts w:ascii="Calibri" w:hAnsi="Calibri"/>
        </w:rPr>
        <w:t>Idaho Center for Fiscal Policy</w:t>
      </w:r>
      <w:r>
        <w:rPr>
          <w:rFonts w:ascii="Calibri" w:hAnsi="Calibri"/>
          <w:spacing w:val="-10"/>
        </w:rPr>
        <w:t xml:space="preserve"> </w:t>
      </w:r>
      <w:r>
        <w:rPr>
          <w:rFonts w:ascii="Calibri" w:hAnsi="Calibri"/>
        </w:rPr>
        <w:t>(</w:t>
      </w:r>
      <w:hyperlink r:id="rId19">
        <w:r>
          <w:rPr>
            <w:rFonts w:ascii="Calibri" w:hAnsi="Calibri"/>
            <w:u w:val="single"/>
          </w:rPr>
          <w:t>https://www.jannus.org/program/idaho-center-for-fiscal-policy</w:t>
        </w:r>
      </w:hyperlink>
      <w:r>
        <w:rPr>
          <w:rFonts w:ascii="Calibri" w:hAnsi="Calibri"/>
        </w:rPr>
        <w:t>)</w:t>
      </w:r>
    </w:p>
    <w:p w14:paraId="21B3232D" w14:textId="77777777" w:rsidR="00233F67" w:rsidRDefault="00233F67" w:rsidP="00233F67">
      <w:pPr>
        <w:pStyle w:val="ListParagraph"/>
        <w:numPr>
          <w:ilvl w:val="1"/>
          <w:numId w:val="2"/>
        </w:numPr>
        <w:tabs>
          <w:tab w:val="left" w:pos="1013"/>
        </w:tabs>
        <w:spacing w:before="22"/>
        <w:ind w:left="1012"/>
        <w:rPr>
          <w:rFonts w:ascii="Calibri" w:hAnsi="Calibri"/>
        </w:rPr>
      </w:pPr>
      <w:r>
        <w:rPr>
          <w:rFonts w:ascii="Calibri" w:hAnsi="Calibri"/>
        </w:rPr>
        <w:t>USDA-RD</w:t>
      </w:r>
    </w:p>
    <w:p w14:paraId="705928BF" w14:textId="77777777" w:rsidR="00233F67" w:rsidRDefault="00233F67" w:rsidP="00233F67">
      <w:pPr>
        <w:pStyle w:val="ListParagraph"/>
        <w:numPr>
          <w:ilvl w:val="0"/>
          <w:numId w:val="2"/>
        </w:numPr>
        <w:tabs>
          <w:tab w:val="left" w:pos="436"/>
        </w:tabs>
        <w:spacing w:before="142"/>
        <w:ind w:left="436"/>
        <w:rPr>
          <w:rFonts w:ascii="Calibri"/>
        </w:rPr>
      </w:pPr>
      <w:r>
        <w:rPr>
          <w:rFonts w:ascii="Calibri"/>
        </w:rPr>
        <w:t>Continuing in 2018 IHFA and the City of Boise worked together to develop a multifamily rental model</w:t>
      </w:r>
      <w:r>
        <w:rPr>
          <w:rFonts w:ascii="Calibri"/>
          <w:spacing w:val="-24"/>
        </w:rPr>
        <w:t xml:space="preserve"> </w:t>
      </w:r>
      <w:r>
        <w:rPr>
          <w:rFonts w:ascii="Calibri"/>
        </w:rPr>
        <w:t>that</w:t>
      </w:r>
    </w:p>
    <w:p w14:paraId="277D1875" w14:textId="77777777" w:rsidR="00233F67" w:rsidRDefault="00233F67" w:rsidP="00233F67">
      <w:pPr>
        <w:pStyle w:val="BodyText"/>
        <w:spacing w:before="19" w:line="259" w:lineRule="auto"/>
        <w:ind w:left="508" w:right="163"/>
      </w:pPr>
      <w:r>
        <w:t>follows Boise’s Housing First Initiative. The approved proposal is mixed-income, targeting low, very low, and extremely low-income households. Idaho's LIHTC and HOME programs and the City of Boise will provided the development financing. The City of Boise/Ada County Housing Authority has awarded 40 Project-based vouchers to the project, which will include 40 one-bedroom units.</w:t>
      </w:r>
    </w:p>
    <w:p w14:paraId="051FF7BB" w14:textId="77777777" w:rsidR="00233F67" w:rsidRDefault="00233F67" w:rsidP="00233F67">
      <w:pPr>
        <w:pStyle w:val="ListParagraph"/>
        <w:numPr>
          <w:ilvl w:val="0"/>
          <w:numId w:val="2"/>
        </w:numPr>
        <w:tabs>
          <w:tab w:val="left" w:pos="436"/>
        </w:tabs>
        <w:spacing w:before="161" w:line="259" w:lineRule="auto"/>
        <w:ind w:left="580" w:right="459" w:hanging="432"/>
        <w:rPr>
          <w:sz w:val="20"/>
        </w:rPr>
      </w:pPr>
      <w:r>
        <w:rPr>
          <w:rFonts w:ascii="Calibri"/>
        </w:rPr>
        <w:t>Both IHFA and IDC are participating members of the Fair Housing Forum, which works with various</w:t>
      </w:r>
      <w:r>
        <w:rPr>
          <w:rFonts w:ascii="Calibri"/>
          <w:spacing w:val="-30"/>
        </w:rPr>
        <w:t xml:space="preserve"> </w:t>
      </w:r>
      <w:r>
        <w:rPr>
          <w:rFonts w:ascii="Calibri"/>
        </w:rPr>
        <w:t xml:space="preserve">agencies </w:t>
      </w:r>
    </w:p>
    <w:p w14:paraId="1DCD9EE1" w14:textId="77777777" w:rsidR="00233F67" w:rsidRDefault="00233F67" w:rsidP="00AF63BA">
      <w:pPr>
        <w:pStyle w:val="ListParagraph"/>
        <w:numPr>
          <w:ilvl w:val="1"/>
          <w:numId w:val="2"/>
        </w:numPr>
        <w:tabs>
          <w:tab w:val="left" w:pos="1013"/>
        </w:tabs>
        <w:spacing w:before="22"/>
        <w:ind w:hanging="360"/>
        <w:rPr>
          <w:rFonts w:ascii="Calibri" w:hAnsi="Calibri"/>
        </w:rPr>
      </w:pPr>
    </w:p>
    <w:p w14:paraId="1F009FDA" w14:textId="77777777" w:rsidR="00AF63BA" w:rsidRDefault="00AF63BA" w:rsidP="00AF63BA">
      <w:pPr>
        <w:rPr>
          <w:sz w:val="20"/>
        </w:rPr>
        <w:sectPr w:rsidR="00AF63BA">
          <w:headerReference w:type="even" r:id="rId20"/>
          <w:headerReference w:type="default" r:id="rId21"/>
          <w:footerReference w:type="even" r:id="rId22"/>
          <w:footerReference w:type="default" r:id="rId23"/>
          <w:headerReference w:type="first" r:id="rId24"/>
          <w:footerReference w:type="first" r:id="rId25"/>
          <w:pgSz w:w="12240" w:h="15840"/>
          <w:pgMar w:top="1200" w:right="860" w:bottom="280" w:left="860" w:header="763" w:footer="0" w:gutter="0"/>
          <w:cols w:space="720"/>
        </w:sectPr>
      </w:pPr>
    </w:p>
    <w:p w14:paraId="2E55725D" w14:textId="77777777" w:rsidR="00AF63BA" w:rsidRDefault="00AF63BA" w:rsidP="00AF63BA">
      <w:pPr>
        <w:pStyle w:val="Heading3"/>
        <w:spacing w:before="52"/>
        <w:ind w:left="300" w:right="519"/>
        <w:rPr>
          <w:color w:val="FF0000"/>
        </w:rPr>
      </w:pPr>
      <w:bookmarkStart w:id="18" w:name="_Toc12011467"/>
      <w:bookmarkStart w:id="19" w:name="_Toc12011895"/>
      <w:r w:rsidRPr="00AF63BA">
        <w:rPr>
          <w:color w:val="FF0000"/>
        </w:rPr>
        <w:lastRenderedPageBreak/>
        <w:t>Actions taken to overcome the effects of any impediments identified in the jurisdictions analysis of impediments to fair housing choice.</w:t>
      </w:r>
      <w:bookmarkEnd w:id="18"/>
      <w:bookmarkEnd w:id="19"/>
    </w:p>
    <w:p w14:paraId="7079AC21" w14:textId="77777777" w:rsidR="00CB27B0" w:rsidRDefault="00CB27B0" w:rsidP="00AF63BA"/>
    <w:p w14:paraId="7083837A" w14:textId="77777777" w:rsidR="00AF63BA" w:rsidRDefault="00AF63BA" w:rsidP="00AF63BA">
      <w:pPr>
        <w:ind w:left="300" w:right="950"/>
      </w:pPr>
      <w:r>
        <w:rPr>
          <w:sz w:val="24"/>
        </w:rPr>
        <w:t xml:space="preserve">While no housing issues in Idaho rose to the level of an </w:t>
      </w:r>
      <w:r>
        <w:t xml:space="preserve">impediment in the </w:t>
      </w:r>
      <w:r>
        <w:rPr>
          <w:i/>
        </w:rPr>
        <w:t xml:space="preserve">2017 Fair Housing Assessment-Analysis of Impediments to Affirmatively Further Fair Housing, </w:t>
      </w:r>
      <w:r>
        <w:t>the report does identify several housing issues and potential contributing factors.</w:t>
      </w:r>
    </w:p>
    <w:p w14:paraId="0057D99C" w14:textId="77777777" w:rsidR="00AF63BA" w:rsidRDefault="00AF63BA" w:rsidP="00AF63BA">
      <w:pPr>
        <w:pStyle w:val="BodyText"/>
        <w:spacing w:before="11"/>
        <w:rPr>
          <w:sz w:val="9"/>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07"/>
        <w:gridCol w:w="2768"/>
        <w:gridCol w:w="3183"/>
        <w:gridCol w:w="1450"/>
        <w:gridCol w:w="3630"/>
      </w:tblGrid>
      <w:tr w:rsidR="00AF63BA" w14:paraId="26AD781B" w14:textId="77777777" w:rsidTr="0058178F">
        <w:trPr>
          <w:trHeight w:val="1046"/>
        </w:trPr>
        <w:tc>
          <w:tcPr>
            <w:tcW w:w="2307" w:type="dxa"/>
            <w:shd w:val="clear" w:color="auto" w:fill="BEBEBE"/>
          </w:tcPr>
          <w:p w14:paraId="4543D391" w14:textId="77777777" w:rsidR="00AF63BA" w:rsidRDefault="00AF63BA" w:rsidP="0058178F">
            <w:pPr>
              <w:pStyle w:val="TableParagraph"/>
              <w:spacing w:before="119" w:line="240" w:lineRule="auto"/>
              <w:ind w:left="160" w:right="155" w:hanging="1"/>
              <w:jc w:val="center"/>
              <w:rPr>
                <w:b/>
              </w:rPr>
            </w:pPr>
            <w:r>
              <w:rPr>
                <w:b/>
              </w:rPr>
              <w:t>ISSUES AND CONTRIBUTING FACTORS ADDRESSED</w:t>
            </w:r>
          </w:p>
        </w:tc>
        <w:tc>
          <w:tcPr>
            <w:tcW w:w="2768" w:type="dxa"/>
            <w:shd w:val="clear" w:color="auto" w:fill="BEBEBE"/>
          </w:tcPr>
          <w:p w14:paraId="56184DB9" w14:textId="77777777" w:rsidR="00AF63BA" w:rsidRDefault="00AF63BA" w:rsidP="0058178F">
            <w:pPr>
              <w:pStyle w:val="TableParagraph"/>
              <w:spacing w:before="9" w:line="240" w:lineRule="auto"/>
              <w:rPr>
                <w:sz w:val="31"/>
              </w:rPr>
            </w:pPr>
          </w:p>
          <w:p w14:paraId="7D6A9795" w14:textId="77777777" w:rsidR="00AF63BA" w:rsidRDefault="00AF63BA" w:rsidP="0058178F">
            <w:pPr>
              <w:pStyle w:val="TableParagraph"/>
              <w:spacing w:before="0" w:line="240" w:lineRule="auto"/>
              <w:ind w:left="1106" w:right="1101"/>
              <w:jc w:val="center"/>
              <w:rPr>
                <w:b/>
              </w:rPr>
            </w:pPr>
            <w:r>
              <w:rPr>
                <w:b/>
              </w:rPr>
              <w:t>GOAL</w:t>
            </w:r>
          </w:p>
        </w:tc>
        <w:tc>
          <w:tcPr>
            <w:tcW w:w="3183" w:type="dxa"/>
            <w:shd w:val="clear" w:color="auto" w:fill="BEBEBE"/>
          </w:tcPr>
          <w:p w14:paraId="7D46261D" w14:textId="77777777" w:rsidR="00AF63BA" w:rsidRDefault="00AF63BA" w:rsidP="0058178F">
            <w:pPr>
              <w:pStyle w:val="TableParagraph"/>
              <w:spacing w:before="9" w:line="240" w:lineRule="auto"/>
              <w:rPr>
                <w:sz w:val="31"/>
              </w:rPr>
            </w:pPr>
          </w:p>
          <w:p w14:paraId="07311176" w14:textId="77777777" w:rsidR="00AF63BA" w:rsidRDefault="00AF63BA" w:rsidP="0058178F">
            <w:pPr>
              <w:pStyle w:val="TableParagraph"/>
              <w:spacing w:before="0" w:line="240" w:lineRule="auto"/>
              <w:ind w:left="1005"/>
              <w:rPr>
                <w:b/>
              </w:rPr>
            </w:pPr>
            <w:r>
              <w:rPr>
                <w:b/>
              </w:rPr>
              <w:t>MILESTONES</w:t>
            </w:r>
          </w:p>
        </w:tc>
        <w:tc>
          <w:tcPr>
            <w:tcW w:w="1450" w:type="dxa"/>
            <w:shd w:val="clear" w:color="auto" w:fill="BEBEBE"/>
          </w:tcPr>
          <w:p w14:paraId="00779724" w14:textId="77777777" w:rsidR="00AF63BA" w:rsidRDefault="00AF63BA" w:rsidP="0058178F">
            <w:pPr>
              <w:pStyle w:val="TableParagraph"/>
              <w:spacing w:before="9" w:line="240" w:lineRule="auto"/>
              <w:rPr>
                <w:sz w:val="20"/>
              </w:rPr>
            </w:pPr>
          </w:p>
          <w:p w14:paraId="06EDE732" w14:textId="77777777" w:rsidR="00AF63BA" w:rsidRDefault="00AF63BA" w:rsidP="0058178F">
            <w:pPr>
              <w:pStyle w:val="TableParagraph"/>
              <w:spacing w:before="0" w:line="240" w:lineRule="auto"/>
              <w:ind w:left="402" w:right="86" w:hanging="296"/>
              <w:rPr>
                <w:b/>
              </w:rPr>
            </w:pPr>
            <w:r>
              <w:rPr>
                <w:b/>
              </w:rPr>
              <w:t>RESPONSIBLE ENTITY</w:t>
            </w:r>
          </w:p>
        </w:tc>
        <w:tc>
          <w:tcPr>
            <w:tcW w:w="3630" w:type="dxa"/>
            <w:shd w:val="clear" w:color="auto" w:fill="BEBEBE"/>
          </w:tcPr>
          <w:p w14:paraId="6FCB1598" w14:textId="77777777" w:rsidR="00AF63BA" w:rsidRDefault="00AF63BA" w:rsidP="0058178F">
            <w:pPr>
              <w:pStyle w:val="TableParagraph"/>
              <w:spacing w:before="9" w:line="240" w:lineRule="auto"/>
              <w:rPr>
                <w:sz w:val="31"/>
              </w:rPr>
            </w:pPr>
          </w:p>
          <w:p w14:paraId="5D0868E8" w14:textId="77BD6A6B" w:rsidR="00AF63BA" w:rsidRDefault="00AF63BA" w:rsidP="0058178F">
            <w:pPr>
              <w:pStyle w:val="TableParagraph"/>
              <w:spacing w:before="0" w:line="240" w:lineRule="auto"/>
              <w:ind w:left="824"/>
              <w:rPr>
                <w:b/>
              </w:rPr>
            </w:pPr>
            <w:r>
              <w:rPr>
                <w:b/>
              </w:rPr>
              <w:t>20</w:t>
            </w:r>
            <w:r w:rsidR="00DD0782">
              <w:rPr>
                <w:b/>
              </w:rPr>
              <w:t>20</w:t>
            </w:r>
            <w:r>
              <w:rPr>
                <w:b/>
              </w:rPr>
              <w:t xml:space="preserve"> ACTIONS TAKEN</w:t>
            </w:r>
          </w:p>
        </w:tc>
      </w:tr>
      <w:tr w:rsidR="00AF63BA" w14:paraId="0277380B" w14:textId="77777777" w:rsidTr="0058178F">
        <w:trPr>
          <w:trHeight w:val="7047"/>
        </w:trPr>
        <w:tc>
          <w:tcPr>
            <w:tcW w:w="2307" w:type="dxa"/>
          </w:tcPr>
          <w:p w14:paraId="67E565E5" w14:textId="77777777" w:rsidR="00AF63BA" w:rsidRDefault="00AF63BA" w:rsidP="0058178F">
            <w:pPr>
              <w:pStyle w:val="TableParagraph"/>
              <w:spacing w:before="119" w:line="240" w:lineRule="auto"/>
              <w:ind w:left="107" w:right="207"/>
              <w:rPr>
                <w:b/>
              </w:rPr>
            </w:pPr>
            <w:r>
              <w:rPr>
                <w:b/>
              </w:rPr>
              <w:t>Higher housing needs of Hispanic, Native American, disabled and elderly households</w:t>
            </w:r>
          </w:p>
        </w:tc>
        <w:tc>
          <w:tcPr>
            <w:tcW w:w="2768" w:type="dxa"/>
          </w:tcPr>
          <w:p w14:paraId="6682E3F9" w14:textId="77777777" w:rsidR="00AF63BA" w:rsidRDefault="00AF63BA" w:rsidP="0058178F">
            <w:pPr>
              <w:pStyle w:val="TableParagraph"/>
              <w:spacing w:before="119" w:line="240" w:lineRule="auto"/>
              <w:ind w:left="107" w:right="369"/>
            </w:pPr>
            <w:r>
              <w:t>A. Support residents with disproportionate housing needs living in non- entitlement areas:</w:t>
            </w:r>
          </w:p>
          <w:p w14:paraId="4670A2DF" w14:textId="77777777" w:rsidR="00AF63BA" w:rsidRDefault="00AF63BA" w:rsidP="00AF63BA">
            <w:pPr>
              <w:pStyle w:val="TableParagraph"/>
              <w:numPr>
                <w:ilvl w:val="0"/>
                <w:numId w:val="25"/>
              </w:numPr>
              <w:tabs>
                <w:tab w:val="left" w:pos="537"/>
              </w:tabs>
              <w:spacing w:before="119" w:line="240" w:lineRule="auto"/>
              <w:ind w:right="291" w:firstLine="0"/>
            </w:pPr>
            <w:r>
              <w:t>Continue preferences for deeply subsidized rental</w:t>
            </w:r>
            <w:r>
              <w:rPr>
                <w:spacing w:val="-1"/>
              </w:rPr>
              <w:t xml:space="preserve"> </w:t>
            </w:r>
            <w:r>
              <w:t>housing.</w:t>
            </w:r>
          </w:p>
          <w:p w14:paraId="6A250F90" w14:textId="77777777" w:rsidR="00AF63BA" w:rsidRDefault="00AF63BA" w:rsidP="00AF63BA">
            <w:pPr>
              <w:pStyle w:val="TableParagraph"/>
              <w:numPr>
                <w:ilvl w:val="0"/>
                <w:numId w:val="25"/>
              </w:numPr>
              <w:tabs>
                <w:tab w:val="left" w:pos="537"/>
              </w:tabs>
              <w:spacing w:before="120" w:line="240" w:lineRule="auto"/>
              <w:ind w:right="230" w:firstLine="0"/>
            </w:pPr>
            <w:r>
              <w:t xml:space="preserve">Support tenant preferences that target priority housing needs populations as </w:t>
            </w:r>
            <w:r>
              <w:rPr>
                <w:spacing w:val="-3"/>
              </w:rPr>
              <w:t xml:space="preserve">identified </w:t>
            </w:r>
            <w:r>
              <w:t>in the 5-Year Consolidated</w:t>
            </w:r>
            <w:r>
              <w:rPr>
                <w:spacing w:val="-4"/>
              </w:rPr>
              <w:t xml:space="preserve"> </w:t>
            </w:r>
            <w:r>
              <w:t>Plan.</w:t>
            </w:r>
          </w:p>
          <w:p w14:paraId="2AD2FD40" w14:textId="77777777" w:rsidR="00AF63BA" w:rsidRDefault="00AF63BA" w:rsidP="00AF63BA">
            <w:pPr>
              <w:pStyle w:val="TableParagraph"/>
              <w:numPr>
                <w:ilvl w:val="0"/>
                <w:numId w:val="25"/>
              </w:numPr>
              <w:tabs>
                <w:tab w:val="left" w:pos="537"/>
              </w:tabs>
              <w:spacing w:before="122" w:line="240" w:lineRule="auto"/>
              <w:ind w:right="116" w:firstLine="0"/>
            </w:pPr>
            <w:r>
              <w:t>Support partner efforts to develop a recurring source of state funding for the Idaho Housing Trust Fund, emphasizing the unique needs of non- entitlement</w:t>
            </w:r>
            <w:r>
              <w:rPr>
                <w:spacing w:val="-6"/>
              </w:rPr>
              <w:t xml:space="preserve"> </w:t>
            </w:r>
            <w:r>
              <w:t>communities.</w:t>
            </w:r>
          </w:p>
          <w:p w14:paraId="7B4A5657" w14:textId="77777777" w:rsidR="00AF63BA" w:rsidRDefault="00AF63BA" w:rsidP="00AF63BA">
            <w:pPr>
              <w:pStyle w:val="TableParagraph"/>
              <w:numPr>
                <w:ilvl w:val="0"/>
                <w:numId w:val="25"/>
              </w:numPr>
              <w:tabs>
                <w:tab w:val="left" w:pos="537"/>
              </w:tabs>
              <w:spacing w:before="119" w:line="270" w:lineRule="atLeast"/>
              <w:ind w:right="144" w:firstLine="0"/>
            </w:pPr>
            <w:r>
              <w:t>Require affordable rental housing projects to be located in communities that are</w:t>
            </w:r>
          </w:p>
        </w:tc>
        <w:tc>
          <w:tcPr>
            <w:tcW w:w="3183" w:type="dxa"/>
          </w:tcPr>
          <w:p w14:paraId="6DDF3C7E" w14:textId="77777777" w:rsidR="00AF63BA" w:rsidRDefault="00AF63BA" w:rsidP="00AF63BA">
            <w:pPr>
              <w:pStyle w:val="TableParagraph"/>
              <w:numPr>
                <w:ilvl w:val="0"/>
                <w:numId w:val="24"/>
              </w:numPr>
              <w:tabs>
                <w:tab w:val="left" w:pos="326"/>
              </w:tabs>
              <w:spacing w:before="119" w:line="240" w:lineRule="auto"/>
              <w:ind w:right="351" w:firstLine="0"/>
            </w:pPr>
            <w:r>
              <w:t>Complete 10 units of rental housing annually that target priority housing needs populations (Disabled,</w:t>
            </w:r>
            <w:r>
              <w:rPr>
                <w:spacing w:val="7"/>
              </w:rPr>
              <w:t xml:space="preserve"> </w:t>
            </w:r>
            <w:r>
              <w:rPr>
                <w:spacing w:val="-3"/>
              </w:rPr>
              <w:t>Elderly,</w:t>
            </w:r>
          </w:p>
          <w:p w14:paraId="28209567" w14:textId="77777777" w:rsidR="00AF63BA" w:rsidRDefault="00AF63BA" w:rsidP="0058178F">
            <w:pPr>
              <w:pStyle w:val="TableParagraph"/>
              <w:spacing w:before="1" w:line="240" w:lineRule="auto"/>
              <w:ind w:left="107"/>
            </w:pPr>
            <w:r>
              <w:t>≤30% AMI.</w:t>
            </w:r>
          </w:p>
          <w:p w14:paraId="05104BFD" w14:textId="77777777" w:rsidR="00AF63BA" w:rsidRDefault="00AF63BA" w:rsidP="00AF63BA">
            <w:pPr>
              <w:pStyle w:val="TableParagraph"/>
              <w:numPr>
                <w:ilvl w:val="0"/>
                <w:numId w:val="24"/>
              </w:numPr>
              <w:tabs>
                <w:tab w:val="left" w:pos="326"/>
              </w:tabs>
              <w:spacing w:before="118" w:line="240" w:lineRule="auto"/>
              <w:ind w:right="129" w:firstLine="0"/>
            </w:pPr>
            <w:r>
              <w:t>Retain current preferences in LIHTC QAP for 2017 and 2018; evaluate effectiveness of income targeting during subsequent years based on applications received in 2017 and</w:t>
            </w:r>
            <w:r>
              <w:rPr>
                <w:spacing w:val="-7"/>
              </w:rPr>
              <w:t xml:space="preserve"> </w:t>
            </w:r>
            <w:r>
              <w:t>2018.</w:t>
            </w:r>
          </w:p>
          <w:p w14:paraId="5D3FEBE5" w14:textId="77777777" w:rsidR="00AF63BA" w:rsidRDefault="00AF63BA" w:rsidP="00AF63BA">
            <w:pPr>
              <w:pStyle w:val="TableParagraph"/>
              <w:numPr>
                <w:ilvl w:val="0"/>
                <w:numId w:val="24"/>
              </w:numPr>
              <w:tabs>
                <w:tab w:val="left" w:pos="326"/>
              </w:tabs>
              <w:spacing w:before="122" w:line="240" w:lineRule="auto"/>
              <w:ind w:right="291" w:firstLine="0"/>
              <w:jc w:val="both"/>
            </w:pPr>
            <w:r>
              <w:t>Encourage efforts to</w:t>
            </w:r>
            <w:r>
              <w:rPr>
                <w:spacing w:val="-11"/>
              </w:rPr>
              <w:t xml:space="preserve"> </w:t>
            </w:r>
            <w:r>
              <w:t>provide state support for housing trust fund.</w:t>
            </w:r>
          </w:p>
          <w:p w14:paraId="784998DD" w14:textId="77777777" w:rsidR="00AF63BA" w:rsidRDefault="00AF63BA" w:rsidP="00AF63BA">
            <w:pPr>
              <w:pStyle w:val="TableParagraph"/>
              <w:numPr>
                <w:ilvl w:val="0"/>
                <w:numId w:val="24"/>
              </w:numPr>
              <w:tabs>
                <w:tab w:val="left" w:pos="326"/>
              </w:tabs>
              <w:spacing w:before="118" w:line="240" w:lineRule="auto"/>
              <w:ind w:right="123" w:firstLine="0"/>
            </w:pPr>
            <w:r>
              <w:t>Three to five completed multifamily housing rental projects per year in communities that support affirmatively furthering fair</w:t>
            </w:r>
            <w:r>
              <w:rPr>
                <w:spacing w:val="-2"/>
              </w:rPr>
              <w:t xml:space="preserve"> </w:t>
            </w:r>
            <w:r>
              <w:t>housing.</w:t>
            </w:r>
          </w:p>
        </w:tc>
        <w:tc>
          <w:tcPr>
            <w:tcW w:w="1450" w:type="dxa"/>
          </w:tcPr>
          <w:p w14:paraId="3A7A4CF9" w14:textId="77777777" w:rsidR="00AF63BA" w:rsidRDefault="00AF63BA" w:rsidP="0058178F">
            <w:pPr>
              <w:pStyle w:val="TableParagraph"/>
              <w:spacing w:before="0" w:line="240" w:lineRule="auto"/>
            </w:pPr>
          </w:p>
          <w:p w14:paraId="00E7BB83" w14:textId="77777777" w:rsidR="00AF63BA" w:rsidRDefault="00AF63BA" w:rsidP="0058178F">
            <w:pPr>
              <w:pStyle w:val="TableParagraph"/>
              <w:spacing w:before="0" w:line="240" w:lineRule="auto"/>
            </w:pPr>
          </w:p>
          <w:p w14:paraId="551135E7" w14:textId="77777777" w:rsidR="00AF63BA" w:rsidRDefault="00AF63BA" w:rsidP="0058178F">
            <w:pPr>
              <w:pStyle w:val="TableParagraph"/>
              <w:spacing w:before="5" w:line="240" w:lineRule="auto"/>
              <w:rPr>
                <w:sz w:val="29"/>
              </w:rPr>
            </w:pPr>
          </w:p>
          <w:p w14:paraId="104DCA4B" w14:textId="77777777" w:rsidR="00AF63BA" w:rsidRDefault="00AF63BA" w:rsidP="0058178F">
            <w:pPr>
              <w:pStyle w:val="TableParagraph"/>
              <w:spacing w:before="0" w:line="240" w:lineRule="auto"/>
              <w:ind w:left="492" w:right="491"/>
              <w:jc w:val="center"/>
            </w:pPr>
            <w:r>
              <w:t>IHFA</w:t>
            </w:r>
          </w:p>
        </w:tc>
        <w:tc>
          <w:tcPr>
            <w:tcW w:w="3630" w:type="dxa"/>
          </w:tcPr>
          <w:p w14:paraId="1356695A" w14:textId="77777777" w:rsidR="00AF63BA" w:rsidRDefault="00AF63BA" w:rsidP="00AF63BA">
            <w:pPr>
              <w:pStyle w:val="TableParagraph"/>
              <w:numPr>
                <w:ilvl w:val="0"/>
                <w:numId w:val="23"/>
              </w:numPr>
              <w:tabs>
                <w:tab w:val="left" w:pos="376"/>
              </w:tabs>
              <w:spacing w:before="119" w:line="240" w:lineRule="auto"/>
              <w:ind w:right="100" w:firstLine="0"/>
            </w:pPr>
            <w:r>
              <w:t xml:space="preserve">Approved LIHTC/HOME &amp;/or HTF multifamily rental projects: 48 rental units targeting the elderly (age 62+) </w:t>
            </w:r>
            <w:r>
              <w:rPr>
                <w:spacing w:val="-6"/>
              </w:rPr>
              <w:t xml:space="preserve">in </w:t>
            </w:r>
            <w:r>
              <w:t>Eagle ID; 4 single-family units targeting ≤30 AMI- Owned by a non- profit organization that works with refugee populations in the Boise area; 30 multifamily units, 2 units @ 30% AMI- Owned by a non-profit that works with victims of domestic violence.</w:t>
            </w:r>
          </w:p>
          <w:p w14:paraId="75146DD2" w14:textId="77777777" w:rsidR="00AF63BA" w:rsidRDefault="00AF63BA" w:rsidP="00AF63BA">
            <w:pPr>
              <w:pStyle w:val="TableParagraph"/>
              <w:numPr>
                <w:ilvl w:val="0"/>
                <w:numId w:val="23"/>
              </w:numPr>
              <w:tabs>
                <w:tab w:val="left" w:pos="325"/>
              </w:tabs>
              <w:spacing w:before="121" w:line="240" w:lineRule="auto"/>
              <w:ind w:right="334" w:firstLine="0"/>
            </w:pPr>
            <w:r>
              <w:t>The 2018 QAP retained a preference for project applications that target very low and extremely low-income households. QAP also provided scoring points for projects providing permanent supportive housing to homeless</w:t>
            </w:r>
            <w:r>
              <w:rPr>
                <w:spacing w:val="-7"/>
              </w:rPr>
              <w:t xml:space="preserve"> </w:t>
            </w:r>
            <w:r>
              <w:t>veterans.</w:t>
            </w:r>
          </w:p>
          <w:p w14:paraId="2BC6001C" w14:textId="77777777" w:rsidR="00AF63BA" w:rsidRDefault="00AF63BA" w:rsidP="00AF63BA">
            <w:pPr>
              <w:pStyle w:val="TableParagraph"/>
              <w:numPr>
                <w:ilvl w:val="0"/>
                <w:numId w:val="23"/>
              </w:numPr>
              <w:tabs>
                <w:tab w:val="left" w:pos="325"/>
              </w:tabs>
              <w:spacing w:before="120" w:line="240" w:lineRule="auto"/>
              <w:ind w:right="213" w:firstLine="0"/>
              <w:jc w:val="both"/>
            </w:pPr>
            <w:r>
              <w:t>No committee action taken during the 2018 (January- March) legislative session.</w:t>
            </w:r>
          </w:p>
          <w:p w14:paraId="65FEFE86" w14:textId="77777777" w:rsidR="00AF63BA" w:rsidRDefault="00AF63BA" w:rsidP="00AF63BA">
            <w:pPr>
              <w:pStyle w:val="TableParagraph"/>
              <w:numPr>
                <w:ilvl w:val="0"/>
                <w:numId w:val="23"/>
              </w:numPr>
              <w:tabs>
                <w:tab w:val="left" w:pos="325"/>
              </w:tabs>
              <w:spacing w:before="120" w:line="240" w:lineRule="auto"/>
              <w:ind w:right="307" w:firstLine="0"/>
            </w:pPr>
            <w:r>
              <w:t>The 2018 QAP and Annual Administrative Plan continue to require proof communities in</w:t>
            </w:r>
            <w:r>
              <w:rPr>
                <w:spacing w:val="-5"/>
              </w:rPr>
              <w:t xml:space="preserve"> </w:t>
            </w:r>
            <w:r>
              <w:t>which</w:t>
            </w:r>
          </w:p>
        </w:tc>
      </w:tr>
      <w:tr w:rsidR="00AF63BA" w14:paraId="212F8CFC" w14:textId="77777777" w:rsidTr="0058178F">
        <w:trPr>
          <w:trHeight w:val="3761"/>
        </w:trPr>
        <w:tc>
          <w:tcPr>
            <w:tcW w:w="2307" w:type="dxa"/>
          </w:tcPr>
          <w:p w14:paraId="32ADBDE9" w14:textId="77777777" w:rsidR="00AF63BA" w:rsidRDefault="00AF63BA" w:rsidP="0058178F">
            <w:pPr>
              <w:pStyle w:val="TableParagraph"/>
              <w:spacing w:before="0" w:line="240" w:lineRule="auto"/>
              <w:rPr>
                <w:rFonts w:ascii="Times New Roman"/>
              </w:rPr>
            </w:pPr>
          </w:p>
        </w:tc>
        <w:tc>
          <w:tcPr>
            <w:tcW w:w="2768" w:type="dxa"/>
          </w:tcPr>
          <w:p w14:paraId="4E5B6B2A" w14:textId="77777777" w:rsidR="00AF63BA" w:rsidRDefault="00AF63BA" w:rsidP="0058178F">
            <w:pPr>
              <w:pStyle w:val="TableParagraph"/>
              <w:spacing w:before="0" w:line="240" w:lineRule="auto"/>
              <w:ind w:left="318" w:right="283"/>
            </w:pPr>
            <w:r>
              <w:t>committed to Affirmatively Furthering Fair Housing Choice.</w:t>
            </w:r>
          </w:p>
        </w:tc>
        <w:tc>
          <w:tcPr>
            <w:tcW w:w="3183" w:type="dxa"/>
          </w:tcPr>
          <w:p w14:paraId="242AFABC" w14:textId="77777777" w:rsidR="00AF63BA" w:rsidRDefault="00AF63BA" w:rsidP="0058178F">
            <w:pPr>
              <w:pStyle w:val="TableParagraph"/>
              <w:spacing w:before="0" w:line="240" w:lineRule="auto"/>
              <w:rPr>
                <w:rFonts w:ascii="Times New Roman"/>
              </w:rPr>
            </w:pPr>
          </w:p>
        </w:tc>
        <w:tc>
          <w:tcPr>
            <w:tcW w:w="1450" w:type="dxa"/>
          </w:tcPr>
          <w:p w14:paraId="1FE1B4EC" w14:textId="77777777" w:rsidR="00AF63BA" w:rsidRDefault="00AF63BA" w:rsidP="0058178F">
            <w:pPr>
              <w:pStyle w:val="TableParagraph"/>
              <w:spacing w:before="0" w:line="240" w:lineRule="auto"/>
              <w:rPr>
                <w:rFonts w:ascii="Times New Roman"/>
              </w:rPr>
            </w:pPr>
          </w:p>
        </w:tc>
        <w:tc>
          <w:tcPr>
            <w:tcW w:w="3630" w:type="dxa"/>
          </w:tcPr>
          <w:p w14:paraId="30E6852C" w14:textId="77777777" w:rsidR="00AF63BA" w:rsidRDefault="00AF63BA" w:rsidP="0058178F">
            <w:pPr>
              <w:pStyle w:val="TableParagraph"/>
              <w:spacing w:before="0" w:line="240" w:lineRule="auto"/>
              <w:ind w:left="106" w:right="104"/>
            </w:pPr>
            <w:r>
              <w:t>the HOME, HTF or LIHTC programs are involved be committed to Fair Housing. Evidenced by the submission of an adopted Fair Housing Resolution, and a Fair Housing Plan or Analysis of Impediments to Affirmatively Furthering Fair Housing (CDBG Entitlement Communities) at the time the application is submitted for funding. In 2018, development rental and /or homebuyer projects were completed Bonner,</w:t>
            </w:r>
            <w:r>
              <w:rPr>
                <w:spacing w:val="-5"/>
              </w:rPr>
              <w:t xml:space="preserve"> </w:t>
            </w:r>
            <w:r>
              <w:t>Kootenai,</w:t>
            </w:r>
          </w:p>
          <w:p w14:paraId="168FAEBF" w14:textId="77777777" w:rsidR="00AF63BA" w:rsidRDefault="00AF63BA" w:rsidP="0058178F">
            <w:pPr>
              <w:pStyle w:val="TableParagraph"/>
              <w:spacing w:before="0" w:line="270" w:lineRule="atLeast"/>
              <w:ind w:left="106" w:right="737"/>
            </w:pPr>
            <w:r>
              <w:t>Nez Perce, Canyon, Blaine, and Bannock counties.</w:t>
            </w:r>
          </w:p>
        </w:tc>
      </w:tr>
      <w:tr w:rsidR="00AF63BA" w14:paraId="7B62020D" w14:textId="77777777" w:rsidTr="0058178F">
        <w:trPr>
          <w:trHeight w:val="2535"/>
        </w:trPr>
        <w:tc>
          <w:tcPr>
            <w:tcW w:w="2307" w:type="dxa"/>
          </w:tcPr>
          <w:p w14:paraId="384070D8" w14:textId="77777777" w:rsidR="00AF63BA" w:rsidRDefault="00AF63BA" w:rsidP="0058178F">
            <w:pPr>
              <w:pStyle w:val="TableParagraph"/>
              <w:spacing w:before="117" w:line="240" w:lineRule="auto"/>
              <w:ind w:left="107" w:right="106"/>
              <w:rPr>
                <w:b/>
              </w:rPr>
            </w:pPr>
            <w:r>
              <w:rPr>
                <w:b/>
              </w:rPr>
              <w:t>Disproportionately lower homeownership rates among Hispanic, Native American and African American households</w:t>
            </w:r>
          </w:p>
        </w:tc>
        <w:tc>
          <w:tcPr>
            <w:tcW w:w="2768" w:type="dxa"/>
          </w:tcPr>
          <w:p w14:paraId="1B35EB62" w14:textId="77777777" w:rsidR="00AF63BA" w:rsidRDefault="00AF63BA" w:rsidP="0058178F">
            <w:pPr>
              <w:pStyle w:val="TableParagraph"/>
              <w:spacing w:before="117" w:line="240" w:lineRule="auto"/>
              <w:ind w:left="107" w:right="347"/>
            </w:pPr>
            <w:r>
              <w:rPr>
                <w:b/>
              </w:rPr>
              <w:t xml:space="preserve">B. </w:t>
            </w:r>
            <w:r>
              <w:t>Help qualified renters attain homeownership: Support credit counseling and homeownership readiness though affirmative marketing.</w:t>
            </w:r>
          </w:p>
        </w:tc>
        <w:tc>
          <w:tcPr>
            <w:tcW w:w="3183" w:type="dxa"/>
          </w:tcPr>
          <w:p w14:paraId="7E93CB11" w14:textId="77777777" w:rsidR="00AF63BA" w:rsidRDefault="00AF63BA" w:rsidP="0058178F">
            <w:pPr>
              <w:pStyle w:val="TableParagraph"/>
              <w:spacing w:before="117" w:line="240" w:lineRule="auto"/>
              <w:ind w:left="107" w:right="112"/>
            </w:pPr>
            <w:r>
              <w:t>1. Continue Finally Home! Homebuyer Education classes in Moscow, Sandpoint, Coeur d Alene, Idaho Falls, Twin Falls, Nampa, and Boise, and online to reach 5,000 or more potential homebuyers. Continue bilingual outreach, training, and customer</w:t>
            </w:r>
          </w:p>
          <w:p w14:paraId="06E23B6C" w14:textId="77777777" w:rsidR="00AF63BA" w:rsidRDefault="00AF63BA" w:rsidP="0058178F">
            <w:pPr>
              <w:pStyle w:val="TableParagraph"/>
              <w:spacing w:before="0" w:line="249" w:lineRule="exact"/>
              <w:ind w:left="107"/>
            </w:pPr>
            <w:r>
              <w:t>service efforts.</w:t>
            </w:r>
          </w:p>
        </w:tc>
        <w:tc>
          <w:tcPr>
            <w:tcW w:w="1450" w:type="dxa"/>
          </w:tcPr>
          <w:p w14:paraId="300E559C" w14:textId="77777777" w:rsidR="00AF63BA" w:rsidRDefault="00AF63BA" w:rsidP="0058178F">
            <w:pPr>
              <w:pStyle w:val="TableParagraph"/>
              <w:spacing w:before="0" w:line="240" w:lineRule="auto"/>
            </w:pPr>
          </w:p>
          <w:p w14:paraId="30F6FE11" w14:textId="77777777" w:rsidR="00AF63BA" w:rsidRDefault="00AF63BA" w:rsidP="0058178F">
            <w:pPr>
              <w:pStyle w:val="TableParagraph"/>
              <w:spacing w:before="0" w:line="240" w:lineRule="auto"/>
            </w:pPr>
          </w:p>
          <w:p w14:paraId="0E7D9517" w14:textId="77777777" w:rsidR="00AF63BA" w:rsidRDefault="00AF63BA" w:rsidP="0058178F">
            <w:pPr>
              <w:pStyle w:val="TableParagraph"/>
              <w:spacing w:before="0" w:line="240" w:lineRule="auto"/>
            </w:pPr>
          </w:p>
          <w:p w14:paraId="02CD4EB4" w14:textId="77777777" w:rsidR="00AF63BA" w:rsidRDefault="00AF63BA" w:rsidP="0058178F">
            <w:pPr>
              <w:pStyle w:val="TableParagraph"/>
              <w:spacing w:before="7" w:line="240" w:lineRule="auto"/>
              <w:rPr>
                <w:sz w:val="26"/>
              </w:rPr>
            </w:pPr>
          </w:p>
          <w:p w14:paraId="1950FD79" w14:textId="77777777" w:rsidR="00AF63BA" w:rsidRDefault="00AF63BA" w:rsidP="0058178F">
            <w:pPr>
              <w:pStyle w:val="TableParagraph"/>
              <w:spacing w:before="1" w:line="240" w:lineRule="auto"/>
              <w:ind w:left="492" w:right="491"/>
              <w:jc w:val="center"/>
            </w:pPr>
            <w:r>
              <w:t>IHFA</w:t>
            </w:r>
          </w:p>
        </w:tc>
        <w:tc>
          <w:tcPr>
            <w:tcW w:w="3630" w:type="dxa"/>
          </w:tcPr>
          <w:p w14:paraId="5318D9A2" w14:textId="77777777" w:rsidR="00AF63BA" w:rsidRDefault="00AF63BA" w:rsidP="0058178F">
            <w:pPr>
              <w:pStyle w:val="TableParagraph"/>
              <w:spacing w:before="117" w:line="240" w:lineRule="auto"/>
              <w:ind w:left="106" w:right="218"/>
            </w:pPr>
            <w:r>
              <w:t>1. In 2018, over 6,000 potential homebuyers participated in the Finally Home! Homebuyer Education classes. Bilingual outreach, training, and customer services efforts continue.</w:t>
            </w:r>
          </w:p>
        </w:tc>
      </w:tr>
      <w:tr w:rsidR="00AF63BA" w14:paraId="512CAD52" w14:textId="77777777" w:rsidTr="0058178F">
        <w:trPr>
          <w:trHeight w:val="3314"/>
        </w:trPr>
        <w:tc>
          <w:tcPr>
            <w:tcW w:w="2307" w:type="dxa"/>
          </w:tcPr>
          <w:p w14:paraId="79F5A3A1" w14:textId="77777777" w:rsidR="00AF63BA" w:rsidRDefault="00AF63BA" w:rsidP="0058178F">
            <w:pPr>
              <w:pStyle w:val="TableParagraph"/>
              <w:spacing w:before="119" w:line="240" w:lineRule="auto"/>
              <w:ind w:left="107" w:right="352"/>
              <w:rPr>
                <w:b/>
              </w:rPr>
            </w:pPr>
            <w:r>
              <w:rPr>
                <w:b/>
              </w:rPr>
              <w:t>Landlord lack of fair housing awareness resulting in fair housing complaints and higher use of publicly subsidized housing by minority residents</w:t>
            </w:r>
          </w:p>
        </w:tc>
        <w:tc>
          <w:tcPr>
            <w:tcW w:w="2768" w:type="dxa"/>
          </w:tcPr>
          <w:p w14:paraId="5F9361E1" w14:textId="77777777" w:rsidR="00AF63BA" w:rsidRDefault="00AF63BA" w:rsidP="0058178F">
            <w:pPr>
              <w:pStyle w:val="TableParagraph"/>
              <w:spacing w:before="119" w:line="240" w:lineRule="auto"/>
              <w:ind w:left="107" w:right="560"/>
            </w:pPr>
            <w:r>
              <w:t>C. Increase fair housing knowledge:</w:t>
            </w:r>
          </w:p>
          <w:p w14:paraId="341EE176" w14:textId="77777777" w:rsidR="00AF63BA" w:rsidRDefault="00AF63BA" w:rsidP="00AF63BA">
            <w:pPr>
              <w:pStyle w:val="TableParagraph"/>
              <w:numPr>
                <w:ilvl w:val="0"/>
                <w:numId w:val="22"/>
              </w:numPr>
              <w:tabs>
                <w:tab w:val="left" w:pos="537"/>
              </w:tabs>
              <w:spacing w:before="120" w:line="240" w:lineRule="auto"/>
              <w:ind w:right="147" w:firstLine="0"/>
            </w:pPr>
            <w:r>
              <w:t xml:space="preserve">Continue current fair housing capacity building and educational </w:t>
            </w:r>
            <w:r>
              <w:rPr>
                <w:spacing w:val="-3"/>
              </w:rPr>
              <w:t xml:space="preserve">outreach </w:t>
            </w:r>
            <w:r>
              <w:t>activities, particularly among property owners and persons with disabilities.</w:t>
            </w:r>
          </w:p>
          <w:p w14:paraId="1FBC34DA" w14:textId="77777777" w:rsidR="00AF63BA" w:rsidRDefault="00AF63BA" w:rsidP="00AF63BA">
            <w:pPr>
              <w:pStyle w:val="TableParagraph"/>
              <w:numPr>
                <w:ilvl w:val="0"/>
                <w:numId w:val="22"/>
              </w:numPr>
              <w:tabs>
                <w:tab w:val="left" w:pos="537"/>
              </w:tabs>
              <w:spacing w:before="119" w:line="270" w:lineRule="atLeast"/>
              <w:ind w:right="413" w:firstLine="0"/>
            </w:pPr>
            <w:r>
              <w:t xml:space="preserve">Continue to provide information about </w:t>
            </w:r>
            <w:r>
              <w:rPr>
                <w:spacing w:val="-6"/>
              </w:rPr>
              <w:t>and</w:t>
            </w:r>
          </w:p>
        </w:tc>
        <w:tc>
          <w:tcPr>
            <w:tcW w:w="3183" w:type="dxa"/>
          </w:tcPr>
          <w:p w14:paraId="12443F87" w14:textId="77777777" w:rsidR="00AF63BA" w:rsidRDefault="00AF63BA" w:rsidP="00AF63BA">
            <w:pPr>
              <w:pStyle w:val="TableParagraph"/>
              <w:numPr>
                <w:ilvl w:val="0"/>
                <w:numId w:val="21"/>
              </w:numPr>
              <w:tabs>
                <w:tab w:val="left" w:pos="326"/>
              </w:tabs>
              <w:spacing w:before="119" w:line="240" w:lineRule="auto"/>
              <w:ind w:right="193" w:firstLine="0"/>
            </w:pPr>
            <w:r>
              <w:t>With Idaho Fair Housing Forum partners, support 2 to 10 fair housing training events annually with landlord</w:t>
            </w:r>
            <w:r>
              <w:rPr>
                <w:spacing w:val="-4"/>
              </w:rPr>
              <w:t xml:space="preserve"> </w:t>
            </w:r>
            <w:r>
              <w:t>groups</w:t>
            </w:r>
          </w:p>
          <w:p w14:paraId="5F45D796" w14:textId="77777777" w:rsidR="00AF63BA" w:rsidRDefault="00AF63BA" w:rsidP="00AF63BA">
            <w:pPr>
              <w:pStyle w:val="TableParagraph"/>
              <w:numPr>
                <w:ilvl w:val="0"/>
                <w:numId w:val="21"/>
              </w:numPr>
              <w:tabs>
                <w:tab w:val="left" w:pos="326"/>
              </w:tabs>
              <w:spacing w:before="119" w:line="240" w:lineRule="auto"/>
              <w:ind w:right="158" w:firstLine="0"/>
            </w:pPr>
            <w:r>
              <w:t>Support efforts to add familial status to state</w:t>
            </w:r>
            <w:r>
              <w:rPr>
                <w:spacing w:val="-1"/>
              </w:rPr>
              <w:t xml:space="preserve"> </w:t>
            </w:r>
            <w:r>
              <w:t>protections.</w:t>
            </w:r>
          </w:p>
          <w:p w14:paraId="156C8284" w14:textId="59B22D3B" w:rsidR="00AF63BA" w:rsidRDefault="00AF63BA" w:rsidP="00AF63BA">
            <w:pPr>
              <w:pStyle w:val="TableParagraph"/>
              <w:numPr>
                <w:ilvl w:val="0"/>
                <w:numId w:val="21"/>
              </w:numPr>
              <w:tabs>
                <w:tab w:val="left" w:pos="326"/>
              </w:tabs>
              <w:spacing w:before="119" w:line="270" w:lineRule="atLeast"/>
              <w:ind w:right="106" w:firstLine="0"/>
            </w:pPr>
            <w:r>
              <w:t>During program years 2017- 202</w:t>
            </w:r>
            <w:r w:rsidR="00597C8A">
              <w:t>1</w:t>
            </w:r>
            <w:r>
              <w:t>, Commerce will continue to award preference points to CDBG applicants that include fair housing protections for</w:t>
            </w:r>
            <w:r>
              <w:rPr>
                <w:spacing w:val="-6"/>
              </w:rPr>
              <w:t xml:space="preserve"> </w:t>
            </w:r>
            <w:r>
              <w:t>familial</w:t>
            </w:r>
          </w:p>
        </w:tc>
        <w:tc>
          <w:tcPr>
            <w:tcW w:w="1450" w:type="dxa"/>
          </w:tcPr>
          <w:p w14:paraId="7ED7C071" w14:textId="77777777" w:rsidR="00AF63BA" w:rsidRDefault="00AF63BA" w:rsidP="0058178F">
            <w:pPr>
              <w:pStyle w:val="TableParagraph"/>
              <w:spacing w:before="0" w:line="240" w:lineRule="auto"/>
            </w:pPr>
          </w:p>
          <w:p w14:paraId="35FE9B9F" w14:textId="77777777" w:rsidR="00AF63BA" w:rsidRDefault="00AF63BA" w:rsidP="0058178F">
            <w:pPr>
              <w:pStyle w:val="TableParagraph"/>
              <w:spacing w:before="0" w:line="240" w:lineRule="auto"/>
            </w:pPr>
          </w:p>
          <w:p w14:paraId="03A5043F" w14:textId="77777777" w:rsidR="00AF63BA" w:rsidRDefault="00AF63BA" w:rsidP="0058178F">
            <w:pPr>
              <w:pStyle w:val="TableParagraph"/>
              <w:spacing w:before="0" w:line="240" w:lineRule="auto"/>
            </w:pPr>
          </w:p>
          <w:p w14:paraId="6CA0A46C" w14:textId="77777777" w:rsidR="00AF63BA" w:rsidRDefault="00AF63BA" w:rsidP="0058178F">
            <w:pPr>
              <w:pStyle w:val="TableParagraph"/>
              <w:spacing w:before="0" w:line="240" w:lineRule="auto"/>
            </w:pPr>
          </w:p>
          <w:p w14:paraId="69D0C4A2" w14:textId="77777777" w:rsidR="00AF63BA" w:rsidRDefault="00AF63BA" w:rsidP="0058178F">
            <w:pPr>
              <w:pStyle w:val="TableParagraph"/>
              <w:spacing w:before="0" w:line="240" w:lineRule="auto"/>
            </w:pPr>
          </w:p>
          <w:p w14:paraId="09146F5E" w14:textId="77777777" w:rsidR="00AF63BA" w:rsidRDefault="00AF63BA" w:rsidP="0058178F">
            <w:pPr>
              <w:pStyle w:val="TableParagraph"/>
              <w:spacing w:before="6" w:line="240" w:lineRule="auto"/>
              <w:rPr>
                <w:sz w:val="30"/>
              </w:rPr>
            </w:pPr>
          </w:p>
          <w:p w14:paraId="70012DEE" w14:textId="77777777" w:rsidR="00AF63BA" w:rsidRDefault="00AF63BA" w:rsidP="0058178F">
            <w:pPr>
              <w:pStyle w:val="TableParagraph"/>
              <w:spacing w:before="1" w:line="240" w:lineRule="auto"/>
              <w:ind w:left="131"/>
            </w:pPr>
            <w:r>
              <w:t>IHFA-1,2, &amp;</w:t>
            </w:r>
            <w:r>
              <w:rPr>
                <w:spacing w:val="-4"/>
              </w:rPr>
              <w:t xml:space="preserve"> </w:t>
            </w:r>
            <w:r>
              <w:t>4</w:t>
            </w:r>
          </w:p>
          <w:p w14:paraId="784BF9EB" w14:textId="77777777" w:rsidR="00AF63BA" w:rsidRDefault="00AF63BA" w:rsidP="0058178F">
            <w:pPr>
              <w:pStyle w:val="TableParagraph"/>
              <w:spacing w:before="120" w:line="240" w:lineRule="auto"/>
              <w:ind w:left="121"/>
            </w:pPr>
            <w:r>
              <w:t>Commerce</w:t>
            </w:r>
            <w:r>
              <w:rPr>
                <w:spacing w:val="-3"/>
              </w:rPr>
              <w:t xml:space="preserve"> </w:t>
            </w:r>
            <w:r>
              <w:t>-3</w:t>
            </w:r>
          </w:p>
        </w:tc>
        <w:tc>
          <w:tcPr>
            <w:tcW w:w="3630" w:type="dxa"/>
          </w:tcPr>
          <w:p w14:paraId="15BFB352" w14:textId="77777777" w:rsidR="00AF63BA" w:rsidRDefault="00AF63BA" w:rsidP="0058178F">
            <w:pPr>
              <w:pStyle w:val="TableParagraph"/>
              <w:spacing w:before="0" w:line="259" w:lineRule="auto"/>
              <w:ind w:left="106" w:right="484"/>
            </w:pPr>
            <w:r>
              <w:rPr>
                <w:rFonts w:ascii="Arial Narrow"/>
              </w:rPr>
              <w:t>1</w:t>
            </w:r>
            <w:r>
              <w:t>. On 4/26/18, Idaho Fair Housing Forum partners sponsored a free</w:t>
            </w:r>
          </w:p>
          <w:p w14:paraId="764F0982" w14:textId="77777777" w:rsidR="00AF63BA" w:rsidRDefault="00AF63BA" w:rsidP="0058178F">
            <w:pPr>
              <w:pStyle w:val="TableParagraph"/>
              <w:spacing w:before="0" w:line="259" w:lineRule="auto"/>
              <w:ind w:left="106" w:right="143"/>
            </w:pPr>
            <w:hyperlink r:id="rId26">
              <w:r>
                <w:rPr>
                  <w:rFonts w:ascii="Times New Roman" w:hAnsi="Times New Roman"/>
                  <w:spacing w:val="-56"/>
                  <w:u w:val="single"/>
                </w:rPr>
                <w:t xml:space="preserve"> </w:t>
              </w:r>
              <w:r>
                <w:rPr>
                  <w:u w:val="single"/>
                </w:rPr>
                <w:t>“Equal Access for All”</w:t>
              </w:r>
              <w:r>
                <w:t xml:space="preserve"> </w:t>
              </w:r>
            </w:hyperlink>
            <w:r>
              <w:t>workshop for housing providers and managers, realtors and lenders to coincide with the 50</w:t>
            </w:r>
            <w:r>
              <w:rPr>
                <w:vertAlign w:val="superscript"/>
              </w:rPr>
              <w:t>th</w:t>
            </w:r>
            <w:r>
              <w:t xml:space="preserve"> Anniversary of the Fair Housing Act. The Fair Housing / Vision Conference preceded the event on 4/18/18. IHFA participated in multiple panels/presentations along with</w:t>
            </w:r>
          </w:p>
        </w:tc>
      </w:tr>
    </w:tbl>
    <w:p w14:paraId="3A020E9D" w14:textId="77777777" w:rsidR="00AF63BA" w:rsidRDefault="00AF63BA" w:rsidP="00AF63BA">
      <w:pPr>
        <w:rPr>
          <w:sz w:val="20"/>
        </w:rPr>
        <w:sectPr w:rsidR="00AF63BA">
          <w:headerReference w:type="default" r:id="rId27"/>
          <w:pgSz w:w="15840" w:h="12240" w:orient="landscape"/>
          <w:pgMar w:top="1200" w:right="1140" w:bottom="280" w:left="1140" w:header="619" w:footer="0" w:gutter="0"/>
          <w:cols w:space="720"/>
        </w:sectPr>
      </w:pPr>
    </w:p>
    <w:p w14:paraId="7BF75F1E" w14:textId="77777777" w:rsidR="00AF63BA" w:rsidRDefault="00AF63BA" w:rsidP="00AF63BA">
      <w:pPr>
        <w:pStyle w:val="BodyText"/>
        <w:spacing w:before="6"/>
        <w:rPr>
          <w:sz w:val="18"/>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07"/>
        <w:gridCol w:w="2768"/>
        <w:gridCol w:w="3183"/>
        <w:gridCol w:w="1450"/>
        <w:gridCol w:w="3630"/>
      </w:tblGrid>
      <w:tr w:rsidR="00AF63BA" w14:paraId="2CCB55B6" w14:textId="77777777" w:rsidTr="0058178F">
        <w:trPr>
          <w:trHeight w:val="2669"/>
        </w:trPr>
        <w:tc>
          <w:tcPr>
            <w:tcW w:w="2307" w:type="dxa"/>
            <w:vMerge w:val="restart"/>
          </w:tcPr>
          <w:p w14:paraId="5C090A0B" w14:textId="77777777" w:rsidR="00AF63BA" w:rsidRDefault="00AF63BA" w:rsidP="0058178F">
            <w:pPr>
              <w:pStyle w:val="TableParagraph"/>
              <w:spacing w:before="0" w:line="240" w:lineRule="auto"/>
              <w:rPr>
                <w:rFonts w:ascii="Times New Roman"/>
              </w:rPr>
            </w:pPr>
          </w:p>
        </w:tc>
        <w:tc>
          <w:tcPr>
            <w:tcW w:w="2768" w:type="dxa"/>
            <w:tcBorders>
              <w:bottom w:val="nil"/>
            </w:tcBorders>
          </w:tcPr>
          <w:p w14:paraId="61D3237B" w14:textId="77777777" w:rsidR="00AF63BA" w:rsidRDefault="00AF63BA" w:rsidP="0058178F">
            <w:pPr>
              <w:pStyle w:val="TableParagraph"/>
              <w:spacing w:before="0" w:line="240" w:lineRule="auto"/>
              <w:ind w:left="318" w:right="459"/>
            </w:pPr>
            <w:r>
              <w:t>support expansion of state fair housing protections to include familial status.</w:t>
            </w:r>
          </w:p>
          <w:p w14:paraId="7C051D91" w14:textId="77777777" w:rsidR="00AF63BA" w:rsidRDefault="00AF63BA" w:rsidP="0058178F">
            <w:pPr>
              <w:pStyle w:val="TableParagraph"/>
              <w:spacing w:before="120" w:line="240" w:lineRule="auto"/>
              <w:ind w:left="318" w:right="156"/>
            </w:pPr>
            <w:r>
              <w:t>3. Continue to award preferences points to CDBG applicants with fair housing protections that include familial status.</w:t>
            </w:r>
          </w:p>
        </w:tc>
        <w:tc>
          <w:tcPr>
            <w:tcW w:w="3183" w:type="dxa"/>
            <w:tcBorders>
              <w:bottom w:val="nil"/>
            </w:tcBorders>
          </w:tcPr>
          <w:p w14:paraId="6B4C357D" w14:textId="77777777" w:rsidR="00AF63BA" w:rsidRDefault="00AF63BA" w:rsidP="0058178F">
            <w:pPr>
              <w:pStyle w:val="TableParagraph"/>
              <w:spacing w:before="0" w:line="268" w:lineRule="exact"/>
              <w:ind w:left="107"/>
            </w:pPr>
            <w:r>
              <w:t>status.</w:t>
            </w:r>
          </w:p>
          <w:p w14:paraId="65ACF950" w14:textId="77777777" w:rsidR="00AF63BA" w:rsidRDefault="00AF63BA" w:rsidP="0058178F">
            <w:pPr>
              <w:pStyle w:val="TableParagraph"/>
              <w:spacing w:before="120" w:line="240" w:lineRule="auto"/>
              <w:ind w:left="107" w:right="200"/>
            </w:pPr>
            <w:r>
              <w:t>4. HOME and HTF written agreements specify Federal fair housing and nondiscrimination laws, including familial status as a protected class in accordance with Title VIII of the Civil Rights Act of 1968.</w:t>
            </w:r>
          </w:p>
        </w:tc>
        <w:tc>
          <w:tcPr>
            <w:tcW w:w="1450" w:type="dxa"/>
            <w:vMerge w:val="restart"/>
          </w:tcPr>
          <w:p w14:paraId="37E56A79" w14:textId="77777777" w:rsidR="00AF63BA" w:rsidRDefault="00AF63BA" w:rsidP="0058178F">
            <w:pPr>
              <w:pStyle w:val="TableParagraph"/>
              <w:spacing w:before="0" w:line="240" w:lineRule="auto"/>
              <w:rPr>
                <w:rFonts w:ascii="Times New Roman"/>
              </w:rPr>
            </w:pPr>
          </w:p>
        </w:tc>
        <w:tc>
          <w:tcPr>
            <w:tcW w:w="3630" w:type="dxa"/>
            <w:tcBorders>
              <w:bottom w:val="nil"/>
            </w:tcBorders>
          </w:tcPr>
          <w:p w14:paraId="773279D2" w14:textId="77777777" w:rsidR="00AF63BA" w:rsidRDefault="00AF63BA" w:rsidP="0058178F">
            <w:pPr>
              <w:pStyle w:val="TableParagraph"/>
              <w:spacing w:before="0" w:line="268" w:lineRule="exact"/>
            </w:pPr>
            <w:r>
              <w:t xml:space="preserve"> other Fair Housing Forum members.</w:t>
            </w:r>
          </w:p>
          <w:p w14:paraId="667873A2" w14:textId="77777777" w:rsidR="00AF63BA" w:rsidRDefault="00AF63BA" w:rsidP="0058178F">
            <w:pPr>
              <w:pStyle w:val="TableParagraph"/>
              <w:spacing w:before="82" w:line="259" w:lineRule="auto"/>
              <w:ind w:left="106" w:right="204"/>
            </w:pPr>
            <w:r>
              <w:t>2. As noted in 2018, IHFA researched substantial equivalency and adding familial status to Idaho Fair Housing law; during an 8/30/17 meeting with Joseph Pelletier, Director, Fair Housing Assistance Program, IHFA learned it is ineligible to pursue this</w:t>
            </w:r>
          </w:p>
          <w:p w14:paraId="35F901EB" w14:textId="77777777" w:rsidR="00AF63BA" w:rsidRDefault="00AF63BA" w:rsidP="0058178F">
            <w:pPr>
              <w:pStyle w:val="TableParagraph"/>
              <w:spacing w:before="0" w:line="267" w:lineRule="exact"/>
              <w:ind w:left="106"/>
            </w:pPr>
            <w:r>
              <w:t>on behalf of the state of Idaho. We</w:t>
            </w:r>
          </w:p>
        </w:tc>
      </w:tr>
      <w:tr w:rsidR="00AF63BA" w14:paraId="7B151C7E" w14:textId="77777777" w:rsidTr="0058178F">
        <w:trPr>
          <w:trHeight w:val="2719"/>
        </w:trPr>
        <w:tc>
          <w:tcPr>
            <w:tcW w:w="2307" w:type="dxa"/>
            <w:vMerge/>
            <w:tcBorders>
              <w:top w:val="nil"/>
            </w:tcBorders>
          </w:tcPr>
          <w:p w14:paraId="0FA3E995" w14:textId="77777777" w:rsidR="00AF63BA" w:rsidRDefault="00AF63BA" w:rsidP="0058178F">
            <w:pPr>
              <w:rPr>
                <w:sz w:val="2"/>
                <w:szCs w:val="2"/>
              </w:rPr>
            </w:pPr>
          </w:p>
        </w:tc>
        <w:tc>
          <w:tcPr>
            <w:tcW w:w="2768" w:type="dxa"/>
            <w:tcBorders>
              <w:top w:val="nil"/>
              <w:bottom w:val="nil"/>
            </w:tcBorders>
          </w:tcPr>
          <w:p w14:paraId="1E44B107" w14:textId="77777777" w:rsidR="00AF63BA" w:rsidRDefault="00AF63BA" w:rsidP="0058178F">
            <w:pPr>
              <w:pStyle w:val="TableParagraph"/>
              <w:spacing w:before="0" w:line="251" w:lineRule="exact"/>
              <w:ind w:left="318"/>
            </w:pPr>
            <w:r>
              <w:t>4. Require affordable</w:t>
            </w:r>
          </w:p>
          <w:p w14:paraId="4C48205A" w14:textId="77777777" w:rsidR="00AF63BA" w:rsidRDefault="00AF63BA" w:rsidP="0058178F">
            <w:pPr>
              <w:pStyle w:val="TableParagraph"/>
              <w:spacing w:before="0" w:line="240" w:lineRule="auto"/>
              <w:ind w:left="318" w:right="128"/>
            </w:pPr>
            <w:r>
              <w:t>rental housing projects to be located in communities that are committed to Affirmatively Furthering Fair Housing Choice or have adopted a Fair Housing Plan (CDBG non- entitlement areas).</w:t>
            </w:r>
          </w:p>
        </w:tc>
        <w:tc>
          <w:tcPr>
            <w:tcW w:w="3183" w:type="dxa"/>
            <w:tcBorders>
              <w:top w:val="nil"/>
              <w:bottom w:val="nil"/>
            </w:tcBorders>
          </w:tcPr>
          <w:p w14:paraId="060DE920" w14:textId="77777777" w:rsidR="00AF63BA" w:rsidRDefault="00AF63BA" w:rsidP="0058178F">
            <w:pPr>
              <w:pStyle w:val="TableParagraph"/>
              <w:spacing w:before="0" w:line="240" w:lineRule="auto"/>
              <w:rPr>
                <w:rFonts w:ascii="Times New Roman"/>
              </w:rPr>
            </w:pPr>
          </w:p>
        </w:tc>
        <w:tc>
          <w:tcPr>
            <w:tcW w:w="1450" w:type="dxa"/>
            <w:vMerge/>
            <w:tcBorders>
              <w:top w:val="nil"/>
            </w:tcBorders>
          </w:tcPr>
          <w:p w14:paraId="5EB52E97" w14:textId="77777777" w:rsidR="00AF63BA" w:rsidRDefault="00AF63BA" w:rsidP="0058178F">
            <w:pPr>
              <w:rPr>
                <w:sz w:val="2"/>
                <w:szCs w:val="2"/>
              </w:rPr>
            </w:pPr>
          </w:p>
        </w:tc>
        <w:tc>
          <w:tcPr>
            <w:tcW w:w="3630" w:type="dxa"/>
            <w:tcBorders>
              <w:top w:val="nil"/>
              <w:bottom w:val="nil"/>
            </w:tcBorders>
          </w:tcPr>
          <w:p w14:paraId="67C93902" w14:textId="77777777" w:rsidR="00AF63BA" w:rsidRDefault="00AF63BA" w:rsidP="0058178F">
            <w:pPr>
              <w:pStyle w:val="TableParagraph"/>
              <w:spacing w:before="0" w:line="259" w:lineRule="auto"/>
              <w:ind w:left="106" w:right="188"/>
            </w:pPr>
            <w:r>
              <w:t>subsequently turned over all findings to the Idaho Department of Labor/Idaho Commission on Human Rights.</w:t>
            </w:r>
          </w:p>
          <w:p w14:paraId="2D9CFFFB" w14:textId="45D06B12" w:rsidR="00AF63BA" w:rsidRDefault="00AF63BA" w:rsidP="0058178F">
            <w:pPr>
              <w:pStyle w:val="TableParagraph"/>
              <w:spacing w:before="113" w:line="240" w:lineRule="auto"/>
              <w:ind w:left="106" w:right="115"/>
            </w:pPr>
            <w:r>
              <w:t xml:space="preserve">3. </w:t>
            </w:r>
            <w:r w:rsidRPr="003A5CC3">
              <w:t>Commerce: For the 20</w:t>
            </w:r>
            <w:r w:rsidR="00390670" w:rsidRPr="003A5CC3">
              <w:t>2</w:t>
            </w:r>
            <w:r w:rsidR="00F25E84">
              <w:t>4</w:t>
            </w:r>
            <w:r w:rsidRPr="003A5CC3">
              <w:t xml:space="preserve"> grant applicants, Commerce reviewed </w:t>
            </w:r>
            <w:r w:rsidR="00F25E84">
              <w:t>2</w:t>
            </w:r>
            <w:r w:rsidR="0036283D">
              <w:t>5</w:t>
            </w:r>
            <w:r w:rsidRPr="003A5CC3">
              <w:t xml:space="preserve"> applicants to determine and award points to applicants who had adopted familial status</w:t>
            </w:r>
          </w:p>
        </w:tc>
      </w:tr>
      <w:tr w:rsidR="00AF63BA" w14:paraId="0ABF5F81" w14:textId="77777777" w:rsidTr="0058178F">
        <w:trPr>
          <w:trHeight w:val="2162"/>
        </w:trPr>
        <w:tc>
          <w:tcPr>
            <w:tcW w:w="2307" w:type="dxa"/>
            <w:vMerge/>
            <w:tcBorders>
              <w:top w:val="nil"/>
            </w:tcBorders>
          </w:tcPr>
          <w:p w14:paraId="73F30595" w14:textId="77777777" w:rsidR="00AF63BA" w:rsidRDefault="00AF63BA" w:rsidP="0058178F">
            <w:pPr>
              <w:rPr>
                <w:sz w:val="2"/>
                <w:szCs w:val="2"/>
              </w:rPr>
            </w:pPr>
          </w:p>
        </w:tc>
        <w:tc>
          <w:tcPr>
            <w:tcW w:w="2768" w:type="dxa"/>
            <w:tcBorders>
              <w:top w:val="nil"/>
            </w:tcBorders>
          </w:tcPr>
          <w:p w14:paraId="4D2A100D" w14:textId="77777777" w:rsidR="00AF63BA" w:rsidRDefault="00AF63BA" w:rsidP="0058178F">
            <w:pPr>
              <w:pStyle w:val="TableParagraph"/>
              <w:spacing w:before="0" w:line="240" w:lineRule="auto"/>
              <w:rPr>
                <w:rFonts w:ascii="Times New Roman"/>
              </w:rPr>
            </w:pPr>
          </w:p>
        </w:tc>
        <w:tc>
          <w:tcPr>
            <w:tcW w:w="3183" w:type="dxa"/>
            <w:tcBorders>
              <w:top w:val="nil"/>
            </w:tcBorders>
          </w:tcPr>
          <w:p w14:paraId="61B6A45A" w14:textId="77777777" w:rsidR="00AF63BA" w:rsidRDefault="00AF63BA" w:rsidP="0058178F">
            <w:pPr>
              <w:pStyle w:val="TableParagraph"/>
              <w:spacing w:before="0" w:line="240" w:lineRule="auto"/>
              <w:rPr>
                <w:rFonts w:ascii="Times New Roman"/>
              </w:rPr>
            </w:pPr>
          </w:p>
        </w:tc>
        <w:tc>
          <w:tcPr>
            <w:tcW w:w="1450" w:type="dxa"/>
            <w:vMerge/>
            <w:tcBorders>
              <w:top w:val="nil"/>
            </w:tcBorders>
          </w:tcPr>
          <w:p w14:paraId="36CC0489" w14:textId="77777777" w:rsidR="00AF63BA" w:rsidRDefault="00AF63BA" w:rsidP="0058178F">
            <w:pPr>
              <w:rPr>
                <w:sz w:val="2"/>
                <w:szCs w:val="2"/>
              </w:rPr>
            </w:pPr>
          </w:p>
        </w:tc>
        <w:tc>
          <w:tcPr>
            <w:tcW w:w="3630" w:type="dxa"/>
            <w:tcBorders>
              <w:top w:val="nil"/>
            </w:tcBorders>
          </w:tcPr>
          <w:p w14:paraId="4BD6CE91" w14:textId="77777777" w:rsidR="00AF63BA" w:rsidRDefault="00AF63BA" w:rsidP="0058178F">
            <w:pPr>
              <w:pStyle w:val="TableParagraph"/>
              <w:spacing w:before="9" w:line="270" w:lineRule="atLeast"/>
              <w:ind w:left="106" w:right="101"/>
            </w:pPr>
            <w:r>
              <w:t>4. HOME and HTF written agreements include language regarding ongoing compliance with the Federal Fair Housing and Nondiscrimination laws, and regulations, including familial status as a protected class in accordance with Title VIII of the Civil Rights Act of 1968.</w:t>
            </w:r>
          </w:p>
        </w:tc>
      </w:tr>
      <w:tr w:rsidR="00AF63BA" w14:paraId="0C0BCB87" w14:textId="77777777" w:rsidTr="0058178F">
        <w:trPr>
          <w:trHeight w:val="2112"/>
        </w:trPr>
        <w:tc>
          <w:tcPr>
            <w:tcW w:w="2307" w:type="dxa"/>
          </w:tcPr>
          <w:p w14:paraId="6ABF8EA2" w14:textId="77777777" w:rsidR="00AF63BA" w:rsidRDefault="00AF63BA" w:rsidP="0058178F">
            <w:pPr>
              <w:pStyle w:val="TableParagraph"/>
              <w:spacing w:before="113" w:line="240" w:lineRule="auto"/>
              <w:ind w:left="107" w:right="183"/>
              <w:rPr>
                <w:b/>
              </w:rPr>
            </w:pPr>
            <w:r>
              <w:rPr>
                <w:b/>
              </w:rPr>
              <w:t>Housing in rural areas developed without Visitable/Accessible features due to limited development in rural areas and when housing was</w:t>
            </w:r>
          </w:p>
        </w:tc>
        <w:tc>
          <w:tcPr>
            <w:tcW w:w="2768" w:type="dxa"/>
          </w:tcPr>
          <w:p w14:paraId="51CFD496" w14:textId="77777777" w:rsidR="00AF63BA" w:rsidRDefault="00AF63BA" w:rsidP="0058178F">
            <w:pPr>
              <w:pStyle w:val="TableParagraph"/>
              <w:spacing w:before="113" w:line="240" w:lineRule="auto"/>
              <w:ind w:left="107" w:right="172"/>
            </w:pPr>
            <w:r>
              <w:t>D. Increase accessible, affordable housing options:</w:t>
            </w:r>
          </w:p>
          <w:p w14:paraId="2D1B6260" w14:textId="77777777" w:rsidR="00AF63BA" w:rsidRDefault="00AF63BA" w:rsidP="00AF63BA">
            <w:pPr>
              <w:pStyle w:val="TableParagraph"/>
              <w:numPr>
                <w:ilvl w:val="0"/>
                <w:numId w:val="20"/>
              </w:numPr>
              <w:tabs>
                <w:tab w:val="left" w:pos="326"/>
              </w:tabs>
              <w:spacing w:before="116" w:line="270" w:lineRule="atLeast"/>
              <w:ind w:right="170" w:firstLine="0"/>
            </w:pPr>
            <w:r>
              <w:t xml:space="preserve">Continue with HOME, HTF, and LIHTC application preference points for </w:t>
            </w:r>
            <w:r>
              <w:rPr>
                <w:spacing w:val="-3"/>
              </w:rPr>
              <w:t xml:space="preserve">rental </w:t>
            </w:r>
            <w:r>
              <w:t>housing that benefits elderly, ≤30%</w:t>
            </w:r>
            <w:r>
              <w:rPr>
                <w:spacing w:val="-4"/>
              </w:rPr>
              <w:t xml:space="preserve"> </w:t>
            </w:r>
            <w:r>
              <w:t>AMI</w:t>
            </w:r>
          </w:p>
        </w:tc>
        <w:tc>
          <w:tcPr>
            <w:tcW w:w="3183" w:type="dxa"/>
          </w:tcPr>
          <w:p w14:paraId="0E99B539" w14:textId="77777777" w:rsidR="00AF63BA" w:rsidRDefault="00AF63BA" w:rsidP="00AF63BA">
            <w:pPr>
              <w:pStyle w:val="TableParagraph"/>
              <w:numPr>
                <w:ilvl w:val="0"/>
                <w:numId w:val="19"/>
              </w:numPr>
              <w:tabs>
                <w:tab w:val="left" w:pos="326"/>
              </w:tabs>
              <w:spacing w:before="113" w:line="240" w:lineRule="auto"/>
              <w:ind w:right="231" w:firstLine="0"/>
            </w:pPr>
            <w:r>
              <w:t>Retain current preferences in QAP and Administrative</w:t>
            </w:r>
            <w:r>
              <w:rPr>
                <w:spacing w:val="-4"/>
              </w:rPr>
              <w:t xml:space="preserve"> </w:t>
            </w:r>
            <w:r>
              <w:t>Plan.</w:t>
            </w:r>
          </w:p>
          <w:p w14:paraId="39CA15F6" w14:textId="77777777" w:rsidR="00AF63BA" w:rsidRDefault="00AF63BA" w:rsidP="00AF63BA">
            <w:pPr>
              <w:pStyle w:val="TableParagraph"/>
              <w:numPr>
                <w:ilvl w:val="0"/>
                <w:numId w:val="19"/>
              </w:numPr>
              <w:tabs>
                <w:tab w:val="left" w:pos="326"/>
              </w:tabs>
              <w:spacing w:before="118" w:line="240" w:lineRule="auto"/>
              <w:ind w:right="228" w:firstLine="0"/>
            </w:pPr>
            <w:r>
              <w:t>Provide funding preferences for Visitable single-family rental housing.</w:t>
            </w:r>
          </w:p>
          <w:p w14:paraId="18B9586F" w14:textId="77777777" w:rsidR="00AF63BA" w:rsidRDefault="00AF63BA" w:rsidP="00AF63BA">
            <w:pPr>
              <w:pStyle w:val="TableParagraph"/>
              <w:numPr>
                <w:ilvl w:val="0"/>
                <w:numId w:val="19"/>
              </w:numPr>
              <w:tabs>
                <w:tab w:val="left" w:pos="326"/>
              </w:tabs>
              <w:spacing w:before="120" w:line="240" w:lineRule="auto"/>
              <w:ind w:left="325" w:hanging="218"/>
            </w:pPr>
            <w:r>
              <w:t>Encourage regional</w:t>
            </w:r>
            <w:r>
              <w:rPr>
                <w:spacing w:val="-1"/>
              </w:rPr>
              <w:t xml:space="preserve"> </w:t>
            </w:r>
            <w:r>
              <w:t>partners</w:t>
            </w:r>
          </w:p>
        </w:tc>
        <w:tc>
          <w:tcPr>
            <w:tcW w:w="1450" w:type="dxa"/>
          </w:tcPr>
          <w:p w14:paraId="19825A8A" w14:textId="77777777" w:rsidR="00AF63BA" w:rsidRDefault="00AF63BA" w:rsidP="0058178F">
            <w:pPr>
              <w:pStyle w:val="TableParagraph"/>
              <w:spacing w:before="0" w:line="240" w:lineRule="auto"/>
            </w:pPr>
          </w:p>
          <w:p w14:paraId="38D82D29" w14:textId="77777777" w:rsidR="00AF63BA" w:rsidRDefault="00AF63BA" w:rsidP="0058178F">
            <w:pPr>
              <w:pStyle w:val="TableParagraph"/>
              <w:spacing w:before="9" w:line="240" w:lineRule="auto"/>
              <w:rPr>
                <w:sz w:val="28"/>
              </w:rPr>
            </w:pPr>
          </w:p>
          <w:p w14:paraId="58494D3E" w14:textId="77777777" w:rsidR="00AF63BA" w:rsidRDefault="00AF63BA" w:rsidP="0058178F">
            <w:pPr>
              <w:pStyle w:val="TableParagraph"/>
              <w:spacing w:before="0" w:line="240" w:lineRule="auto"/>
              <w:ind w:left="64"/>
            </w:pPr>
            <w:r>
              <w:t>IHFA 1,2,3,4,5</w:t>
            </w:r>
          </w:p>
          <w:p w14:paraId="0F252B14" w14:textId="77777777" w:rsidR="00AF63BA" w:rsidRDefault="00AF63BA" w:rsidP="0058178F">
            <w:pPr>
              <w:pStyle w:val="TableParagraph"/>
              <w:spacing w:before="120" w:line="240" w:lineRule="auto"/>
              <w:ind w:left="78"/>
            </w:pPr>
            <w:r>
              <w:t>Commerce-6</w:t>
            </w:r>
          </w:p>
        </w:tc>
        <w:tc>
          <w:tcPr>
            <w:tcW w:w="3630" w:type="dxa"/>
          </w:tcPr>
          <w:p w14:paraId="1FF252CB" w14:textId="77777777" w:rsidR="00AF63BA" w:rsidRDefault="00AF63BA" w:rsidP="00AF63BA">
            <w:pPr>
              <w:pStyle w:val="TableParagraph"/>
              <w:numPr>
                <w:ilvl w:val="0"/>
                <w:numId w:val="18"/>
              </w:numPr>
              <w:tabs>
                <w:tab w:val="left" w:pos="325"/>
              </w:tabs>
              <w:spacing w:before="113" w:line="240" w:lineRule="auto"/>
              <w:ind w:right="102" w:firstLine="0"/>
            </w:pPr>
            <w:r>
              <w:t>Multifamily rental applications receive additional scoring points if the owner commits to serving households with annual incomes at or below 30% AMI, or disabled, or elderly (age</w:t>
            </w:r>
            <w:r>
              <w:rPr>
                <w:spacing w:val="-8"/>
              </w:rPr>
              <w:t xml:space="preserve"> </w:t>
            </w:r>
            <w:r>
              <w:t>62+).</w:t>
            </w:r>
          </w:p>
          <w:p w14:paraId="2E5EF5E3" w14:textId="77777777" w:rsidR="00AF63BA" w:rsidRDefault="00AF63BA" w:rsidP="00AF63BA">
            <w:pPr>
              <w:pStyle w:val="TableParagraph"/>
              <w:numPr>
                <w:ilvl w:val="0"/>
                <w:numId w:val="18"/>
              </w:numPr>
              <w:tabs>
                <w:tab w:val="left" w:pos="326"/>
              </w:tabs>
              <w:spacing w:before="117" w:line="270" w:lineRule="atLeast"/>
              <w:ind w:right="753" w:firstLine="0"/>
            </w:pPr>
            <w:r>
              <w:t>In 2018: Single-family rental housing (new construction</w:t>
            </w:r>
            <w:r>
              <w:rPr>
                <w:spacing w:val="-9"/>
              </w:rPr>
              <w:t xml:space="preserve"> </w:t>
            </w:r>
            <w:r>
              <w:t>and</w:t>
            </w:r>
          </w:p>
        </w:tc>
      </w:tr>
    </w:tbl>
    <w:p w14:paraId="3B8BA727" w14:textId="77777777" w:rsidR="00AF63BA" w:rsidRDefault="00AF63BA" w:rsidP="00AF63BA">
      <w:pPr>
        <w:pStyle w:val="BodyText"/>
        <w:spacing w:before="10"/>
        <w:rPr>
          <w:sz w:val="4"/>
        </w:rPr>
      </w:pPr>
    </w:p>
    <w:p w14:paraId="779843FA" w14:textId="77777777" w:rsidR="00AF63BA" w:rsidRDefault="00AF63BA" w:rsidP="00AF63BA">
      <w:pPr>
        <w:pStyle w:val="BodyText"/>
        <w:spacing w:before="6"/>
        <w:rPr>
          <w:sz w:val="18"/>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07"/>
        <w:gridCol w:w="2768"/>
        <w:gridCol w:w="3183"/>
        <w:gridCol w:w="1450"/>
        <w:gridCol w:w="3630"/>
      </w:tblGrid>
      <w:tr w:rsidR="00AF63BA" w14:paraId="16426884" w14:textId="77777777" w:rsidTr="0058178F">
        <w:trPr>
          <w:trHeight w:val="9733"/>
        </w:trPr>
        <w:tc>
          <w:tcPr>
            <w:tcW w:w="2307" w:type="dxa"/>
            <w:tcBorders>
              <w:bottom w:val="thickThinMediumGap" w:sz="6" w:space="0" w:color="000000"/>
            </w:tcBorders>
          </w:tcPr>
          <w:p w14:paraId="2774D298" w14:textId="77777777" w:rsidR="00AF63BA" w:rsidRDefault="00AF63BA" w:rsidP="0058178F">
            <w:pPr>
              <w:pStyle w:val="TableParagraph"/>
              <w:spacing w:before="0" w:line="240" w:lineRule="auto"/>
              <w:ind w:left="107" w:right="607"/>
              <w:jc w:val="both"/>
              <w:rPr>
                <w:b/>
              </w:rPr>
            </w:pPr>
            <w:r>
              <w:rPr>
                <w:b/>
              </w:rPr>
              <w:lastRenderedPageBreak/>
              <w:t>developed. Local policies that limit group homes</w:t>
            </w:r>
          </w:p>
        </w:tc>
        <w:tc>
          <w:tcPr>
            <w:tcW w:w="2768" w:type="dxa"/>
            <w:tcBorders>
              <w:bottom w:val="thickThinMediumGap" w:sz="6" w:space="0" w:color="000000"/>
            </w:tcBorders>
          </w:tcPr>
          <w:p w14:paraId="47BFE5F6" w14:textId="77777777" w:rsidR="00AF63BA" w:rsidRDefault="00AF63BA" w:rsidP="0058178F">
            <w:pPr>
              <w:pStyle w:val="TableParagraph"/>
              <w:spacing w:before="0" w:line="240" w:lineRule="auto"/>
              <w:ind w:left="107" w:right="413"/>
            </w:pPr>
            <w:r>
              <w:t>households, and persons with disabilities.</w:t>
            </w:r>
          </w:p>
          <w:p w14:paraId="27E5F8EB" w14:textId="77777777" w:rsidR="00AF63BA" w:rsidRDefault="00AF63BA" w:rsidP="00AF63BA">
            <w:pPr>
              <w:pStyle w:val="TableParagraph"/>
              <w:numPr>
                <w:ilvl w:val="0"/>
                <w:numId w:val="17"/>
              </w:numPr>
              <w:tabs>
                <w:tab w:val="left" w:pos="326"/>
              </w:tabs>
              <w:spacing w:before="119" w:line="240" w:lineRule="auto"/>
              <w:ind w:right="419" w:firstLine="0"/>
            </w:pPr>
            <w:r>
              <w:t xml:space="preserve">Explore ways to </w:t>
            </w:r>
            <w:r>
              <w:rPr>
                <w:spacing w:val="-3"/>
              </w:rPr>
              <w:t xml:space="preserve">incent </w:t>
            </w:r>
            <w:r>
              <w:t>Visitable housing.</w:t>
            </w:r>
          </w:p>
          <w:p w14:paraId="3C8B0E16" w14:textId="77777777" w:rsidR="00AF63BA" w:rsidRDefault="00AF63BA" w:rsidP="00AF63BA">
            <w:pPr>
              <w:pStyle w:val="TableParagraph"/>
              <w:numPr>
                <w:ilvl w:val="0"/>
                <w:numId w:val="17"/>
              </w:numPr>
              <w:tabs>
                <w:tab w:val="left" w:pos="326"/>
              </w:tabs>
              <w:spacing w:before="121" w:line="240" w:lineRule="auto"/>
              <w:ind w:right="215" w:firstLine="0"/>
            </w:pPr>
            <w:r>
              <w:t xml:space="preserve">Explore peer states' efforts to create assisted living-like community supported environments </w:t>
            </w:r>
            <w:r>
              <w:rPr>
                <w:spacing w:val="-6"/>
              </w:rPr>
              <w:t xml:space="preserve">in </w:t>
            </w:r>
            <w:r>
              <w:t>rural communities. 4. Continue educational efforts to inform local jurisdictions of best practices and legal risks associated with land use and zoning laws, including requiring conditional use permits for group</w:t>
            </w:r>
            <w:r>
              <w:rPr>
                <w:spacing w:val="-5"/>
              </w:rPr>
              <w:t xml:space="preserve"> </w:t>
            </w:r>
            <w:r>
              <w:t>homes.</w:t>
            </w:r>
          </w:p>
          <w:p w14:paraId="3DA83D1B" w14:textId="77777777" w:rsidR="00AF63BA" w:rsidRDefault="00AF63BA" w:rsidP="00AF63BA">
            <w:pPr>
              <w:pStyle w:val="TableParagraph"/>
              <w:numPr>
                <w:ilvl w:val="0"/>
                <w:numId w:val="16"/>
              </w:numPr>
              <w:tabs>
                <w:tab w:val="left" w:pos="326"/>
              </w:tabs>
              <w:spacing w:before="119" w:line="240" w:lineRule="auto"/>
              <w:ind w:right="139" w:firstLine="0"/>
            </w:pPr>
            <w:r>
              <w:t>Encourage use and completion of Transition Plans and prioritize CDBG to making identified needed accessibility</w:t>
            </w:r>
            <w:r>
              <w:rPr>
                <w:spacing w:val="-6"/>
              </w:rPr>
              <w:t xml:space="preserve"> </w:t>
            </w:r>
            <w:r>
              <w:t>improvements.</w:t>
            </w:r>
          </w:p>
          <w:p w14:paraId="7A3D09D9" w14:textId="77777777" w:rsidR="00AF63BA" w:rsidRDefault="00AF63BA" w:rsidP="00AF63BA">
            <w:pPr>
              <w:pStyle w:val="TableParagraph"/>
              <w:numPr>
                <w:ilvl w:val="0"/>
                <w:numId w:val="16"/>
              </w:numPr>
              <w:tabs>
                <w:tab w:val="left" w:pos="326"/>
              </w:tabs>
              <w:spacing w:before="122" w:line="240" w:lineRule="auto"/>
              <w:ind w:right="168" w:firstLine="0"/>
            </w:pPr>
            <w:r>
              <w:t>Explore creation of a more coordinated and comprehensive effort to address the access needs of persons with</w:t>
            </w:r>
            <w:r>
              <w:rPr>
                <w:spacing w:val="-3"/>
              </w:rPr>
              <w:t xml:space="preserve"> </w:t>
            </w:r>
            <w:r>
              <w:t>disabilities.</w:t>
            </w:r>
          </w:p>
        </w:tc>
        <w:tc>
          <w:tcPr>
            <w:tcW w:w="3183" w:type="dxa"/>
            <w:tcBorders>
              <w:bottom w:val="thickThinMediumGap" w:sz="6" w:space="0" w:color="000000"/>
            </w:tcBorders>
          </w:tcPr>
          <w:p w14:paraId="12AFD042" w14:textId="77777777" w:rsidR="00AF63BA" w:rsidRDefault="00AF63BA" w:rsidP="0058178F">
            <w:pPr>
              <w:pStyle w:val="TableParagraph"/>
              <w:spacing w:before="0" w:line="240" w:lineRule="auto"/>
              <w:ind w:left="107" w:right="183"/>
            </w:pPr>
            <w:r>
              <w:t>to use Avenues for Hope and other private funding options to create accessible home modification in rural communities.</w:t>
            </w:r>
          </w:p>
          <w:p w14:paraId="7DD5225B" w14:textId="77777777" w:rsidR="00AF63BA" w:rsidRDefault="00AF63BA" w:rsidP="00AF63BA">
            <w:pPr>
              <w:pStyle w:val="TableParagraph"/>
              <w:numPr>
                <w:ilvl w:val="0"/>
                <w:numId w:val="15"/>
              </w:numPr>
              <w:tabs>
                <w:tab w:val="left" w:pos="326"/>
              </w:tabs>
              <w:spacing w:before="118" w:line="240" w:lineRule="auto"/>
              <w:ind w:right="173" w:firstLine="0"/>
            </w:pPr>
            <w:r>
              <w:t>Coordinate annual training on best practices in land use and zoning, focusing on group homes.</w:t>
            </w:r>
          </w:p>
          <w:p w14:paraId="7493E79B" w14:textId="77777777" w:rsidR="00AF63BA" w:rsidRDefault="00AF63BA" w:rsidP="00AF63BA">
            <w:pPr>
              <w:pStyle w:val="TableParagraph"/>
              <w:numPr>
                <w:ilvl w:val="0"/>
                <w:numId w:val="15"/>
              </w:numPr>
              <w:tabs>
                <w:tab w:val="left" w:pos="326"/>
              </w:tabs>
              <w:spacing w:before="121" w:line="240" w:lineRule="auto"/>
              <w:ind w:right="360" w:firstLine="0"/>
            </w:pPr>
            <w:r>
              <w:t>Five percent of all new multifamily rental housing will be wheelchair accessible; two percent will accommodate persons living with sensory impairments.</w:t>
            </w:r>
          </w:p>
          <w:p w14:paraId="69290A89" w14:textId="77777777" w:rsidR="00AF63BA" w:rsidRPr="00DD0782" w:rsidRDefault="00AF63BA" w:rsidP="0058178F">
            <w:pPr>
              <w:pStyle w:val="TableParagraph"/>
              <w:spacing w:before="119" w:line="240" w:lineRule="auto"/>
              <w:ind w:left="107" w:right="706"/>
            </w:pPr>
            <w:r w:rsidRPr="00DD0782">
              <w:t>6 Continue to market ADA improvements as eligible activities for CDBG</w:t>
            </w:r>
          </w:p>
          <w:p w14:paraId="668612E4" w14:textId="77777777" w:rsidR="00AF63BA" w:rsidRDefault="00AF63BA" w:rsidP="00AF63BA">
            <w:pPr>
              <w:pStyle w:val="TableParagraph"/>
              <w:numPr>
                <w:ilvl w:val="0"/>
                <w:numId w:val="3"/>
              </w:numPr>
              <w:tabs>
                <w:tab w:val="left" w:pos="454"/>
              </w:tabs>
              <w:spacing w:before="122" w:line="240" w:lineRule="auto"/>
              <w:ind w:right="391" w:firstLine="0"/>
            </w:pPr>
            <w:r>
              <w:t>Complete 15 projects that improve ADA accessibility during 2017-2021 assuming national objectives are</w:t>
            </w:r>
            <w:r>
              <w:rPr>
                <w:spacing w:val="-8"/>
              </w:rPr>
              <w:t xml:space="preserve"> </w:t>
            </w:r>
            <w:r>
              <w:t>met.</w:t>
            </w:r>
          </w:p>
          <w:p w14:paraId="408FAEF6" w14:textId="77777777" w:rsidR="00AF63BA" w:rsidRDefault="00AF63BA" w:rsidP="00AF63BA">
            <w:pPr>
              <w:pStyle w:val="TableParagraph"/>
              <w:numPr>
                <w:ilvl w:val="0"/>
                <w:numId w:val="3"/>
              </w:numPr>
              <w:tabs>
                <w:tab w:val="left" w:pos="463"/>
              </w:tabs>
              <w:spacing w:before="121" w:line="240" w:lineRule="auto"/>
              <w:ind w:right="185" w:firstLine="0"/>
            </w:pPr>
            <w:r>
              <w:t>Ensure all CDBG grantees (cities and counties) have updated their ADA Transition Plans prior to project</w:t>
            </w:r>
            <w:r>
              <w:rPr>
                <w:spacing w:val="-12"/>
              </w:rPr>
              <w:t xml:space="preserve"> </w:t>
            </w:r>
            <w:r>
              <w:t>closeout.</w:t>
            </w:r>
          </w:p>
          <w:p w14:paraId="6337F00D" w14:textId="77777777" w:rsidR="00AF63BA" w:rsidRDefault="00AF63BA" w:rsidP="00AF63BA">
            <w:pPr>
              <w:pStyle w:val="TableParagraph"/>
              <w:numPr>
                <w:ilvl w:val="0"/>
                <w:numId w:val="3"/>
              </w:numPr>
              <w:tabs>
                <w:tab w:val="left" w:pos="442"/>
              </w:tabs>
              <w:spacing w:before="119" w:line="240" w:lineRule="auto"/>
              <w:ind w:right="381" w:firstLine="0"/>
            </w:pPr>
            <w:r>
              <w:t>Increase CDBG application priority ranking points for projects that focus on the removal of architectural barriers or improve ADA accessibility.</w:t>
            </w:r>
          </w:p>
        </w:tc>
        <w:tc>
          <w:tcPr>
            <w:tcW w:w="1450" w:type="dxa"/>
            <w:tcBorders>
              <w:bottom w:val="thickThinMediumGap" w:sz="6" w:space="0" w:color="000000"/>
            </w:tcBorders>
          </w:tcPr>
          <w:p w14:paraId="74011702" w14:textId="77777777" w:rsidR="00AF63BA" w:rsidRDefault="00AF63BA" w:rsidP="0058178F">
            <w:pPr>
              <w:pStyle w:val="TableParagraph"/>
              <w:spacing w:before="0" w:line="240" w:lineRule="auto"/>
              <w:rPr>
                <w:rFonts w:ascii="Times New Roman"/>
              </w:rPr>
            </w:pPr>
          </w:p>
        </w:tc>
        <w:tc>
          <w:tcPr>
            <w:tcW w:w="3630" w:type="dxa"/>
            <w:tcBorders>
              <w:bottom w:val="thickThinMediumGap" w:sz="6" w:space="0" w:color="000000"/>
            </w:tcBorders>
          </w:tcPr>
          <w:p w14:paraId="68DCA455" w14:textId="77777777" w:rsidR="00AF63BA" w:rsidRDefault="00AF63BA" w:rsidP="0058178F">
            <w:pPr>
              <w:pStyle w:val="TableParagraph"/>
              <w:spacing w:before="0" w:line="240" w:lineRule="auto"/>
              <w:ind w:left="106" w:right="156"/>
            </w:pPr>
            <w:r>
              <w:t>rehabilitation) eleven visitable single- family units were created in 2018; Five new construction multifamily projects were completed, which required a minimum 5% of the units to be handicap accessible, with an additional 2% accessible for persons with hearing and visual</w:t>
            </w:r>
            <w:r>
              <w:rPr>
                <w:spacing w:val="-6"/>
              </w:rPr>
              <w:t xml:space="preserve"> </w:t>
            </w:r>
            <w:r>
              <w:t>disabilities.</w:t>
            </w:r>
          </w:p>
          <w:p w14:paraId="73992D6A" w14:textId="77777777" w:rsidR="00AF63BA" w:rsidRDefault="00AF63BA" w:rsidP="00AF63BA">
            <w:pPr>
              <w:pStyle w:val="TableParagraph"/>
              <w:numPr>
                <w:ilvl w:val="0"/>
                <w:numId w:val="14"/>
              </w:numPr>
              <w:tabs>
                <w:tab w:val="left" w:pos="325"/>
              </w:tabs>
              <w:spacing w:before="119" w:line="240" w:lineRule="auto"/>
              <w:ind w:hanging="218"/>
            </w:pPr>
            <w:r>
              <w:t>No funding available in</w:t>
            </w:r>
            <w:r>
              <w:rPr>
                <w:spacing w:val="-10"/>
              </w:rPr>
              <w:t xml:space="preserve"> </w:t>
            </w:r>
            <w:r>
              <w:t>2018.</w:t>
            </w:r>
          </w:p>
          <w:p w14:paraId="567021DC" w14:textId="77777777" w:rsidR="00AF63BA" w:rsidRDefault="00AF63BA" w:rsidP="00AF63BA">
            <w:pPr>
              <w:pStyle w:val="TableParagraph"/>
              <w:numPr>
                <w:ilvl w:val="0"/>
                <w:numId w:val="14"/>
              </w:numPr>
              <w:tabs>
                <w:tab w:val="left" w:pos="326"/>
              </w:tabs>
              <w:spacing w:before="120" w:line="240" w:lineRule="auto"/>
              <w:ind w:left="106" w:right="209" w:firstLine="0"/>
            </w:pPr>
            <w:r>
              <w:t>IHFA requested FHIP funds to support a best practices training on land use, zoning and group homes to coincide with the October, 2018 Idaho American Planning Association conference, but the request</w:t>
            </w:r>
            <w:r>
              <w:rPr>
                <w:spacing w:val="-2"/>
              </w:rPr>
              <w:t xml:space="preserve"> </w:t>
            </w:r>
            <w:r>
              <w:t>was</w:t>
            </w:r>
          </w:p>
          <w:p w14:paraId="26CFD38F" w14:textId="77777777" w:rsidR="00AF63BA" w:rsidRDefault="00AF63BA" w:rsidP="0058178F">
            <w:pPr>
              <w:pStyle w:val="TableParagraph"/>
              <w:spacing w:before="0" w:line="240" w:lineRule="auto"/>
              <w:ind w:left="106" w:right="218"/>
            </w:pPr>
            <w:r>
              <w:t>turned down. ‘Essential Trends and Strategies’ in housing planning and development to support fair housing choice; 7/13/18 Presentation:</w:t>
            </w:r>
          </w:p>
          <w:p w14:paraId="0DF3D83D" w14:textId="77777777" w:rsidR="00AF63BA" w:rsidRDefault="00AF63BA" w:rsidP="0058178F">
            <w:pPr>
              <w:pStyle w:val="TableParagraph"/>
              <w:spacing w:before="1" w:line="240" w:lineRule="auto"/>
              <w:ind w:left="106" w:right="340"/>
            </w:pPr>
            <w:r>
              <w:t>‘Housing as a Second Language: Expanding the conversation’ - NW Community Development Institute.</w:t>
            </w:r>
          </w:p>
          <w:p w14:paraId="5EBB53FB" w14:textId="77777777" w:rsidR="00AF63BA" w:rsidRDefault="00AF63BA" w:rsidP="00AF63BA">
            <w:pPr>
              <w:pStyle w:val="TableParagraph"/>
              <w:numPr>
                <w:ilvl w:val="0"/>
                <w:numId w:val="14"/>
              </w:numPr>
              <w:tabs>
                <w:tab w:val="left" w:pos="326"/>
              </w:tabs>
              <w:spacing w:before="121" w:line="240" w:lineRule="auto"/>
              <w:ind w:left="106" w:right="130" w:firstLine="0"/>
            </w:pPr>
            <w:r>
              <w:t>In 2018, multifamily rental housing project architects must certify design specifications as applicable to the type of project (new construction vs. rehabilitation): Fair Housing Accessibility Guidelines, Section 504 of the Rehabilitation Act and HUD's Fair Housing Design Criteria (if federal funding in the projects), Americans with Disabilities Act, and Uniform Accessibility</w:t>
            </w:r>
            <w:r>
              <w:rPr>
                <w:spacing w:val="-1"/>
              </w:rPr>
              <w:t xml:space="preserve"> </w:t>
            </w:r>
            <w:r>
              <w:t>Standards.</w:t>
            </w:r>
          </w:p>
          <w:p w14:paraId="5391AA63" w14:textId="42184653" w:rsidR="00AF63BA" w:rsidRDefault="00AF63BA" w:rsidP="00AF63BA">
            <w:pPr>
              <w:pStyle w:val="TableParagraph"/>
              <w:numPr>
                <w:ilvl w:val="0"/>
                <w:numId w:val="14"/>
              </w:numPr>
              <w:tabs>
                <w:tab w:val="left" w:pos="326"/>
              </w:tabs>
              <w:spacing w:before="120" w:line="240" w:lineRule="auto"/>
              <w:ind w:left="325"/>
            </w:pPr>
            <w:r w:rsidRPr="008A54D7">
              <w:t>Commerce: For</w:t>
            </w:r>
            <w:r w:rsidRPr="008A54D7">
              <w:rPr>
                <w:spacing w:val="-4"/>
              </w:rPr>
              <w:t xml:space="preserve"> </w:t>
            </w:r>
            <w:r w:rsidRPr="008A54D7">
              <w:t>20</w:t>
            </w:r>
            <w:r w:rsidR="00390670">
              <w:t>2</w:t>
            </w:r>
            <w:r w:rsidR="00F25E84">
              <w:t>4</w:t>
            </w:r>
            <w:r w:rsidR="008A54D7" w:rsidRPr="008A54D7">
              <w:t>,</w:t>
            </w:r>
          </w:p>
        </w:tc>
      </w:tr>
    </w:tbl>
    <w:p w14:paraId="0CB04D8C" w14:textId="77777777" w:rsidR="00AF63BA" w:rsidRDefault="00AF63BA" w:rsidP="00AF63BA">
      <w:pPr>
        <w:rPr>
          <w:sz w:val="20"/>
        </w:rPr>
        <w:sectPr w:rsidR="00AF63BA">
          <w:pgSz w:w="15840" w:h="12240" w:orient="landscape"/>
          <w:pgMar w:top="1200" w:right="1140" w:bottom="280" w:left="1140" w:header="619" w:footer="0" w:gutter="0"/>
          <w:cols w:space="720"/>
        </w:sectPr>
      </w:pPr>
    </w:p>
    <w:p w14:paraId="629BB32C" w14:textId="77777777" w:rsidR="00AF63BA" w:rsidRDefault="00AF63BA" w:rsidP="00AF63BA">
      <w:pPr>
        <w:pStyle w:val="BodyText"/>
        <w:spacing w:before="6"/>
        <w:rPr>
          <w:sz w:val="18"/>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07"/>
        <w:gridCol w:w="2768"/>
        <w:gridCol w:w="3183"/>
        <w:gridCol w:w="1450"/>
        <w:gridCol w:w="3630"/>
      </w:tblGrid>
      <w:tr w:rsidR="00AF63BA" w14:paraId="675B6591" w14:textId="77777777" w:rsidTr="0058178F">
        <w:trPr>
          <w:trHeight w:val="4270"/>
        </w:trPr>
        <w:tc>
          <w:tcPr>
            <w:tcW w:w="2307" w:type="dxa"/>
          </w:tcPr>
          <w:p w14:paraId="0A358B7C" w14:textId="77777777" w:rsidR="00AF63BA" w:rsidRDefault="00AF63BA" w:rsidP="0058178F">
            <w:pPr>
              <w:pStyle w:val="TableParagraph"/>
              <w:spacing w:before="0" w:line="240" w:lineRule="auto"/>
              <w:rPr>
                <w:rFonts w:ascii="Times New Roman"/>
                <w:sz w:val="20"/>
              </w:rPr>
            </w:pPr>
          </w:p>
        </w:tc>
        <w:tc>
          <w:tcPr>
            <w:tcW w:w="2768" w:type="dxa"/>
          </w:tcPr>
          <w:p w14:paraId="4334C81F" w14:textId="77777777" w:rsidR="00AF63BA" w:rsidRDefault="00AF63BA" w:rsidP="0058178F">
            <w:pPr>
              <w:pStyle w:val="TableParagraph"/>
              <w:spacing w:before="0" w:line="240" w:lineRule="auto"/>
              <w:rPr>
                <w:rFonts w:ascii="Times New Roman"/>
                <w:sz w:val="20"/>
              </w:rPr>
            </w:pPr>
          </w:p>
        </w:tc>
        <w:tc>
          <w:tcPr>
            <w:tcW w:w="3183" w:type="dxa"/>
          </w:tcPr>
          <w:p w14:paraId="5AEE3051" w14:textId="77777777" w:rsidR="00AF63BA" w:rsidRDefault="00AF63BA" w:rsidP="0058178F">
            <w:pPr>
              <w:pStyle w:val="TableParagraph"/>
              <w:spacing w:before="0" w:line="240" w:lineRule="auto"/>
              <w:rPr>
                <w:rFonts w:ascii="Times New Roman"/>
                <w:sz w:val="20"/>
              </w:rPr>
            </w:pPr>
          </w:p>
        </w:tc>
        <w:tc>
          <w:tcPr>
            <w:tcW w:w="1450" w:type="dxa"/>
          </w:tcPr>
          <w:p w14:paraId="7EC07235" w14:textId="77777777" w:rsidR="00AF63BA" w:rsidRDefault="00AF63BA" w:rsidP="0058178F">
            <w:pPr>
              <w:pStyle w:val="TableParagraph"/>
              <w:spacing w:before="0" w:line="240" w:lineRule="auto"/>
              <w:rPr>
                <w:rFonts w:ascii="Times New Roman"/>
                <w:sz w:val="20"/>
              </w:rPr>
            </w:pPr>
          </w:p>
        </w:tc>
        <w:tc>
          <w:tcPr>
            <w:tcW w:w="3630" w:type="dxa"/>
          </w:tcPr>
          <w:p w14:paraId="37EA52D7" w14:textId="2747583D" w:rsidR="00AF63BA" w:rsidRPr="006C21EA" w:rsidRDefault="00F25E84" w:rsidP="00AF63BA">
            <w:pPr>
              <w:pStyle w:val="TableParagraph"/>
              <w:numPr>
                <w:ilvl w:val="0"/>
                <w:numId w:val="13"/>
              </w:numPr>
              <w:tabs>
                <w:tab w:val="left" w:pos="499"/>
              </w:tabs>
              <w:spacing w:before="0" w:line="240" w:lineRule="auto"/>
              <w:ind w:right="356" w:firstLine="0"/>
            </w:pPr>
            <w:r>
              <w:t>Nine</w:t>
            </w:r>
            <w:r w:rsidR="00AF63BA" w:rsidRPr="006C21EA">
              <w:t xml:space="preserve"> CDBG funded projects will help to improve ADA accessibility in their </w:t>
            </w:r>
            <w:r w:rsidR="008A54D7" w:rsidRPr="006C21EA">
              <w:t>respective</w:t>
            </w:r>
            <w:r w:rsidR="00AF63BA" w:rsidRPr="006C21EA">
              <w:t xml:space="preserve"> communities.</w:t>
            </w:r>
          </w:p>
          <w:p w14:paraId="3378D80D" w14:textId="5BACA9DE" w:rsidR="00AF63BA" w:rsidRDefault="00AF63BA" w:rsidP="00AF63BA">
            <w:pPr>
              <w:pStyle w:val="TableParagraph"/>
              <w:numPr>
                <w:ilvl w:val="0"/>
                <w:numId w:val="13"/>
              </w:numPr>
              <w:tabs>
                <w:tab w:val="left" w:pos="508"/>
              </w:tabs>
              <w:spacing w:before="120" w:line="240" w:lineRule="auto"/>
              <w:ind w:right="158" w:firstLine="0"/>
            </w:pPr>
            <w:r>
              <w:t>With exception to a post disaster grant, all of the 20</w:t>
            </w:r>
            <w:r w:rsidR="00390670">
              <w:t>2</w:t>
            </w:r>
            <w:r w:rsidR="00F25E84">
              <w:t>4</w:t>
            </w:r>
            <w:r>
              <w:t xml:space="preserve"> CDBG grantees are required to update their transition plans, as per the Commerce grant</w:t>
            </w:r>
            <w:r>
              <w:rPr>
                <w:spacing w:val="-3"/>
              </w:rPr>
              <w:t xml:space="preserve"> </w:t>
            </w:r>
            <w:r>
              <w:t>agreement.</w:t>
            </w:r>
          </w:p>
          <w:p w14:paraId="3E052B50" w14:textId="5E797CE7" w:rsidR="00AF63BA" w:rsidRDefault="00AF63BA" w:rsidP="00AF63BA">
            <w:pPr>
              <w:pStyle w:val="TableParagraph"/>
              <w:numPr>
                <w:ilvl w:val="0"/>
                <w:numId w:val="13"/>
              </w:numPr>
              <w:tabs>
                <w:tab w:val="left" w:pos="487"/>
              </w:tabs>
              <w:spacing w:before="118" w:line="270" w:lineRule="atLeast"/>
              <w:ind w:right="176" w:firstLine="0"/>
            </w:pPr>
            <w:r>
              <w:t xml:space="preserve">The </w:t>
            </w:r>
            <w:r w:rsidR="00597C8A">
              <w:t xml:space="preserve">Economic Advisory Council </w:t>
            </w:r>
            <w:r>
              <w:t xml:space="preserve">approved a scoring point increase for projects that improve ADA accessibility. The </w:t>
            </w:r>
            <w:r w:rsidR="00597C8A">
              <w:t>procedure</w:t>
            </w:r>
            <w:r>
              <w:t xml:space="preserve"> change was enacted for 20</w:t>
            </w:r>
            <w:r w:rsidR="008D651E">
              <w:t>20</w:t>
            </w:r>
            <w:r w:rsidR="00597C8A">
              <w:t xml:space="preserve"> and 2021</w:t>
            </w:r>
            <w:r w:rsidR="00DA416A">
              <w:t>-24</w:t>
            </w:r>
            <w:r>
              <w:t xml:space="preserve"> CDBG projects.</w:t>
            </w:r>
          </w:p>
        </w:tc>
      </w:tr>
      <w:tr w:rsidR="00AF63BA" w14:paraId="0D9ECB56" w14:textId="77777777" w:rsidTr="0058178F">
        <w:trPr>
          <w:trHeight w:val="3456"/>
        </w:trPr>
        <w:tc>
          <w:tcPr>
            <w:tcW w:w="2307" w:type="dxa"/>
          </w:tcPr>
          <w:p w14:paraId="38544CC9" w14:textId="77777777" w:rsidR="00AF63BA" w:rsidRDefault="00AF63BA" w:rsidP="0058178F">
            <w:pPr>
              <w:pStyle w:val="TableParagraph"/>
              <w:spacing w:before="114" w:line="240" w:lineRule="auto"/>
              <w:ind w:left="107" w:right="100"/>
              <w:rPr>
                <w:b/>
              </w:rPr>
            </w:pPr>
            <w:r>
              <w:rPr>
                <w:b/>
              </w:rPr>
              <w:t xml:space="preserve">Gaps in educational achievement for students with disabilities; African American, Native American and Hispanic students; LEP students; and </w:t>
            </w:r>
            <w:r>
              <w:rPr>
                <w:b/>
                <w:spacing w:val="-3"/>
              </w:rPr>
              <w:t xml:space="preserve">students </w:t>
            </w:r>
            <w:r>
              <w:rPr>
                <w:b/>
              </w:rPr>
              <w:t>in transition and at- risk and economically disadvantaged students</w:t>
            </w:r>
          </w:p>
        </w:tc>
        <w:tc>
          <w:tcPr>
            <w:tcW w:w="2768" w:type="dxa"/>
          </w:tcPr>
          <w:p w14:paraId="15127E15" w14:textId="77777777" w:rsidR="00AF63BA" w:rsidRDefault="00AF63BA" w:rsidP="0058178F">
            <w:pPr>
              <w:pStyle w:val="TableParagraph"/>
              <w:spacing w:before="114" w:line="240" w:lineRule="auto"/>
              <w:ind w:left="107" w:right="321"/>
            </w:pPr>
            <w:r>
              <w:t>E. Help address education proficiency gaps:</w:t>
            </w:r>
          </w:p>
          <w:p w14:paraId="017BB4EA" w14:textId="77777777" w:rsidR="00AF63BA" w:rsidRDefault="00AF63BA" w:rsidP="00AF63BA">
            <w:pPr>
              <w:pStyle w:val="TableParagraph"/>
              <w:numPr>
                <w:ilvl w:val="0"/>
                <w:numId w:val="12"/>
              </w:numPr>
              <w:tabs>
                <w:tab w:val="left" w:pos="326"/>
              </w:tabs>
              <w:spacing w:before="118" w:line="240" w:lineRule="auto"/>
              <w:ind w:right="299" w:firstLine="0"/>
            </w:pPr>
            <w:r>
              <w:t xml:space="preserve">Consider Utah's best practice of adding preferences for LIHTC location in areas with </w:t>
            </w:r>
            <w:r>
              <w:rPr>
                <w:spacing w:val="-5"/>
              </w:rPr>
              <w:t xml:space="preserve">high </w:t>
            </w:r>
            <w:r>
              <w:t>proficiency</w:t>
            </w:r>
            <w:r>
              <w:rPr>
                <w:spacing w:val="-1"/>
              </w:rPr>
              <w:t xml:space="preserve"> </w:t>
            </w:r>
            <w:r>
              <w:t>schools*</w:t>
            </w:r>
          </w:p>
        </w:tc>
        <w:tc>
          <w:tcPr>
            <w:tcW w:w="3183" w:type="dxa"/>
          </w:tcPr>
          <w:p w14:paraId="01D81ADA" w14:textId="77777777" w:rsidR="00AF63BA" w:rsidRDefault="00AF63BA" w:rsidP="0058178F">
            <w:pPr>
              <w:pStyle w:val="TableParagraph"/>
              <w:spacing w:before="114" w:line="240" w:lineRule="auto"/>
              <w:ind w:left="107" w:right="128"/>
            </w:pPr>
            <w:r>
              <w:t>Explore effectiveness of Utah's LIHTC program in 2019 and 2020 (after it has been utilized for three years)</w:t>
            </w:r>
          </w:p>
        </w:tc>
        <w:tc>
          <w:tcPr>
            <w:tcW w:w="1450" w:type="dxa"/>
          </w:tcPr>
          <w:p w14:paraId="5A8AC642" w14:textId="77777777" w:rsidR="00AF63BA" w:rsidRDefault="00AF63BA" w:rsidP="0058178F">
            <w:pPr>
              <w:pStyle w:val="TableParagraph"/>
              <w:spacing w:before="0" w:line="240" w:lineRule="auto"/>
            </w:pPr>
          </w:p>
          <w:p w14:paraId="18E4A5A2" w14:textId="77777777" w:rsidR="00AF63BA" w:rsidRDefault="00AF63BA" w:rsidP="0058178F">
            <w:pPr>
              <w:pStyle w:val="TableParagraph"/>
              <w:spacing w:before="0" w:line="240" w:lineRule="auto"/>
            </w:pPr>
          </w:p>
          <w:p w14:paraId="16B3064E" w14:textId="77777777" w:rsidR="00AF63BA" w:rsidRDefault="00AF63BA" w:rsidP="0058178F">
            <w:pPr>
              <w:pStyle w:val="TableParagraph"/>
              <w:spacing w:before="0" w:line="240" w:lineRule="auto"/>
            </w:pPr>
          </w:p>
          <w:p w14:paraId="6D0598A1" w14:textId="77777777" w:rsidR="00AF63BA" w:rsidRDefault="00AF63BA" w:rsidP="0058178F">
            <w:pPr>
              <w:pStyle w:val="TableParagraph"/>
              <w:spacing w:before="0" w:line="240" w:lineRule="auto"/>
            </w:pPr>
          </w:p>
          <w:p w14:paraId="0ABD3E78" w14:textId="77777777" w:rsidR="00AF63BA" w:rsidRDefault="00AF63BA" w:rsidP="0058178F">
            <w:pPr>
              <w:pStyle w:val="TableParagraph"/>
              <w:spacing w:before="0" w:line="240" w:lineRule="auto"/>
            </w:pPr>
          </w:p>
          <w:p w14:paraId="19123D50" w14:textId="77777777" w:rsidR="00AF63BA" w:rsidRDefault="00AF63BA" w:rsidP="0058178F">
            <w:pPr>
              <w:pStyle w:val="TableParagraph"/>
              <w:spacing w:before="0" w:line="240" w:lineRule="auto"/>
            </w:pPr>
          </w:p>
          <w:p w14:paraId="6BC6F6FC" w14:textId="77777777" w:rsidR="00AF63BA" w:rsidRDefault="00AF63BA" w:rsidP="0058178F">
            <w:pPr>
              <w:pStyle w:val="TableParagraph"/>
              <w:spacing w:before="173" w:line="240" w:lineRule="auto"/>
              <w:ind w:left="492" w:right="491"/>
              <w:jc w:val="center"/>
            </w:pPr>
            <w:r>
              <w:t>IHFA</w:t>
            </w:r>
          </w:p>
        </w:tc>
        <w:tc>
          <w:tcPr>
            <w:tcW w:w="3630" w:type="dxa"/>
          </w:tcPr>
          <w:p w14:paraId="4AFE01FB" w14:textId="77777777" w:rsidR="00AF63BA" w:rsidRDefault="00AF63BA" w:rsidP="0058178F">
            <w:pPr>
              <w:pStyle w:val="TableParagraph"/>
              <w:spacing w:before="0" w:line="240" w:lineRule="auto"/>
              <w:rPr>
                <w:rFonts w:ascii="Times New Roman"/>
                <w:sz w:val="20"/>
              </w:rPr>
            </w:pPr>
          </w:p>
        </w:tc>
      </w:tr>
      <w:tr w:rsidR="00AF63BA" w14:paraId="165288C9" w14:textId="77777777" w:rsidTr="0058178F">
        <w:trPr>
          <w:trHeight w:val="1996"/>
        </w:trPr>
        <w:tc>
          <w:tcPr>
            <w:tcW w:w="2307" w:type="dxa"/>
            <w:tcBorders>
              <w:bottom w:val="thickThinMediumGap" w:sz="6" w:space="0" w:color="000000"/>
            </w:tcBorders>
          </w:tcPr>
          <w:p w14:paraId="1FEB4ADB" w14:textId="77777777" w:rsidR="00AF63BA" w:rsidRDefault="00AF63BA" w:rsidP="0058178F">
            <w:pPr>
              <w:pStyle w:val="TableParagraph"/>
              <w:spacing w:before="117" w:line="270" w:lineRule="atLeast"/>
              <w:ind w:left="107" w:right="189"/>
              <w:rPr>
                <w:b/>
              </w:rPr>
            </w:pPr>
            <w:r>
              <w:rPr>
                <w:b/>
              </w:rPr>
              <w:t>Low wages in economically disadvantaged rural areas due to limited economic growth and growth in low wage industries (e.g.,</w:t>
            </w:r>
          </w:p>
        </w:tc>
        <w:tc>
          <w:tcPr>
            <w:tcW w:w="2768" w:type="dxa"/>
            <w:tcBorders>
              <w:bottom w:val="thickThinMediumGap" w:sz="6" w:space="0" w:color="000000"/>
            </w:tcBorders>
          </w:tcPr>
          <w:p w14:paraId="20A37845" w14:textId="77777777" w:rsidR="00AF63BA" w:rsidRDefault="00AF63BA" w:rsidP="0058178F">
            <w:pPr>
              <w:pStyle w:val="TableParagraph"/>
              <w:spacing w:before="119" w:line="240" w:lineRule="auto"/>
              <w:ind w:left="107" w:right="109"/>
            </w:pPr>
            <w:r>
              <w:t>F. Increase employment in economically disadvantaged communities:</w:t>
            </w:r>
          </w:p>
          <w:p w14:paraId="3A49B832" w14:textId="77777777" w:rsidR="00AF63BA" w:rsidRDefault="00AF63BA" w:rsidP="00AF63BA">
            <w:pPr>
              <w:pStyle w:val="TableParagraph"/>
              <w:numPr>
                <w:ilvl w:val="0"/>
                <w:numId w:val="11"/>
              </w:numPr>
              <w:tabs>
                <w:tab w:val="left" w:pos="327"/>
              </w:tabs>
              <w:spacing w:before="121" w:line="240" w:lineRule="auto"/>
              <w:ind w:right="629" w:firstLine="0"/>
            </w:pPr>
            <w:r>
              <w:t xml:space="preserve">Continue to </w:t>
            </w:r>
            <w:r>
              <w:rPr>
                <w:spacing w:val="-3"/>
              </w:rPr>
              <w:t xml:space="preserve">allocate </w:t>
            </w:r>
            <w:r>
              <w:t>CDBG to job creation activities in rural</w:t>
            </w:r>
          </w:p>
        </w:tc>
        <w:tc>
          <w:tcPr>
            <w:tcW w:w="3183" w:type="dxa"/>
            <w:tcBorders>
              <w:bottom w:val="thickThinMediumGap" w:sz="6" w:space="0" w:color="000000"/>
            </w:tcBorders>
          </w:tcPr>
          <w:p w14:paraId="392C3ACB" w14:textId="52DE7561" w:rsidR="00AF63BA" w:rsidRDefault="00AF63BA" w:rsidP="0058178F">
            <w:pPr>
              <w:pStyle w:val="TableParagraph"/>
              <w:spacing w:before="119" w:line="240" w:lineRule="auto"/>
              <w:ind w:left="107" w:right="169"/>
            </w:pPr>
            <w:r>
              <w:t xml:space="preserve">1. </w:t>
            </w:r>
            <w:r w:rsidRPr="00DD0782">
              <w:t>Use CDBG funds to leverage the creation of 30 moderate to high paying jobs created or retained annually, 201</w:t>
            </w:r>
            <w:r w:rsidR="00586CC8">
              <w:t>2</w:t>
            </w:r>
            <w:r w:rsidRPr="00DD0782">
              <w:t xml:space="preserve"> through 202</w:t>
            </w:r>
            <w:r w:rsidR="00586CC8">
              <w:t>6</w:t>
            </w:r>
          </w:p>
        </w:tc>
        <w:tc>
          <w:tcPr>
            <w:tcW w:w="1450" w:type="dxa"/>
            <w:tcBorders>
              <w:bottom w:val="thickThinMediumGap" w:sz="6" w:space="0" w:color="000000"/>
            </w:tcBorders>
          </w:tcPr>
          <w:p w14:paraId="70D85569" w14:textId="77777777" w:rsidR="00AF63BA" w:rsidRDefault="00AF63BA" w:rsidP="0058178F">
            <w:pPr>
              <w:pStyle w:val="TableParagraph"/>
              <w:spacing w:before="0" w:line="240" w:lineRule="auto"/>
            </w:pPr>
          </w:p>
          <w:p w14:paraId="36518AEA" w14:textId="77777777" w:rsidR="00AF63BA" w:rsidRDefault="00AF63BA" w:rsidP="0058178F">
            <w:pPr>
              <w:pStyle w:val="TableParagraph"/>
              <w:spacing w:before="0" w:line="240" w:lineRule="auto"/>
            </w:pPr>
          </w:p>
          <w:p w14:paraId="714B10E4" w14:textId="77777777" w:rsidR="00AF63BA" w:rsidRDefault="00AF63BA" w:rsidP="0058178F">
            <w:pPr>
              <w:pStyle w:val="TableParagraph"/>
              <w:spacing w:before="5" w:line="240" w:lineRule="auto"/>
              <w:rPr>
                <w:sz w:val="18"/>
              </w:rPr>
            </w:pPr>
          </w:p>
          <w:p w14:paraId="67D3EB85" w14:textId="77777777" w:rsidR="00AF63BA" w:rsidRDefault="00AF63BA" w:rsidP="0058178F">
            <w:pPr>
              <w:pStyle w:val="TableParagraph"/>
              <w:spacing w:before="0" w:line="240" w:lineRule="auto"/>
              <w:ind w:left="107"/>
            </w:pPr>
            <w:r>
              <w:t>Commerce</w:t>
            </w:r>
          </w:p>
        </w:tc>
        <w:tc>
          <w:tcPr>
            <w:tcW w:w="3630" w:type="dxa"/>
            <w:tcBorders>
              <w:bottom w:val="thickThinMediumGap" w:sz="6" w:space="0" w:color="000000"/>
            </w:tcBorders>
          </w:tcPr>
          <w:p w14:paraId="23A1EECA" w14:textId="5F8D0E5B" w:rsidR="00AF63BA" w:rsidRDefault="00AF63BA" w:rsidP="00586CC8">
            <w:pPr>
              <w:pStyle w:val="TableParagraph"/>
              <w:spacing w:before="119" w:line="240" w:lineRule="auto"/>
              <w:ind w:left="106" w:right="385"/>
            </w:pPr>
            <w:r>
              <w:t>For 20</w:t>
            </w:r>
            <w:r w:rsidR="00390670">
              <w:t>2</w:t>
            </w:r>
            <w:r w:rsidR="00F25E84">
              <w:t>4</w:t>
            </w:r>
            <w:r>
              <w:t xml:space="preserve">, Commerce </w:t>
            </w:r>
            <w:r w:rsidR="00DA416A">
              <w:t xml:space="preserve">did not receive any job creation applications, therefore did not fund any job creation projects. </w:t>
            </w:r>
          </w:p>
        </w:tc>
      </w:tr>
    </w:tbl>
    <w:p w14:paraId="775652D8" w14:textId="77777777" w:rsidR="00AF63BA" w:rsidRDefault="00AF63BA" w:rsidP="00AF63BA">
      <w:pPr>
        <w:rPr>
          <w:sz w:val="20"/>
        </w:rPr>
        <w:sectPr w:rsidR="00AF63BA">
          <w:pgSz w:w="15840" w:h="12240" w:orient="landscape"/>
          <w:pgMar w:top="1200" w:right="1140" w:bottom="280" w:left="1140" w:header="619" w:footer="0" w:gutter="0"/>
          <w:cols w:space="720"/>
        </w:sectPr>
      </w:pPr>
    </w:p>
    <w:p w14:paraId="45B521C7" w14:textId="77777777" w:rsidR="00AF63BA" w:rsidRDefault="00AF63BA" w:rsidP="00AF63BA">
      <w:pPr>
        <w:pStyle w:val="BodyText"/>
        <w:spacing w:before="6"/>
        <w:rPr>
          <w:sz w:val="18"/>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07"/>
        <w:gridCol w:w="2768"/>
        <w:gridCol w:w="3183"/>
        <w:gridCol w:w="1450"/>
        <w:gridCol w:w="3630"/>
      </w:tblGrid>
      <w:tr w:rsidR="00AF63BA" w14:paraId="5CCC32BE" w14:textId="77777777" w:rsidTr="0058178F">
        <w:trPr>
          <w:trHeight w:val="1075"/>
        </w:trPr>
        <w:tc>
          <w:tcPr>
            <w:tcW w:w="2307" w:type="dxa"/>
          </w:tcPr>
          <w:p w14:paraId="50DDAC21" w14:textId="77777777" w:rsidR="00AF63BA" w:rsidRDefault="00AF63BA" w:rsidP="0058178F">
            <w:pPr>
              <w:pStyle w:val="TableParagraph"/>
              <w:spacing w:before="0" w:line="268" w:lineRule="exact"/>
              <w:ind w:left="107"/>
              <w:rPr>
                <w:b/>
              </w:rPr>
            </w:pPr>
            <w:r>
              <w:rPr>
                <w:b/>
              </w:rPr>
              <w:t>service jobs)</w:t>
            </w:r>
          </w:p>
        </w:tc>
        <w:tc>
          <w:tcPr>
            <w:tcW w:w="2768" w:type="dxa"/>
          </w:tcPr>
          <w:p w14:paraId="632149D9" w14:textId="77777777" w:rsidR="00AF63BA" w:rsidRDefault="00AF63BA" w:rsidP="0058178F">
            <w:pPr>
              <w:pStyle w:val="TableParagraph"/>
              <w:spacing w:before="0" w:line="268" w:lineRule="exact"/>
              <w:ind w:left="107"/>
            </w:pPr>
            <w:r>
              <w:t>communities.</w:t>
            </w:r>
          </w:p>
        </w:tc>
        <w:tc>
          <w:tcPr>
            <w:tcW w:w="3183" w:type="dxa"/>
          </w:tcPr>
          <w:p w14:paraId="0F1AFE33" w14:textId="77777777" w:rsidR="00AF63BA" w:rsidRDefault="00AF63BA" w:rsidP="0058178F">
            <w:pPr>
              <w:pStyle w:val="TableParagraph"/>
              <w:spacing w:before="0" w:line="240" w:lineRule="auto"/>
              <w:rPr>
                <w:rFonts w:ascii="Times New Roman"/>
              </w:rPr>
            </w:pPr>
          </w:p>
        </w:tc>
        <w:tc>
          <w:tcPr>
            <w:tcW w:w="1450" w:type="dxa"/>
          </w:tcPr>
          <w:p w14:paraId="1996A161" w14:textId="77777777" w:rsidR="00AF63BA" w:rsidRDefault="00AF63BA" w:rsidP="0058178F">
            <w:pPr>
              <w:pStyle w:val="TableParagraph"/>
              <w:spacing w:before="0" w:line="240" w:lineRule="auto"/>
              <w:rPr>
                <w:rFonts w:ascii="Times New Roman"/>
              </w:rPr>
            </w:pPr>
          </w:p>
        </w:tc>
        <w:tc>
          <w:tcPr>
            <w:tcW w:w="3630" w:type="dxa"/>
          </w:tcPr>
          <w:p w14:paraId="69DCF5BD" w14:textId="72FFD78F" w:rsidR="00AF63BA" w:rsidRDefault="00AF63BA" w:rsidP="0058178F">
            <w:pPr>
              <w:pStyle w:val="TableParagraph"/>
              <w:spacing w:before="0" w:line="249" w:lineRule="exact"/>
              <w:ind w:left="106"/>
            </w:pPr>
          </w:p>
        </w:tc>
      </w:tr>
      <w:tr w:rsidR="00AF63BA" w14:paraId="4916ACDF" w14:textId="77777777" w:rsidTr="0058178F">
        <w:trPr>
          <w:trHeight w:val="8418"/>
        </w:trPr>
        <w:tc>
          <w:tcPr>
            <w:tcW w:w="2307" w:type="dxa"/>
          </w:tcPr>
          <w:p w14:paraId="20C3901F" w14:textId="77777777" w:rsidR="00AF63BA" w:rsidRDefault="00AF63BA" w:rsidP="0058178F">
            <w:pPr>
              <w:pStyle w:val="TableParagraph"/>
              <w:spacing w:before="119" w:line="240" w:lineRule="auto"/>
              <w:ind w:left="107" w:right="99"/>
              <w:rPr>
                <w:b/>
              </w:rPr>
            </w:pPr>
            <w:r>
              <w:rPr>
                <w:b/>
              </w:rPr>
              <w:t>Inaccessible (pre-ADA) public buildings, commercial establishments, and infrastructure. Lack of funding for—and high cost of—accessibility improvements to streets, sidewalks, and other public infrastructure.</w:t>
            </w:r>
          </w:p>
        </w:tc>
        <w:tc>
          <w:tcPr>
            <w:tcW w:w="2768" w:type="dxa"/>
          </w:tcPr>
          <w:p w14:paraId="097CBAB9" w14:textId="77777777" w:rsidR="00AF63BA" w:rsidRDefault="00AF63BA" w:rsidP="0058178F">
            <w:pPr>
              <w:pStyle w:val="TableParagraph"/>
              <w:spacing w:before="119" w:line="240" w:lineRule="auto"/>
              <w:ind w:left="107" w:right="152"/>
            </w:pPr>
            <w:r>
              <w:t>G. Dedicate additional federal support to increasing employment and accessibility in non- entitlement areas:</w:t>
            </w:r>
          </w:p>
          <w:p w14:paraId="11140D4C" w14:textId="77777777" w:rsidR="00AF63BA" w:rsidRDefault="00AF63BA" w:rsidP="00AF63BA">
            <w:pPr>
              <w:pStyle w:val="TableParagraph"/>
              <w:numPr>
                <w:ilvl w:val="0"/>
                <w:numId w:val="10"/>
              </w:numPr>
              <w:tabs>
                <w:tab w:val="left" w:pos="326"/>
              </w:tabs>
              <w:spacing w:before="119" w:line="240" w:lineRule="auto"/>
              <w:ind w:right="122" w:firstLine="0"/>
            </w:pPr>
            <w:r>
              <w:t xml:space="preserve">Support federal efforts to expand infrastructure redevelopment in rural areas and ensure that these include creating environments that are </w:t>
            </w:r>
            <w:r>
              <w:rPr>
                <w:spacing w:val="-5"/>
              </w:rPr>
              <w:t xml:space="preserve">more </w:t>
            </w:r>
            <w:r>
              <w:t>accessible.</w:t>
            </w:r>
          </w:p>
        </w:tc>
        <w:tc>
          <w:tcPr>
            <w:tcW w:w="3183" w:type="dxa"/>
          </w:tcPr>
          <w:p w14:paraId="494ED807" w14:textId="77777777" w:rsidR="00AF63BA" w:rsidRDefault="00AF63BA" w:rsidP="00AF63BA">
            <w:pPr>
              <w:pStyle w:val="TableParagraph"/>
              <w:numPr>
                <w:ilvl w:val="0"/>
                <w:numId w:val="9"/>
              </w:numPr>
              <w:tabs>
                <w:tab w:val="left" w:pos="326"/>
              </w:tabs>
              <w:spacing w:before="119" w:line="240" w:lineRule="auto"/>
              <w:ind w:right="204" w:firstLine="0"/>
            </w:pPr>
            <w:r>
              <w:t>Activities to be determined in future action plans depending upon federal activities to improve</w:t>
            </w:r>
            <w:r>
              <w:rPr>
                <w:spacing w:val="-3"/>
              </w:rPr>
              <w:t xml:space="preserve"> </w:t>
            </w:r>
            <w:r>
              <w:t>infrastructure.</w:t>
            </w:r>
          </w:p>
          <w:p w14:paraId="70C25FF4" w14:textId="77777777" w:rsidR="00AF63BA" w:rsidRDefault="00AF63BA" w:rsidP="0058178F">
            <w:pPr>
              <w:pStyle w:val="TableParagraph"/>
              <w:spacing w:before="0" w:line="240" w:lineRule="auto"/>
            </w:pPr>
          </w:p>
          <w:p w14:paraId="6BE8048E" w14:textId="77777777" w:rsidR="00AF63BA" w:rsidRDefault="00AF63BA" w:rsidP="0058178F">
            <w:pPr>
              <w:pStyle w:val="TableParagraph"/>
              <w:spacing w:before="0" w:line="240" w:lineRule="auto"/>
            </w:pPr>
          </w:p>
          <w:p w14:paraId="3F03B199" w14:textId="77777777" w:rsidR="00AF63BA" w:rsidRDefault="00AF63BA" w:rsidP="00AF63BA">
            <w:pPr>
              <w:pStyle w:val="TableParagraph"/>
              <w:numPr>
                <w:ilvl w:val="0"/>
                <w:numId w:val="9"/>
              </w:numPr>
              <w:tabs>
                <w:tab w:val="left" w:pos="326"/>
              </w:tabs>
              <w:spacing w:before="0" w:line="240" w:lineRule="auto"/>
              <w:ind w:right="451" w:firstLine="0"/>
            </w:pPr>
            <w:r>
              <w:t>Promote community accessibility practices such</w:t>
            </w:r>
            <w:r>
              <w:rPr>
                <w:spacing w:val="-14"/>
              </w:rPr>
              <w:t xml:space="preserve"> </w:t>
            </w:r>
            <w:r>
              <w:t xml:space="preserve">as </w:t>
            </w:r>
            <w:r w:rsidRPr="009F69E1">
              <w:rPr>
                <w:i/>
              </w:rPr>
              <w:t>Ramp Up Idaho</w:t>
            </w:r>
            <w:r>
              <w:t xml:space="preserve"> to increase awareness of access and opportunity.</w:t>
            </w:r>
          </w:p>
        </w:tc>
        <w:tc>
          <w:tcPr>
            <w:tcW w:w="1450" w:type="dxa"/>
            <w:vAlign w:val="center"/>
          </w:tcPr>
          <w:p w14:paraId="0BC117B9" w14:textId="77777777" w:rsidR="00AF63BA" w:rsidRDefault="00AF63BA" w:rsidP="0058178F">
            <w:pPr>
              <w:pStyle w:val="TableParagraph"/>
              <w:spacing w:before="0" w:line="561" w:lineRule="auto"/>
              <w:ind w:left="424" w:right="141" w:hanging="276"/>
              <w:jc w:val="center"/>
            </w:pPr>
            <w:r>
              <w:t>Commerce-1 IHFA-2</w:t>
            </w:r>
          </w:p>
        </w:tc>
        <w:tc>
          <w:tcPr>
            <w:tcW w:w="3630" w:type="dxa"/>
          </w:tcPr>
          <w:p w14:paraId="09B7BF38" w14:textId="7CF6171A" w:rsidR="00AF63BA" w:rsidRDefault="00AF63BA" w:rsidP="00AF63BA">
            <w:pPr>
              <w:pStyle w:val="TableParagraph"/>
              <w:numPr>
                <w:ilvl w:val="0"/>
                <w:numId w:val="8"/>
              </w:numPr>
              <w:tabs>
                <w:tab w:val="left" w:pos="376"/>
              </w:tabs>
              <w:spacing w:before="119" w:line="240" w:lineRule="auto"/>
              <w:ind w:right="209" w:firstLine="51"/>
            </w:pPr>
            <w:r>
              <w:t>In 20</w:t>
            </w:r>
            <w:r w:rsidR="00390670">
              <w:t>2</w:t>
            </w:r>
            <w:r w:rsidR="00F25E84">
              <w:t>4</w:t>
            </w:r>
            <w:r>
              <w:t>, Commerce attended four quarterly meetings with other infrastructure funding agencies, USDA-RD, DEQ, and</w:t>
            </w:r>
            <w:r>
              <w:rPr>
                <w:spacing w:val="-7"/>
              </w:rPr>
              <w:t xml:space="preserve"> </w:t>
            </w:r>
            <w:r>
              <w:t>USACE.</w:t>
            </w:r>
            <w:r w:rsidR="00DA416A">
              <w:t xml:space="preserve"> Also Commerce participated </w:t>
            </w:r>
            <w:r w:rsidR="007F3FAC">
              <w:t xml:space="preserve">with these funding agencies </w:t>
            </w:r>
            <w:r w:rsidR="00DA416A">
              <w:t xml:space="preserve">in a state-wide training </w:t>
            </w:r>
            <w:r w:rsidR="007F3FAC">
              <w:t xml:space="preserve">of potential grantees. </w:t>
            </w:r>
          </w:p>
          <w:p w14:paraId="692F84DC" w14:textId="77777777" w:rsidR="00AF63BA" w:rsidRDefault="00AF63BA" w:rsidP="0058178F">
            <w:pPr>
              <w:pStyle w:val="TableParagraph"/>
              <w:spacing w:before="119" w:line="240" w:lineRule="auto"/>
              <w:ind w:left="106" w:right="122"/>
              <w:jc w:val="both"/>
            </w:pPr>
            <w:r>
              <w:t>Commerce helps provide support and guidance to these federal agencies in their efforts to improve infrastructure and facilities in rural communities.</w:t>
            </w:r>
          </w:p>
          <w:p w14:paraId="5F08CAA1" w14:textId="77777777" w:rsidR="00AF63BA" w:rsidRDefault="00AF63BA" w:rsidP="00AF63BA">
            <w:pPr>
              <w:pStyle w:val="TableParagraph"/>
              <w:numPr>
                <w:ilvl w:val="0"/>
                <w:numId w:val="8"/>
              </w:numPr>
              <w:tabs>
                <w:tab w:val="left" w:pos="326"/>
              </w:tabs>
              <w:spacing w:before="121" w:line="240" w:lineRule="auto"/>
              <w:ind w:right="143" w:firstLine="0"/>
            </w:pPr>
            <w:r>
              <w:t xml:space="preserve">IHFA participated in or coordinated presentations during PY 2018 for the Association of Idaho Cities, the Idaho Chapter of the American Planning Association, the NW Community Development Institute, Regional Housing Roundtables, Idaho Rural Partnership and the Idaho Women’s Charitable Foundation. Each presentation featured information about the importance of residential and community access and housing choice. IHFA staff continued to promote </w:t>
            </w:r>
            <w:hyperlink r:id="rId28">
              <w:r>
                <w:rPr>
                  <w:i/>
                </w:rPr>
                <w:t>Ramp Up Idaho</w:t>
              </w:r>
              <w:r>
                <w:t xml:space="preserve">, </w:t>
              </w:r>
            </w:hyperlink>
            <w:r>
              <w:t>fair housing design and construction and ADA principles, and</w:t>
            </w:r>
            <w:r>
              <w:rPr>
                <w:spacing w:val="-5"/>
              </w:rPr>
              <w:t xml:space="preserve"> </w:t>
            </w:r>
            <w:r>
              <w:t>distributed/updated</w:t>
            </w:r>
          </w:p>
          <w:p w14:paraId="6F52731A" w14:textId="77777777" w:rsidR="00AF63BA" w:rsidRDefault="00AF63BA" w:rsidP="0058178F">
            <w:pPr>
              <w:pStyle w:val="TableParagraph"/>
              <w:spacing w:before="0" w:line="270" w:lineRule="atLeast"/>
              <w:ind w:left="106" w:right="122"/>
            </w:pPr>
            <w:r>
              <w:t>copies of ‘Housing Diversity: Supporting Community and Economic Stability.’ Which features information on fair housing law, housing choice and access at conferences, meetings and trade shows.</w:t>
            </w:r>
          </w:p>
        </w:tc>
      </w:tr>
    </w:tbl>
    <w:p w14:paraId="05F2CDBE" w14:textId="77777777" w:rsidR="00AF63BA" w:rsidRDefault="00AF63BA" w:rsidP="00AF63BA">
      <w:pPr>
        <w:rPr>
          <w:sz w:val="20"/>
        </w:rPr>
        <w:sectPr w:rsidR="00AF63BA">
          <w:pgSz w:w="15840" w:h="12240" w:orient="landscape"/>
          <w:pgMar w:top="1200" w:right="1140" w:bottom="280" w:left="1140" w:header="619" w:footer="0" w:gutter="0"/>
          <w:cols w:space="720"/>
        </w:sectPr>
      </w:pPr>
    </w:p>
    <w:p w14:paraId="4ECBA69F" w14:textId="77777777" w:rsidR="00AF63BA" w:rsidRDefault="00AF63BA" w:rsidP="00AF63BA">
      <w:pPr>
        <w:pStyle w:val="BodyText"/>
        <w:spacing w:before="6"/>
        <w:rPr>
          <w:sz w:val="18"/>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07"/>
        <w:gridCol w:w="2768"/>
        <w:gridCol w:w="3183"/>
        <w:gridCol w:w="1450"/>
        <w:gridCol w:w="3630"/>
      </w:tblGrid>
      <w:tr w:rsidR="00AF63BA" w14:paraId="0759A396" w14:textId="77777777" w:rsidTr="0058178F">
        <w:trPr>
          <w:trHeight w:val="6895"/>
        </w:trPr>
        <w:tc>
          <w:tcPr>
            <w:tcW w:w="2307" w:type="dxa"/>
          </w:tcPr>
          <w:p w14:paraId="75C40F3B" w14:textId="77777777" w:rsidR="00AF63BA" w:rsidRDefault="00AF63BA" w:rsidP="0058178F">
            <w:pPr>
              <w:pStyle w:val="TableParagraph"/>
              <w:spacing w:before="119" w:line="240" w:lineRule="auto"/>
              <w:ind w:left="107" w:right="134"/>
              <w:rPr>
                <w:b/>
              </w:rPr>
            </w:pPr>
            <w:r>
              <w:rPr>
                <w:b/>
              </w:rPr>
              <w:t>Insufficient transportation services to support independent, integrated community living for seniors and persons with disabilities. Lack of public transportation in rural areas.</w:t>
            </w:r>
          </w:p>
        </w:tc>
        <w:tc>
          <w:tcPr>
            <w:tcW w:w="2768" w:type="dxa"/>
          </w:tcPr>
          <w:p w14:paraId="7D8932BB" w14:textId="77777777" w:rsidR="00AF63BA" w:rsidRDefault="00AF63BA" w:rsidP="0058178F">
            <w:pPr>
              <w:pStyle w:val="TableParagraph"/>
              <w:spacing w:before="119" w:line="240" w:lineRule="auto"/>
              <w:ind w:left="107" w:right="152"/>
            </w:pPr>
            <w:r>
              <w:t>H. Dedicate additional federal support to increasing employment and accessibility in non- entitlement areas— contingent on participation of Idaho Transportation Department and Federal Highway Administration):</w:t>
            </w:r>
          </w:p>
          <w:p w14:paraId="136C2A25" w14:textId="77777777" w:rsidR="00AF63BA" w:rsidRDefault="00AF63BA" w:rsidP="00AF63BA">
            <w:pPr>
              <w:pStyle w:val="TableParagraph"/>
              <w:numPr>
                <w:ilvl w:val="0"/>
                <w:numId w:val="7"/>
              </w:numPr>
              <w:tabs>
                <w:tab w:val="left" w:pos="506"/>
              </w:tabs>
              <w:spacing w:before="120" w:line="240" w:lineRule="auto"/>
              <w:ind w:right="120" w:firstLine="0"/>
            </w:pPr>
            <w:r>
              <w:t>Encourage local government grantee's ability to play a role in transportation planning at the state and regional levels.</w:t>
            </w:r>
          </w:p>
          <w:p w14:paraId="37998ACF" w14:textId="77777777" w:rsidR="00AF63BA" w:rsidRDefault="00AF63BA" w:rsidP="00AF63BA">
            <w:pPr>
              <w:pStyle w:val="TableParagraph"/>
              <w:numPr>
                <w:ilvl w:val="0"/>
                <w:numId w:val="7"/>
              </w:numPr>
              <w:tabs>
                <w:tab w:val="left" w:pos="506"/>
              </w:tabs>
              <w:spacing w:before="119" w:line="240" w:lineRule="auto"/>
              <w:ind w:right="217" w:firstLine="0"/>
            </w:pPr>
            <w:r>
              <w:t>Through AAAs, roundtable discussions, public-private partnerships, explore the demand to expand and create formal rideshare programs in rural communities with</w:t>
            </w:r>
            <w:r>
              <w:rPr>
                <w:spacing w:val="-3"/>
              </w:rPr>
              <w:t xml:space="preserve"> </w:t>
            </w:r>
            <w:r>
              <w:t>need.</w:t>
            </w:r>
          </w:p>
        </w:tc>
        <w:tc>
          <w:tcPr>
            <w:tcW w:w="3183" w:type="dxa"/>
          </w:tcPr>
          <w:p w14:paraId="186EF7FA" w14:textId="77777777" w:rsidR="00AF63BA" w:rsidRDefault="00AF63BA" w:rsidP="00AF63BA">
            <w:pPr>
              <w:pStyle w:val="TableParagraph"/>
              <w:numPr>
                <w:ilvl w:val="0"/>
                <w:numId w:val="6"/>
              </w:numPr>
              <w:tabs>
                <w:tab w:val="left" w:pos="326"/>
              </w:tabs>
              <w:spacing w:before="59" w:line="240" w:lineRule="auto"/>
              <w:ind w:right="3" w:firstLine="0"/>
            </w:pPr>
            <w:r>
              <w:t>Ensure CDBG grantees (cities and counties) located in resort communities or college towns have completed the transportation component of their comprehensive plan (as per Idaho's Local Land Use Planning Act). At a minimum, the transportation component should assess bicycle and pedestrian circulation and the existing (or feasibility of) public transportation - bus or van. Further, the city or county should address the transportation factors that are contributing to limiting opportunities for its residents in their fair housing</w:t>
            </w:r>
            <w:r>
              <w:rPr>
                <w:spacing w:val="-4"/>
              </w:rPr>
              <w:t xml:space="preserve"> </w:t>
            </w:r>
            <w:r>
              <w:t>assessment.</w:t>
            </w:r>
          </w:p>
          <w:p w14:paraId="742BDDF3" w14:textId="77777777" w:rsidR="00AF63BA" w:rsidRDefault="00AF63BA" w:rsidP="00AF63BA">
            <w:pPr>
              <w:pStyle w:val="TableParagraph"/>
              <w:numPr>
                <w:ilvl w:val="0"/>
                <w:numId w:val="6"/>
              </w:numPr>
              <w:tabs>
                <w:tab w:val="left" w:pos="326"/>
              </w:tabs>
              <w:spacing w:before="119" w:line="270" w:lineRule="atLeast"/>
              <w:ind w:right="175" w:firstLine="0"/>
            </w:pPr>
            <w:r>
              <w:t>Convey the importance of transportation alternatives in an integrated community living to the Idaho Transportation Department's Public Transportation Interagency Working</w:t>
            </w:r>
            <w:r>
              <w:rPr>
                <w:spacing w:val="-3"/>
              </w:rPr>
              <w:t xml:space="preserve"> </w:t>
            </w:r>
            <w:r>
              <w:t>Group.</w:t>
            </w:r>
          </w:p>
        </w:tc>
        <w:tc>
          <w:tcPr>
            <w:tcW w:w="1450" w:type="dxa"/>
          </w:tcPr>
          <w:p w14:paraId="51EEB2F4" w14:textId="77777777" w:rsidR="00AF63BA" w:rsidRDefault="00AF63BA" w:rsidP="0058178F">
            <w:pPr>
              <w:pStyle w:val="TableParagraph"/>
              <w:spacing w:before="119" w:line="453" w:lineRule="auto"/>
              <w:ind w:left="424" w:right="141" w:hanging="276"/>
            </w:pPr>
            <w:r>
              <w:t>Commerce-1 IHFA-2</w:t>
            </w:r>
          </w:p>
        </w:tc>
        <w:tc>
          <w:tcPr>
            <w:tcW w:w="3630" w:type="dxa"/>
          </w:tcPr>
          <w:p w14:paraId="4D542843" w14:textId="68B06415" w:rsidR="00AF63BA" w:rsidRDefault="00AF63BA" w:rsidP="00AF63BA">
            <w:pPr>
              <w:pStyle w:val="TableParagraph"/>
              <w:numPr>
                <w:ilvl w:val="0"/>
                <w:numId w:val="5"/>
              </w:numPr>
              <w:tabs>
                <w:tab w:val="left" w:pos="375"/>
              </w:tabs>
              <w:spacing w:before="119" w:line="240" w:lineRule="auto"/>
              <w:ind w:right="106" w:firstLine="0"/>
            </w:pPr>
            <w:r>
              <w:t>Commerce: As of 20</w:t>
            </w:r>
            <w:r w:rsidR="00390670">
              <w:t>2</w:t>
            </w:r>
            <w:r w:rsidR="00F25E84">
              <w:t>4</w:t>
            </w:r>
            <w:r>
              <w:t>, All CDBG applicants (Grantees) were required to identify if the transportation component of their plan did address public transportation options. Additional points were awarded to applicants who had addressed public transportation options. Commerce’s CDBG program does request Grantees to review the transportation options in their community under their Fair Housing</w:t>
            </w:r>
            <w:r>
              <w:rPr>
                <w:spacing w:val="-2"/>
              </w:rPr>
              <w:t xml:space="preserve"> </w:t>
            </w:r>
            <w:r>
              <w:t>Assessment.</w:t>
            </w:r>
          </w:p>
          <w:p w14:paraId="30996237" w14:textId="77777777" w:rsidR="00AF63BA" w:rsidRDefault="00AF63BA" w:rsidP="00AF63BA">
            <w:pPr>
              <w:pStyle w:val="TableParagraph"/>
              <w:numPr>
                <w:ilvl w:val="0"/>
                <w:numId w:val="5"/>
              </w:numPr>
              <w:tabs>
                <w:tab w:val="left" w:pos="326"/>
              </w:tabs>
              <w:spacing w:before="121" w:line="240" w:lineRule="auto"/>
              <w:ind w:right="196" w:firstLine="0"/>
            </w:pPr>
            <w:r>
              <w:t>IHFA staff maintain contact with our partners through ITD’s Statewide Bicycle and Pedestrian Advisory Committee (BPAC) to promote diverse transportation and mobility options.</w:t>
            </w:r>
          </w:p>
        </w:tc>
      </w:tr>
      <w:tr w:rsidR="00AF63BA" w14:paraId="2502F816" w14:textId="77777777" w:rsidTr="0058178F">
        <w:trPr>
          <w:trHeight w:val="2699"/>
        </w:trPr>
        <w:tc>
          <w:tcPr>
            <w:tcW w:w="2307" w:type="dxa"/>
          </w:tcPr>
          <w:p w14:paraId="14E56F89" w14:textId="77777777" w:rsidR="00AF63BA" w:rsidRDefault="00AF63BA" w:rsidP="0058178F">
            <w:pPr>
              <w:pStyle w:val="TableParagraph"/>
              <w:spacing w:before="113" w:line="240" w:lineRule="auto"/>
              <w:ind w:left="107" w:right="117"/>
              <w:rPr>
                <w:b/>
              </w:rPr>
            </w:pPr>
            <w:r>
              <w:rPr>
                <w:b/>
              </w:rPr>
              <w:t>Challenges housing persons with criminal backgrounds who cannot qualify for publicly supported housing and for whom private sector may be reluctant to provide housing.</w:t>
            </w:r>
          </w:p>
        </w:tc>
        <w:tc>
          <w:tcPr>
            <w:tcW w:w="2768" w:type="dxa"/>
          </w:tcPr>
          <w:p w14:paraId="40F49D88" w14:textId="77777777" w:rsidR="00AF63BA" w:rsidRDefault="00AF63BA" w:rsidP="00AF63BA">
            <w:pPr>
              <w:pStyle w:val="TableParagraph"/>
              <w:numPr>
                <w:ilvl w:val="0"/>
                <w:numId w:val="4"/>
              </w:numPr>
              <w:tabs>
                <w:tab w:val="left" w:pos="269"/>
              </w:tabs>
              <w:spacing w:before="135" w:line="240" w:lineRule="auto"/>
              <w:ind w:right="184" w:firstLine="0"/>
            </w:pPr>
            <w:r>
              <w:t>Explore programs to provide housing options for persons with criminal backgrounds, particularly those who are disproportionately represented by certain protected</w:t>
            </w:r>
            <w:r>
              <w:rPr>
                <w:spacing w:val="-2"/>
              </w:rPr>
              <w:t xml:space="preserve"> </w:t>
            </w:r>
            <w:r>
              <w:t>classes:</w:t>
            </w:r>
          </w:p>
          <w:p w14:paraId="034C3E2E" w14:textId="77777777" w:rsidR="00AF63BA" w:rsidRDefault="00AF63BA" w:rsidP="00AF63BA">
            <w:pPr>
              <w:pStyle w:val="TableParagraph"/>
              <w:numPr>
                <w:ilvl w:val="1"/>
                <w:numId w:val="4"/>
              </w:numPr>
              <w:tabs>
                <w:tab w:val="left" w:pos="446"/>
              </w:tabs>
              <w:spacing w:before="122" w:line="240" w:lineRule="auto"/>
              <w:ind w:hanging="218"/>
            </w:pPr>
            <w:r>
              <w:t>Explore best</w:t>
            </w:r>
            <w:r>
              <w:rPr>
                <w:spacing w:val="-2"/>
              </w:rPr>
              <w:t xml:space="preserve"> </w:t>
            </w:r>
            <w:r>
              <w:t>practices</w:t>
            </w:r>
          </w:p>
        </w:tc>
        <w:tc>
          <w:tcPr>
            <w:tcW w:w="3183" w:type="dxa"/>
          </w:tcPr>
          <w:p w14:paraId="1EFA2109" w14:textId="77777777" w:rsidR="00AF63BA" w:rsidRDefault="00AF63BA" w:rsidP="0058178F">
            <w:pPr>
              <w:pStyle w:val="TableParagraph"/>
              <w:spacing w:before="113" w:line="240" w:lineRule="auto"/>
              <w:ind w:left="107" w:right="137"/>
            </w:pPr>
            <w:r>
              <w:t>Publish annual updates and information in Cornerstones and Rent Sense newsletters; include best practice information in correspondence to affordable housing providers.</w:t>
            </w:r>
          </w:p>
        </w:tc>
        <w:tc>
          <w:tcPr>
            <w:tcW w:w="1450" w:type="dxa"/>
            <w:vAlign w:val="center"/>
          </w:tcPr>
          <w:p w14:paraId="7CD22432" w14:textId="77777777" w:rsidR="00AF63BA" w:rsidRDefault="00AF63BA" w:rsidP="0058178F">
            <w:pPr>
              <w:pStyle w:val="TableParagraph"/>
              <w:spacing w:before="136" w:line="240" w:lineRule="auto"/>
              <w:ind w:left="492" w:right="491"/>
              <w:jc w:val="center"/>
            </w:pPr>
            <w:r>
              <w:t>IHFA</w:t>
            </w:r>
          </w:p>
        </w:tc>
        <w:tc>
          <w:tcPr>
            <w:tcW w:w="3630" w:type="dxa"/>
          </w:tcPr>
          <w:p w14:paraId="24C37F69" w14:textId="77777777" w:rsidR="00AF63BA" w:rsidRDefault="00AF63BA" w:rsidP="0058178F">
            <w:pPr>
              <w:pStyle w:val="TableParagraph"/>
              <w:spacing w:before="0" w:line="259" w:lineRule="auto"/>
              <w:ind w:left="106" w:right="360"/>
            </w:pPr>
            <w:r>
              <w:t>IHFA no longer publishes “Cornerstones” or “Rent Sense” newsletters; relevant outreach and updates on best practices are disseminated via stakeholder networks and conferences.</w:t>
            </w:r>
          </w:p>
          <w:p w14:paraId="7AFBB2B0" w14:textId="77777777" w:rsidR="00AF63BA" w:rsidRDefault="00AF63BA" w:rsidP="0058178F">
            <w:pPr>
              <w:pStyle w:val="TableParagraph"/>
              <w:spacing w:before="150" w:line="270" w:lineRule="atLeast"/>
              <w:ind w:left="106" w:right="379"/>
            </w:pPr>
            <w:r>
              <w:t>Fair Housing trainings provided by HUD and offered through Idaho AHMA (Idaho’s Affordable Housing</w:t>
            </w:r>
          </w:p>
        </w:tc>
      </w:tr>
    </w:tbl>
    <w:p w14:paraId="4C81591C" w14:textId="77777777" w:rsidR="00AF63BA" w:rsidRDefault="00AF63BA" w:rsidP="00AF63BA">
      <w:pPr>
        <w:rPr>
          <w:sz w:val="20"/>
        </w:rPr>
      </w:pPr>
    </w:p>
    <w:p w14:paraId="721EE12B" w14:textId="77777777" w:rsidR="00D42AFB" w:rsidRDefault="00D42AFB" w:rsidP="00AF63BA">
      <w:pPr>
        <w:rPr>
          <w:sz w:val="20"/>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07"/>
        <w:gridCol w:w="2768"/>
        <w:gridCol w:w="3183"/>
        <w:gridCol w:w="1450"/>
        <w:gridCol w:w="3630"/>
      </w:tblGrid>
      <w:tr w:rsidR="00D42AFB" w14:paraId="20448221" w14:textId="77777777" w:rsidTr="007E6DBE">
        <w:trPr>
          <w:trHeight w:val="2806"/>
        </w:trPr>
        <w:tc>
          <w:tcPr>
            <w:tcW w:w="2307" w:type="dxa"/>
          </w:tcPr>
          <w:p w14:paraId="68F678BD" w14:textId="77777777" w:rsidR="00D42AFB" w:rsidRDefault="00D42AFB" w:rsidP="007E6DBE">
            <w:pPr>
              <w:pStyle w:val="TableParagraph"/>
              <w:spacing w:before="0" w:line="240" w:lineRule="auto"/>
              <w:rPr>
                <w:rFonts w:ascii="Times New Roman"/>
                <w:sz w:val="20"/>
              </w:rPr>
            </w:pPr>
          </w:p>
        </w:tc>
        <w:tc>
          <w:tcPr>
            <w:tcW w:w="2768" w:type="dxa"/>
          </w:tcPr>
          <w:p w14:paraId="5282CBD7" w14:textId="77777777" w:rsidR="00D42AFB" w:rsidRDefault="00D42AFB" w:rsidP="007E6DBE">
            <w:pPr>
              <w:pStyle w:val="TableParagraph"/>
              <w:spacing w:before="0" w:line="240" w:lineRule="auto"/>
              <w:ind w:left="227" w:right="168"/>
            </w:pPr>
            <w:r>
              <w:t>(e.g., Sponsors, Inc. in Oregon) to assist men and women in corrections re- integrating into communities.</w:t>
            </w:r>
          </w:p>
          <w:p w14:paraId="7ED2E77F" w14:textId="77777777" w:rsidR="00D42AFB" w:rsidRDefault="00D42AFB" w:rsidP="007E6DBE">
            <w:pPr>
              <w:pStyle w:val="TableParagraph"/>
              <w:spacing w:before="118" w:line="240" w:lineRule="auto"/>
              <w:ind w:left="227" w:right="315"/>
            </w:pPr>
            <w:r>
              <w:t>2. Educate housing partners statewide on appropriate language on criminal backgrounds in</w:t>
            </w:r>
          </w:p>
          <w:p w14:paraId="7C07DEA8" w14:textId="77777777" w:rsidR="00D42AFB" w:rsidRDefault="00D42AFB" w:rsidP="007E6DBE">
            <w:pPr>
              <w:pStyle w:val="TableParagraph"/>
              <w:spacing w:before="1" w:line="249" w:lineRule="exact"/>
              <w:ind w:left="227"/>
            </w:pPr>
            <w:r>
              <w:t>rental agreements.</w:t>
            </w:r>
          </w:p>
        </w:tc>
        <w:tc>
          <w:tcPr>
            <w:tcW w:w="3183" w:type="dxa"/>
          </w:tcPr>
          <w:p w14:paraId="54F5C60C" w14:textId="77777777" w:rsidR="00D42AFB" w:rsidRDefault="00D42AFB" w:rsidP="007E6DBE">
            <w:pPr>
              <w:pStyle w:val="TableParagraph"/>
              <w:spacing w:before="0" w:line="240" w:lineRule="auto"/>
              <w:rPr>
                <w:rFonts w:ascii="Times New Roman"/>
                <w:sz w:val="20"/>
              </w:rPr>
            </w:pPr>
          </w:p>
        </w:tc>
        <w:tc>
          <w:tcPr>
            <w:tcW w:w="1450" w:type="dxa"/>
          </w:tcPr>
          <w:p w14:paraId="73BB8D4D" w14:textId="77777777" w:rsidR="00D42AFB" w:rsidRDefault="00D42AFB" w:rsidP="007E6DBE">
            <w:pPr>
              <w:pStyle w:val="TableParagraph"/>
              <w:spacing w:before="0" w:line="240" w:lineRule="auto"/>
              <w:rPr>
                <w:rFonts w:ascii="Times New Roman"/>
                <w:sz w:val="20"/>
              </w:rPr>
            </w:pPr>
          </w:p>
        </w:tc>
        <w:tc>
          <w:tcPr>
            <w:tcW w:w="3630" w:type="dxa"/>
          </w:tcPr>
          <w:p w14:paraId="7D28C618" w14:textId="77777777" w:rsidR="00D42AFB" w:rsidRDefault="00D42AFB" w:rsidP="007E6DBE">
            <w:pPr>
              <w:pStyle w:val="TableParagraph"/>
              <w:spacing w:before="0" w:line="240" w:lineRule="auto"/>
              <w:ind w:left="106" w:right="109"/>
            </w:pPr>
            <w:r>
              <w:t>Management Association) and Fair Housing Forum partners continue to include a section regarding VAWA, criminal background checks, and reasonable tenant selection policies regarding "criminal history." VAWA language is included in the HOME and HTF project regulatory agreements with owners.</w:t>
            </w:r>
          </w:p>
        </w:tc>
      </w:tr>
    </w:tbl>
    <w:p w14:paraId="18E56BD5" w14:textId="77777777" w:rsidR="00D42AFB" w:rsidRDefault="00D42AFB" w:rsidP="00AF63BA">
      <w:pPr>
        <w:rPr>
          <w:sz w:val="20"/>
        </w:rPr>
      </w:pPr>
    </w:p>
    <w:p w14:paraId="5EE23F18" w14:textId="77777777" w:rsidR="00D42AFB" w:rsidRDefault="00D42AFB" w:rsidP="00AF63BA">
      <w:pPr>
        <w:rPr>
          <w:sz w:val="20"/>
        </w:rPr>
      </w:pPr>
    </w:p>
    <w:p w14:paraId="6D0B1FA4" w14:textId="77777777" w:rsidR="00D42AFB" w:rsidRDefault="00D42AFB" w:rsidP="00AF63BA">
      <w:pPr>
        <w:rPr>
          <w:sz w:val="20"/>
        </w:rPr>
      </w:pPr>
    </w:p>
    <w:p w14:paraId="7DEE8318" w14:textId="77777777" w:rsidR="00D42AFB" w:rsidRDefault="00D42AFB" w:rsidP="00AF63BA">
      <w:pPr>
        <w:rPr>
          <w:sz w:val="20"/>
        </w:rPr>
      </w:pPr>
    </w:p>
    <w:p w14:paraId="1C0DD3B0" w14:textId="77777777" w:rsidR="00D42AFB" w:rsidRDefault="00D42AFB" w:rsidP="00AF63BA">
      <w:pPr>
        <w:rPr>
          <w:sz w:val="20"/>
        </w:rPr>
      </w:pPr>
    </w:p>
    <w:p w14:paraId="7DF41810" w14:textId="4228388A" w:rsidR="00D42AFB" w:rsidRDefault="00D42AFB" w:rsidP="00AF63BA">
      <w:pPr>
        <w:rPr>
          <w:sz w:val="20"/>
        </w:rPr>
        <w:sectPr w:rsidR="00D42AFB">
          <w:pgSz w:w="15840" w:h="12240" w:orient="landscape"/>
          <w:pgMar w:top="1200" w:right="1140" w:bottom="280" w:left="1140" w:header="619" w:footer="0" w:gutter="0"/>
          <w:cols w:space="720"/>
        </w:sectPr>
      </w:pPr>
    </w:p>
    <w:p w14:paraId="0AD5A36C" w14:textId="77777777" w:rsidR="00AF63BA" w:rsidRPr="00AF63BA" w:rsidRDefault="00AF63BA" w:rsidP="00AF63BA">
      <w:pPr>
        <w:pStyle w:val="Heading1"/>
        <w:spacing w:before="99"/>
        <w:rPr>
          <w:color w:val="FF0000"/>
        </w:rPr>
      </w:pPr>
      <w:bookmarkStart w:id="20" w:name="_Toc12011468"/>
      <w:bookmarkStart w:id="21" w:name="_Toc12011896"/>
      <w:r w:rsidRPr="00AF63BA">
        <w:rPr>
          <w:color w:val="FF0000"/>
        </w:rPr>
        <w:lastRenderedPageBreak/>
        <w:t>CR-40 - Monitoring</w:t>
      </w:r>
      <w:bookmarkEnd w:id="20"/>
      <w:bookmarkEnd w:id="21"/>
    </w:p>
    <w:p w14:paraId="40EB17E9" w14:textId="77777777" w:rsidR="00AF63BA" w:rsidRDefault="00AF63BA" w:rsidP="00AF63BA">
      <w:pPr>
        <w:pStyle w:val="BodyText"/>
        <w:spacing w:before="241"/>
        <w:ind w:left="140"/>
      </w:pPr>
      <w:r>
        <w:t>91.220 and 91.230</w:t>
      </w:r>
    </w:p>
    <w:p w14:paraId="16012FE5" w14:textId="77777777" w:rsidR="00AF63BA" w:rsidRDefault="00AF63BA" w:rsidP="00AF63BA">
      <w:pPr>
        <w:spacing w:before="122"/>
        <w:ind w:left="140" w:right="184"/>
        <w:rPr>
          <w:b/>
          <w:i/>
          <w:sz w:val="20"/>
        </w:rPr>
      </w:pPr>
      <w:r>
        <w:rPr>
          <w:b/>
          <w:i/>
          <w:sz w:val="20"/>
        </w:rPr>
        <w:t>Describe the standards and procedures that will be used to monitor activities carried out in furtherance of the plan and will be used to ensure long-term compliance with requirements of the programs involved, including minority business outreach and comprehensive planning requirements.</w:t>
      </w:r>
    </w:p>
    <w:p w14:paraId="46972D65" w14:textId="77777777" w:rsidR="00AF63BA" w:rsidRDefault="00AF63BA" w:rsidP="00AF63BA">
      <w:pPr>
        <w:pStyle w:val="BodyText"/>
        <w:spacing w:before="8"/>
        <w:rPr>
          <w:b/>
          <w:i/>
          <w:sz w:val="19"/>
        </w:rPr>
      </w:pPr>
    </w:p>
    <w:p w14:paraId="30B5674A" w14:textId="77777777" w:rsidR="00AF63BA" w:rsidRDefault="00AF63BA" w:rsidP="00AF63BA">
      <w:pPr>
        <w:pStyle w:val="Heading2"/>
      </w:pPr>
      <w:bookmarkStart w:id="22" w:name="_Toc12011469"/>
      <w:bookmarkStart w:id="23" w:name="_Toc12011897"/>
      <w:r>
        <w:t>Idaho Department of Commerce</w:t>
      </w:r>
      <w:bookmarkEnd w:id="22"/>
      <w:bookmarkEnd w:id="23"/>
    </w:p>
    <w:p w14:paraId="3A48556E" w14:textId="77777777" w:rsidR="00AF63BA" w:rsidRDefault="00AF63BA" w:rsidP="00AF63BA">
      <w:pPr>
        <w:pStyle w:val="BodyText"/>
        <w:spacing w:before="8"/>
        <w:rPr>
          <w:b/>
          <w:sz w:val="23"/>
        </w:rPr>
      </w:pPr>
    </w:p>
    <w:p w14:paraId="040224BF" w14:textId="77777777" w:rsidR="00AF63BA" w:rsidRDefault="00AF63BA" w:rsidP="00AF63BA">
      <w:pPr>
        <w:pStyle w:val="BodyText"/>
        <w:spacing w:before="1"/>
        <w:ind w:left="140"/>
      </w:pPr>
      <w:r>
        <w:t>IDC monitors all CDBG funded projects to ensure compliance with applicable program rules and regulations. The IDC monitoring process starts before the actual funding of an application and continues until project closeout. This dynamic process helps to ensure projects meet program requirements and improves the chances that any violations or potential violations are identified and corrected.</w:t>
      </w:r>
    </w:p>
    <w:p w14:paraId="6148674F" w14:textId="77777777" w:rsidR="00AF63BA" w:rsidRDefault="00AF63BA" w:rsidP="00AF63BA">
      <w:pPr>
        <w:pStyle w:val="BodyText"/>
        <w:spacing w:before="11"/>
        <w:rPr>
          <w:sz w:val="19"/>
        </w:rPr>
      </w:pPr>
    </w:p>
    <w:p w14:paraId="31B03D2F" w14:textId="77777777" w:rsidR="00AF63BA" w:rsidRDefault="00AF63BA" w:rsidP="00AF63BA">
      <w:pPr>
        <w:spacing w:before="1"/>
        <w:ind w:left="284"/>
        <w:rPr>
          <w:b/>
          <w:sz w:val="20"/>
        </w:rPr>
      </w:pPr>
      <w:r>
        <w:rPr>
          <w:b/>
          <w:sz w:val="20"/>
        </w:rPr>
        <w:t>-Pre-Development Monitoring-</w:t>
      </w:r>
    </w:p>
    <w:p w14:paraId="5127F4BD" w14:textId="77777777" w:rsidR="00AF63BA" w:rsidRDefault="00AF63BA" w:rsidP="00AF63BA">
      <w:pPr>
        <w:pStyle w:val="BodyText"/>
        <w:spacing w:before="116"/>
        <w:ind w:left="284" w:right="323"/>
      </w:pPr>
      <w:r>
        <w:t>Local governments who anticipate applying for CDBG funds are encouraged to contact their regional IDC specialist. IDC specialists provide recommendations and technical assistance to local governments to help them understand the CDBG program requirements. Pre-development reviews also provide IDC an understanding of the potential projects and an early assessment to determine if it will meet the CDBG national objective, eligibility, and goals.</w:t>
      </w:r>
    </w:p>
    <w:p w14:paraId="04E4C723" w14:textId="77777777" w:rsidR="00AF63BA" w:rsidRDefault="00AF63BA" w:rsidP="00AF63BA">
      <w:pPr>
        <w:pStyle w:val="BodyText"/>
        <w:spacing w:before="11"/>
        <w:rPr>
          <w:sz w:val="19"/>
        </w:rPr>
      </w:pPr>
    </w:p>
    <w:p w14:paraId="57B84056" w14:textId="77777777" w:rsidR="00AF63BA" w:rsidRDefault="00AF63BA" w:rsidP="00AF63BA">
      <w:pPr>
        <w:ind w:left="284"/>
        <w:rPr>
          <w:b/>
          <w:sz w:val="20"/>
        </w:rPr>
      </w:pPr>
      <w:r>
        <w:rPr>
          <w:b/>
          <w:sz w:val="20"/>
        </w:rPr>
        <w:t>-Application Monitoring-</w:t>
      </w:r>
    </w:p>
    <w:p w14:paraId="52890D0A" w14:textId="77777777" w:rsidR="00AF63BA" w:rsidRDefault="00AF63BA" w:rsidP="00AF63BA">
      <w:pPr>
        <w:pStyle w:val="BodyText"/>
        <w:spacing w:before="118"/>
        <w:ind w:left="284"/>
      </w:pPr>
      <w:r>
        <w:t>During the review of the applications, IDC staff first determines if the application meets the required eight threshold factors, which includes national objectives and eligible activities. If the application meets the eight threshold factors, further review of the application continues to determine if the project will meet the program goals and strategies, procurement rules, acquisition and relocation requirements, citizen participation, and an assessment of the</w:t>
      </w:r>
    </w:p>
    <w:p w14:paraId="6EC624C0" w14:textId="77777777" w:rsidR="00AF63BA" w:rsidRDefault="00AF63BA" w:rsidP="00C37B91">
      <w:pPr>
        <w:pStyle w:val="BodyText"/>
        <w:ind w:left="284"/>
      </w:pPr>
      <w:r>
        <w:t>environmental review requirements. Local governments’ accomplishments towards furthering fair housing and accessibility (504) standards are also reviewed.</w:t>
      </w:r>
    </w:p>
    <w:p w14:paraId="427CDE13" w14:textId="77777777" w:rsidR="00AF63BA" w:rsidRDefault="00AF63BA" w:rsidP="00AF63BA">
      <w:pPr>
        <w:pStyle w:val="BodyText"/>
        <w:spacing w:before="120"/>
        <w:ind w:left="284" w:right="907"/>
      </w:pPr>
      <w:r>
        <w:t>Generally, IDC conducts a monitoring of the environmental review conducted by the local government prior to execution of the IDC contract.</w:t>
      </w:r>
    </w:p>
    <w:p w14:paraId="4B605059" w14:textId="77777777" w:rsidR="00AF63BA" w:rsidRDefault="00AF63BA" w:rsidP="00AF63BA">
      <w:pPr>
        <w:pStyle w:val="BodyText"/>
        <w:spacing w:before="10"/>
        <w:rPr>
          <w:sz w:val="19"/>
        </w:rPr>
      </w:pPr>
    </w:p>
    <w:p w14:paraId="48F7512E" w14:textId="77777777" w:rsidR="00AF63BA" w:rsidRDefault="00AF63BA" w:rsidP="00AF63BA">
      <w:pPr>
        <w:spacing w:before="1"/>
        <w:ind w:left="284"/>
        <w:rPr>
          <w:b/>
          <w:sz w:val="20"/>
        </w:rPr>
      </w:pPr>
      <w:r>
        <w:rPr>
          <w:b/>
          <w:sz w:val="20"/>
        </w:rPr>
        <w:t>-Project Monitoring-</w:t>
      </w:r>
    </w:p>
    <w:p w14:paraId="52F22C4C" w14:textId="2490BA70" w:rsidR="00AF63BA" w:rsidRDefault="00AF63BA" w:rsidP="00AF63BA">
      <w:pPr>
        <w:pStyle w:val="BodyText"/>
        <w:spacing w:before="116"/>
        <w:ind w:left="284" w:right="173"/>
      </w:pPr>
      <w:r>
        <w:t>IDC conducts a risk assessment of each project, utilizing the department’s Determination of On-site Monitoring criteria to establish if the project will require on-site monitoring or if the desk monitoring process will suffice. IDC monitors all CDBG funded projects and reviews the Grantee’s financial audits. During the course of a project IDC, specialists are continually monitoring the following applicable project components:</w:t>
      </w:r>
    </w:p>
    <w:p w14:paraId="5F4D192D" w14:textId="77777777" w:rsidR="00090EFF" w:rsidRDefault="00090EFF" w:rsidP="00AF63BA">
      <w:pPr>
        <w:pStyle w:val="BodyText"/>
        <w:spacing w:before="116"/>
        <w:ind w:left="284" w:right="173"/>
      </w:pPr>
    </w:p>
    <w:tbl>
      <w:tblPr>
        <w:tblpPr w:leftFromText="180" w:rightFromText="180" w:vertAnchor="text" w:horzAnchor="margin"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gridCol w:w="2610"/>
        <w:gridCol w:w="3215"/>
      </w:tblGrid>
      <w:tr w:rsidR="00090EFF" w14:paraId="687881A9" w14:textId="77777777" w:rsidTr="00090EFF">
        <w:trPr>
          <w:trHeight w:val="371"/>
        </w:trPr>
        <w:tc>
          <w:tcPr>
            <w:tcW w:w="2905" w:type="dxa"/>
          </w:tcPr>
          <w:p w14:paraId="4002951C" w14:textId="77777777" w:rsidR="00090EFF" w:rsidRDefault="00090EFF" w:rsidP="00090EFF">
            <w:pPr>
              <w:pStyle w:val="TableParagraph"/>
              <w:spacing w:before="117" w:line="234" w:lineRule="exact"/>
              <w:ind w:left="251"/>
              <w:rPr>
                <w:rFonts w:ascii="Arial Narrow"/>
                <w:b/>
              </w:rPr>
            </w:pPr>
            <w:r>
              <w:rPr>
                <w:rFonts w:ascii="Arial Narrow"/>
                <w:b/>
              </w:rPr>
              <w:lastRenderedPageBreak/>
              <w:t>Financial Management</w:t>
            </w:r>
          </w:p>
        </w:tc>
        <w:tc>
          <w:tcPr>
            <w:tcW w:w="2610" w:type="dxa"/>
          </w:tcPr>
          <w:p w14:paraId="3E1F231F" w14:textId="77777777" w:rsidR="00090EFF" w:rsidRDefault="00090EFF" w:rsidP="00090EFF">
            <w:pPr>
              <w:pStyle w:val="TableParagraph"/>
              <w:spacing w:before="117" w:line="234" w:lineRule="exact"/>
              <w:ind w:left="251"/>
              <w:rPr>
                <w:rFonts w:ascii="Arial Narrow"/>
                <w:b/>
              </w:rPr>
            </w:pPr>
            <w:r>
              <w:rPr>
                <w:rFonts w:ascii="Arial Narrow"/>
                <w:b/>
              </w:rPr>
              <w:t>Procurement</w:t>
            </w:r>
          </w:p>
        </w:tc>
        <w:tc>
          <w:tcPr>
            <w:tcW w:w="3215" w:type="dxa"/>
          </w:tcPr>
          <w:p w14:paraId="4B932ED5" w14:textId="77777777" w:rsidR="00090EFF" w:rsidRDefault="00090EFF" w:rsidP="00090EFF">
            <w:pPr>
              <w:pStyle w:val="TableParagraph"/>
              <w:spacing w:before="117" w:line="234" w:lineRule="exact"/>
              <w:ind w:left="250"/>
              <w:rPr>
                <w:rFonts w:ascii="Arial Narrow"/>
                <w:b/>
              </w:rPr>
            </w:pPr>
            <w:r>
              <w:rPr>
                <w:rFonts w:ascii="Arial Narrow"/>
                <w:b/>
              </w:rPr>
              <w:t>Performance</w:t>
            </w:r>
          </w:p>
        </w:tc>
      </w:tr>
      <w:tr w:rsidR="00090EFF" w14:paraId="614FA905" w14:textId="77777777" w:rsidTr="00090EFF">
        <w:trPr>
          <w:trHeight w:val="374"/>
        </w:trPr>
        <w:tc>
          <w:tcPr>
            <w:tcW w:w="2905" w:type="dxa"/>
          </w:tcPr>
          <w:p w14:paraId="721319E4" w14:textId="77777777" w:rsidR="00090EFF" w:rsidRDefault="00090EFF" w:rsidP="00090EFF">
            <w:pPr>
              <w:pStyle w:val="TableParagraph"/>
              <w:spacing w:before="120" w:line="234" w:lineRule="exact"/>
              <w:ind w:left="251"/>
              <w:rPr>
                <w:rFonts w:ascii="Arial Narrow"/>
                <w:b/>
              </w:rPr>
            </w:pPr>
            <w:r>
              <w:rPr>
                <w:rFonts w:ascii="Arial Narrow"/>
                <w:b/>
              </w:rPr>
              <w:t>Environmental</w:t>
            </w:r>
          </w:p>
        </w:tc>
        <w:tc>
          <w:tcPr>
            <w:tcW w:w="2610" w:type="dxa"/>
          </w:tcPr>
          <w:p w14:paraId="61D53670" w14:textId="77777777" w:rsidR="00090EFF" w:rsidRDefault="00090EFF" w:rsidP="00090EFF">
            <w:pPr>
              <w:pStyle w:val="TableParagraph"/>
              <w:spacing w:before="120" w:line="234" w:lineRule="exact"/>
              <w:ind w:left="251"/>
              <w:rPr>
                <w:rFonts w:ascii="Arial Narrow"/>
                <w:b/>
              </w:rPr>
            </w:pPr>
            <w:r>
              <w:rPr>
                <w:rFonts w:ascii="Arial Narrow"/>
                <w:b/>
              </w:rPr>
              <w:t>Labor Standards</w:t>
            </w:r>
          </w:p>
        </w:tc>
        <w:tc>
          <w:tcPr>
            <w:tcW w:w="3215" w:type="dxa"/>
          </w:tcPr>
          <w:p w14:paraId="4B965535" w14:textId="77777777" w:rsidR="00090EFF" w:rsidRDefault="00090EFF" w:rsidP="00090EFF">
            <w:pPr>
              <w:pStyle w:val="TableParagraph"/>
              <w:spacing w:before="120" w:line="234" w:lineRule="exact"/>
              <w:ind w:left="250"/>
              <w:rPr>
                <w:rFonts w:ascii="Arial Narrow"/>
                <w:b/>
              </w:rPr>
            </w:pPr>
            <w:r>
              <w:rPr>
                <w:rFonts w:ascii="Arial Narrow"/>
                <w:b/>
              </w:rPr>
              <w:t>Acquisition &amp; Relocation</w:t>
            </w:r>
          </w:p>
        </w:tc>
      </w:tr>
      <w:tr w:rsidR="00090EFF" w14:paraId="5FDAF829" w14:textId="77777777" w:rsidTr="00090EFF">
        <w:trPr>
          <w:trHeight w:val="371"/>
        </w:trPr>
        <w:tc>
          <w:tcPr>
            <w:tcW w:w="2905" w:type="dxa"/>
          </w:tcPr>
          <w:p w14:paraId="48140BB1" w14:textId="77777777" w:rsidR="00090EFF" w:rsidRDefault="00090EFF" w:rsidP="00090EFF">
            <w:pPr>
              <w:pStyle w:val="TableParagraph"/>
              <w:spacing w:before="117" w:line="234" w:lineRule="exact"/>
              <w:ind w:left="251"/>
              <w:rPr>
                <w:rFonts w:ascii="Arial Narrow"/>
                <w:b/>
              </w:rPr>
            </w:pPr>
            <w:r>
              <w:rPr>
                <w:rFonts w:ascii="Arial Narrow"/>
                <w:b/>
              </w:rPr>
              <w:t>Civil Rights</w:t>
            </w:r>
          </w:p>
        </w:tc>
        <w:tc>
          <w:tcPr>
            <w:tcW w:w="2610" w:type="dxa"/>
          </w:tcPr>
          <w:p w14:paraId="44116E33" w14:textId="77777777" w:rsidR="00090EFF" w:rsidRDefault="00090EFF" w:rsidP="00090EFF">
            <w:pPr>
              <w:pStyle w:val="TableParagraph"/>
              <w:spacing w:before="117" w:line="234" w:lineRule="exact"/>
              <w:ind w:left="251"/>
              <w:rPr>
                <w:rFonts w:ascii="Arial Narrow"/>
                <w:b/>
              </w:rPr>
            </w:pPr>
            <w:r>
              <w:rPr>
                <w:rFonts w:ascii="Arial Narrow"/>
                <w:b/>
              </w:rPr>
              <w:t>LEP</w:t>
            </w:r>
          </w:p>
        </w:tc>
        <w:tc>
          <w:tcPr>
            <w:tcW w:w="3215" w:type="dxa"/>
          </w:tcPr>
          <w:p w14:paraId="6BBD7FC1" w14:textId="77777777" w:rsidR="00090EFF" w:rsidRDefault="00090EFF" w:rsidP="00090EFF">
            <w:pPr>
              <w:pStyle w:val="TableParagraph"/>
              <w:spacing w:before="117" w:line="234" w:lineRule="exact"/>
              <w:ind w:left="250"/>
              <w:rPr>
                <w:rFonts w:ascii="Arial Narrow"/>
                <w:b/>
              </w:rPr>
            </w:pPr>
            <w:r>
              <w:rPr>
                <w:rFonts w:ascii="Arial Narrow"/>
                <w:b/>
              </w:rPr>
              <w:t>Citizen Participation</w:t>
            </w:r>
          </w:p>
        </w:tc>
      </w:tr>
      <w:tr w:rsidR="00090EFF" w14:paraId="366FD1F4" w14:textId="77777777" w:rsidTr="00090EFF">
        <w:trPr>
          <w:trHeight w:val="373"/>
        </w:trPr>
        <w:tc>
          <w:tcPr>
            <w:tcW w:w="2905" w:type="dxa"/>
          </w:tcPr>
          <w:p w14:paraId="6E6F3035" w14:textId="77777777" w:rsidR="00090EFF" w:rsidRDefault="00090EFF" w:rsidP="00090EFF">
            <w:pPr>
              <w:pStyle w:val="TableParagraph"/>
              <w:spacing w:before="117" w:line="236" w:lineRule="exact"/>
              <w:ind w:left="251"/>
              <w:rPr>
                <w:rFonts w:ascii="Arial Narrow"/>
                <w:b/>
              </w:rPr>
            </w:pPr>
            <w:r>
              <w:rPr>
                <w:rFonts w:ascii="Arial Narrow"/>
                <w:b/>
              </w:rPr>
              <w:t>504 Standards</w:t>
            </w:r>
          </w:p>
        </w:tc>
        <w:tc>
          <w:tcPr>
            <w:tcW w:w="2610" w:type="dxa"/>
          </w:tcPr>
          <w:p w14:paraId="3A995000" w14:textId="77777777" w:rsidR="00090EFF" w:rsidRDefault="00090EFF" w:rsidP="00090EFF">
            <w:pPr>
              <w:pStyle w:val="TableParagraph"/>
              <w:spacing w:before="117" w:line="236" w:lineRule="exact"/>
              <w:ind w:left="251"/>
              <w:rPr>
                <w:rFonts w:ascii="Arial Narrow"/>
                <w:b/>
              </w:rPr>
            </w:pPr>
            <w:r>
              <w:rPr>
                <w:rFonts w:ascii="Arial Narrow"/>
                <w:b/>
              </w:rPr>
              <w:t>Fair Housing</w:t>
            </w:r>
          </w:p>
        </w:tc>
        <w:tc>
          <w:tcPr>
            <w:tcW w:w="3215" w:type="dxa"/>
          </w:tcPr>
          <w:p w14:paraId="269ED576" w14:textId="77777777" w:rsidR="00090EFF" w:rsidRDefault="00090EFF" w:rsidP="00090EFF">
            <w:pPr>
              <w:pStyle w:val="TableParagraph"/>
              <w:spacing w:before="0" w:line="240" w:lineRule="auto"/>
              <w:rPr>
                <w:rFonts w:ascii="Times New Roman"/>
                <w:sz w:val="20"/>
              </w:rPr>
            </w:pPr>
          </w:p>
        </w:tc>
      </w:tr>
    </w:tbl>
    <w:p w14:paraId="2F9A509A" w14:textId="77777777" w:rsidR="00AF63BA" w:rsidRDefault="00AF63BA" w:rsidP="00AF63BA">
      <w:pPr>
        <w:pStyle w:val="BodyText"/>
        <w:spacing w:before="11"/>
        <w:rPr>
          <w:sz w:val="9"/>
        </w:rPr>
      </w:pPr>
    </w:p>
    <w:p w14:paraId="4BA21872" w14:textId="77777777" w:rsidR="00090EFF" w:rsidRDefault="00090EFF" w:rsidP="00AF63BA">
      <w:pPr>
        <w:pStyle w:val="BodyText"/>
        <w:ind w:left="284" w:right="493"/>
      </w:pPr>
    </w:p>
    <w:p w14:paraId="2EEC2B41" w14:textId="79945C33" w:rsidR="00AF63BA" w:rsidRDefault="00AF63BA" w:rsidP="00AF63BA">
      <w:pPr>
        <w:pStyle w:val="BodyText"/>
        <w:ind w:left="284" w:right="493"/>
      </w:pPr>
      <w:r>
        <w:t>IDC continues to update its project-monitoring guide, which must be completed by a staff project specialist prior to closeout. IDC specialists approve every CDBG request for payment. Requests for payment are required to be supported by an invoice and executed contract. IDC has an established process of receiving and reviewing a local government’s independent financial audit for any open project or project closed out within one year. The audit is</w:t>
      </w:r>
    </w:p>
    <w:p w14:paraId="3544255F" w14:textId="77777777" w:rsidR="00AF63BA" w:rsidRDefault="00AF63BA" w:rsidP="00AF63BA">
      <w:pPr>
        <w:pStyle w:val="BodyText"/>
        <w:ind w:left="284" w:right="184"/>
      </w:pPr>
      <w:r>
        <w:t>reviewed by IDC to determine if there are any findings and if so do they affect the CDBG funds. IDC has also implemented an audit checklist to help ensure a grantee's compliance with 2 CFR Part 200.501 Audit Requirements.</w:t>
      </w:r>
    </w:p>
    <w:p w14:paraId="125A6F4D" w14:textId="77777777" w:rsidR="00AF63BA" w:rsidRDefault="00AF63BA" w:rsidP="00AF63BA">
      <w:pPr>
        <w:pStyle w:val="BodyText"/>
        <w:rPr>
          <w:sz w:val="19"/>
        </w:rPr>
      </w:pPr>
    </w:p>
    <w:p w14:paraId="326CA2E2" w14:textId="77777777" w:rsidR="00AF63BA" w:rsidRDefault="00AF63BA" w:rsidP="00AF63BA">
      <w:pPr>
        <w:ind w:left="284"/>
        <w:rPr>
          <w:b/>
          <w:sz w:val="20"/>
        </w:rPr>
      </w:pPr>
      <w:r>
        <w:rPr>
          <w:b/>
          <w:sz w:val="20"/>
        </w:rPr>
        <w:t>-On-Site Monitoring-</w:t>
      </w:r>
    </w:p>
    <w:p w14:paraId="0CB17DA3" w14:textId="523F53FA" w:rsidR="00AF63BA" w:rsidRDefault="00586CC8" w:rsidP="00E021AC">
      <w:pPr>
        <w:pStyle w:val="BodyText"/>
        <w:spacing w:before="116"/>
        <w:ind w:left="284"/>
      </w:pPr>
      <w:r>
        <w:t>IDC will try to visit all CDBG funded projects at least once during construction</w:t>
      </w:r>
      <w:r w:rsidR="00E021AC">
        <w:t xml:space="preserve">, to conduct site observation. </w:t>
      </w:r>
      <w:r>
        <w:t xml:space="preserve"> </w:t>
      </w:r>
      <w:r w:rsidR="00E021AC">
        <w:t xml:space="preserve">IDC based on a risk analysis will conduct onsite fiscal monitoring of at least 20% of the CDBG funded projects for each program year.  </w:t>
      </w:r>
    </w:p>
    <w:p w14:paraId="102D9F46" w14:textId="77777777" w:rsidR="00AF63BA" w:rsidRDefault="00AF63BA" w:rsidP="00AF63BA">
      <w:pPr>
        <w:pStyle w:val="BodyText"/>
        <w:spacing w:before="11"/>
        <w:rPr>
          <w:sz w:val="19"/>
        </w:rPr>
      </w:pPr>
    </w:p>
    <w:p w14:paraId="4143F7BA" w14:textId="77777777" w:rsidR="00AF63BA" w:rsidRDefault="00AF63BA" w:rsidP="00AF63BA">
      <w:pPr>
        <w:ind w:left="284"/>
        <w:rPr>
          <w:b/>
          <w:sz w:val="20"/>
        </w:rPr>
      </w:pPr>
      <w:r>
        <w:rPr>
          <w:b/>
          <w:sz w:val="20"/>
        </w:rPr>
        <w:t>-Women/Minority Business Enterprises Outreach-</w:t>
      </w:r>
    </w:p>
    <w:p w14:paraId="6783765B" w14:textId="77777777" w:rsidR="00AF63BA" w:rsidRDefault="00AF63BA" w:rsidP="00AF63BA">
      <w:pPr>
        <w:pStyle w:val="BodyText"/>
        <w:spacing w:before="119"/>
        <w:ind w:left="284" w:right="648"/>
      </w:pPr>
      <w:r>
        <w:t>ICDBG funded grantees and their sub-recipient, contractors or businesses must make a good faith effort to award contracts to Section 3 business concerns and utilize Section 3 area residents as trainees and employees.</w:t>
      </w:r>
    </w:p>
    <w:p w14:paraId="39606E74" w14:textId="77777777" w:rsidR="00AF63BA" w:rsidRDefault="00AF63BA" w:rsidP="00AF63BA">
      <w:pPr>
        <w:pStyle w:val="BodyText"/>
        <w:spacing w:before="120"/>
        <w:ind w:left="284" w:right="126"/>
      </w:pPr>
      <w:r>
        <w:t>IDC advertises ICDBG funded projects through the Idaho Small Business and Development Center, Idaho’s Procurement Technical Assistance Center and Disadvantage Business Enterprises to ensure professional and construction services on CDBG funded projects are directly solicited to Disadvantaged and Women Business Enterprises, HUB Zone businesses, SBA Section 8(a) businesses, disabled veteran owned businesses, veteran- owned businesses, and minority-owned businesses.</w:t>
      </w:r>
    </w:p>
    <w:p w14:paraId="437A3979" w14:textId="77777777" w:rsidR="00AF63BA" w:rsidRDefault="00AF63BA" w:rsidP="0071142E"/>
    <w:p w14:paraId="4C727704" w14:textId="77777777" w:rsidR="00AF63BA" w:rsidRDefault="00AF63BA" w:rsidP="0071142E"/>
    <w:p w14:paraId="5E4CA1C7" w14:textId="46613E3B" w:rsidR="00AF63BA" w:rsidRPr="00AF63BA" w:rsidRDefault="00AF63BA" w:rsidP="0071142E">
      <w:pPr>
        <w:rPr>
          <w:color w:val="FF0000"/>
        </w:rPr>
      </w:pPr>
      <w:r>
        <w:rPr>
          <w:color w:val="FF0000"/>
        </w:rPr>
        <w:t>Insert PR 28 Report Commerce 201</w:t>
      </w:r>
      <w:r w:rsidR="00C65E2D">
        <w:rPr>
          <w:color w:val="FF0000"/>
        </w:rPr>
        <w:t>6</w:t>
      </w:r>
      <w:r>
        <w:rPr>
          <w:color w:val="FF0000"/>
        </w:rPr>
        <w:t>-20</w:t>
      </w:r>
      <w:r w:rsidR="009D128F">
        <w:rPr>
          <w:color w:val="FF0000"/>
        </w:rPr>
        <w:t>2</w:t>
      </w:r>
      <w:r w:rsidR="00CE342E">
        <w:rPr>
          <w:color w:val="FF0000"/>
        </w:rPr>
        <w:t>4</w:t>
      </w:r>
      <w:r>
        <w:rPr>
          <w:color w:val="FF0000"/>
        </w:rPr>
        <w:t>.</w:t>
      </w:r>
    </w:p>
    <w:sectPr w:rsidR="00AF63BA" w:rsidRPr="00AF63BA" w:rsidSect="00D42A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0019" w14:textId="77777777" w:rsidR="009E6D9A" w:rsidRDefault="009E6D9A">
      <w:pPr>
        <w:spacing w:after="0" w:line="240" w:lineRule="auto"/>
      </w:pPr>
      <w:r>
        <w:separator/>
      </w:r>
    </w:p>
  </w:endnote>
  <w:endnote w:type="continuationSeparator" w:id="0">
    <w:p w14:paraId="5C566539" w14:textId="77777777" w:rsidR="009E6D9A" w:rsidRDefault="009E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AD83" w14:textId="77777777" w:rsidR="00E25D73" w:rsidRDefault="00E25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E010" w14:textId="77777777" w:rsidR="00E25D73" w:rsidRDefault="00E25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136E" w14:textId="77777777" w:rsidR="00E25D73" w:rsidRDefault="00E2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B9A4" w14:textId="77777777" w:rsidR="009E6D9A" w:rsidRDefault="009E6D9A">
      <w:pPr>
        <w:spacing w:after="0" w:line="240" w:lineRule="auto"/>
      </w:pPr>
      <w:r>
        <w:separator/>
      </w:r>
    </w:p>
  </w:footnote>
  <w:footnote w:type="continuationSeparator" w:id="0">
    <w:p w14:paraId="3E4D85C3" w14:textId="77777777" w:rsidR="009E6D9A" w:rsidRDefault="009E6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E448" w14:textId="77777777" w:rsidR="00E25D73" w:rsidRDefault="00E25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F6D2" w14:textId="77777777" w:rsidR="00E25D73" w:rsidRDefault="00E25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8F5" w14:textId="77777777" w:rsidR="00E25D73" w:rsidRDefault="00E25D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E359" w14:textId="77777777" w:rsidR="00AF63BA" w:rsidRDefault="00F5280C">
    <w:pPr>
      <w:pStyle w:val="BodyText"/>
      <w:spacing w:line="14" w:lineRule="auto"/>
      <w:rPr>
        <w:sz w:val="20"/>
      </w:rPr>
    </w:pPr>
    <w:r>
      <w:pict w14:anchorId="061623F4">
        <v:group id="_x0000_s2049" style="position:absolute;margin-left:1in;margin-top:51.6pt;width:648.1pt;height:1.6pt;z-index:-251657216;mso-position-horizontal-relative:page;mso-position-vertical-relative:page" coordorigin="1440,1032" coordsize="12962,32">
          <v:line id="_x0000_s2050" style="position:absolute" from="1440,1047" to="14400,1047" strokecolor="#9f9f9f" strokeweight="1.55pt"/>
          <v:rect id="_x0000_s2051" style="position:absolute;left:1440;top:1032;width:5;height:5" fillcolor="#9f9f9f" stroked="f"/>
          <v:line id="_x0000_s2052" style="position:absolute" from="1445,1034" to="14397,1034" strokecolor="#9f9f9f" strokeweight=".24pt"/>
          <v:rect id="_x0000_s2053" style="position:absolute;left:14397;top:1032;width:5;height:5" fillcolor="#e2e2e2" stroked="f"/>
          <v:shape id="_x0000_s2054" style="position:absolute;left:1440;top:1032;width:12962;height:27" coordorigin="1440,1032" coordsize="12962,27" o:spt="100" adj="0,,0" path="m1445,1037r-5,l1440,1058r5,l1445,1037t12957,-5l14397,1032r,5l14402,1037r,-5e" fillcolor="#9f9f9f" stroked="f">
            <v:stroke joinstyle="round"/>
            <v:formulas/>
            <v:path arrowok="t" o:connecttype="segments"/>
          </v:shape>
          <v:rect id="_x0000_s2055" style="position:absolute;left:14397;top:1036;width:5;height:22" fillcolor="#e2e2e2" stroked="f"/>
          <v:rect id="_x0000_s2056" style="position:absolute;left:1440;top:1058;width:5;height:5" fillcolor="#9f9f9f" stroked="f"/>
          <v:rect id="_x0000_s2057" style="position:absolute;left:1440;top:1058;width:5;height:5" fillcolor="#e2e2e2" stroked="f"/>
          <v:line id="_x0000_s2058" style="position:absolute" from="1445,1061" to="14397,1061" strokecolor="#e2e2e2" strokeweight=".24pt"/>
          <v:rect id="_x0000_s2059" style="position:absolute;left:14397;top:1058;width:5;height:5" fillcolor="#e2e2e2" stroked="f"/>
          <w10:wrap anchorx="page" anchory="page"/>
        </v:group>
      </w:pict>
    </w:r>
    <w:r>
      <w:pict w14:anchorId="1A6DEBAF">
        <v:shapetype id="_x0000_t202" coordsize="21600,21600" o:spt="202" path="m,l,21600r21600,l21600,xe">
          <v:stroke joinstyle="miter"/>
          <v:path gradientshapeok="t" o:connecttype="rect"/>
        </v:shapetype>
        <v:shape id="_x0000_s2060" type="#_x0000_t202" style="position:absolute;margin-left:71pt;margin-top:29.95pt;width:220.5pt;height:13.05pt;z-index:-251656192;mso-position-horizontal-relative:page;mso-position-vertical-relative:page" filled="f" stroked="f">
          <v:textbox style="mso-next-textbox:#_x0000_s2060" inset="0,0,0,0">
            <w:txbxContent>
              <w:p w14:paraId="05F75A37" w14:textId="4AD05C1E" w:rsidR="00AF63BA" w:rsidRDefault="00AF63BA">
                <w:pPr>
                  <w:spacing w:line="245" w:lineRule="exact"/>
                  <w:ind w:left="20"/>
                  <w:rPr>
                    <w:b/>
                  </w:rPr>
                </w:pPr>
                <w:r>
                  <w:rPr>
                    <w:b/>
                  </w:rPr>
                  <w:t>State of Idaho 20</w:t>
                </w:r>
                <w:r w:rsidR="00CB77BF">
                  <w:rPr>
                    <w:b/>
                  </w:rPr>
                  <w:t>2</w:t>
                </w:r>
                <w:r w:rsidR="00E25D73">
                  <w:rPr>
                    <w:b/>
                  </w:rPr>
                  <w:t>4</w:t>
                </w:r>
                <w:r>
                  <w:rPr>
                    <w:b/>
                  </w:rPr>
                  <w:t xml:space="preserve"> CAPER - Unique Appendices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609"/>
    <w:multiLevelType w:val="hybridMultilevel"/>
    <w:tmpl w:val="F3EEB2AC"/>
    <w:lvl w:ilvl="0" w:tplc="E626DE48">
      <w:start w:val="1"/>
      <w:numFmt w:val="decimal"/>
      <w:lvlText w:val="%1."/>
      <w:lvlJc w:val="left"/>
      <w:pPr>
        <w:ind w:left="107" w:hanging="219"/>
      </w:pPr>
      <w:rPr>
        <w:rFonts w:ascii="Calibri" w:eastAsia="Calibri" w:hAnsi="Calibri" w:cs="Calibri" w:hint="default"/>
        <w:w w:val="100"/>
        <w:sz w:val="22"/>
        <w:szCs w:val="22"/>
      </w:rPr>
    </w:lvl>
    <w:lvl w:ilvl="1" w:tplc="0B4A6C06">
      <w:numFmt w:val="bullet"/>
      <w:lvlText w:val="•"/>
      <w:lvlJc w:val="left"/>
      <w:pPr>
        <w:ind w:left="366" w:hanging="219"/>
      </w:pPr>
      <w:rPr>
        <w:rFonts w:hint="default"/>
      </w:rPr>
    </w:lvl>
    <w:lvl w:ilvl="2" w:tplc="9742394E">
      <w:numFmt w:val="bullet"/>
      <w:lvlText w:val="•"/>
      <w:lvlJc w:val="left"/>
      <w:pPr>
        <w:ind w:left="632" w:hanging="219"/>
      </w:pPr>
      <w:rPr>
        <w:rFonts w:hint="default"/>
      </w:rPr>
    </w:lvl>
    <w:lvl w:ilvl="3" w:tplc="BE52F5F6">
      <w:numFmt w:val="bullet"/>
      <w:lvlText w:val="•"/>
      <w:lvlJc w:val="left"/>
      <w:pPr>
        <w:ind w:left="898" w:hanging="219"/>
      </w:pPr>
      <w:rPr>
        <w:rFonts w:hint="default"/>
      </w:rPr>
    </w:lvl>
    <w:lvl w:ilvl="4" w:tplc="A60A71D8">
      <w:numFmt w:val="bullet"/>
      <w:lvlText w:val="•"/>
      <w:lvlJc w:val="left"/>
      <w:pPr>
        <w:ind w:left="1165" w:hanging="219"/>
      </w:pPr>
      <w:rPr>
        <w:rFonts w:hint="default"/>
      </w:rPr>
    </w:lvl>
    <w:lvl w:ilvl="5" w:tplc="DE3ADF46">
      <w:numFmt w:val="bullet"/>
      <w:lvlText w:val="•"/>
      <w:lvlJc w:val="left"/>
      <w:pPr>
        <w:ind w:left="1431" w:hanging="219"/>
      </w:pPr>
      <w:rPr>
        <w:rFonts w:hint="default"/>
      </w:rPr>
    </w:lvl>
    <w:lvl w:ilvl="6" w:tplc="3DCC314E">
      <w:numFmt w:val="bullet"/>
      <w:lvlText w:val="•"/>
      <w:lvlJc w:val="left"/>
      <w:pPr>
        <w:ind w:left="1697" w:hanging="219"/>
      </w:pPr>
      <w:rPr>
        <w:rFonts w:hint="default"/>
      </w:rPr>
    </w:lvl>
    <w:lvl w:ilvl="7" w:tplc="DCBCB75C">
      <w:numFmt w:val="bullet"/>
      <w:lvlText w:val="•"/>
      <w:lvlJc w:val="left"/>
      <w:pPr>
        <w:ind w:left="1964" w:hanging="219"/>
      </w:pPr>
      <w:rPr>
        <w:rFonts w:hint="default"/>
      </w:rPr>
    </w:lvl>
    <w:lvl w:ilvl="8" w:tplc="C86A3C6A">
      <w:numFmt w:val="bullet"/>
      <w:lvlText w:val="•"/>
      <w:lvlJc w:val="left"/>
      <w:pPr>
        <w:ind w:left="2230" w:hanging="219"/>
      </w:pPr>
      <w:rPr>
        <w:rFonts w:hint="default"/>
      </w:rPr>
    </w:lvl>
  </w:abstractNum>
  <w:abstractNum w:abstractNumId="1" w15:restartNumberingAfterBreak="0">
    <w:nsid w:val="0B696030"/>
    <w:multiLevelType w:val="hybridMultilevel"/>
    <w:tmpl w:val="A13045C4"/>
    <w:lvl w:ilvl="0" w:tplc="D090E29E">
      <w:start w:val="1"/>
      <w:numFmt w:val="lowerLetter"/>
      <w:lvlText w:val="%1."/>
      <w:lvlJc w:val="left"/>
      <w:pPr>
        <w:ind w:left="286" w:hanging="212"/>
      </w:pPr>
      <w:rPr>
        <w:rFonts w:ascii="Calibri" w:eastAsia="Calibri" w:hAnsi="Calibri" w:cs="Calibri" w:hint="default"/>
        <w:w w:val="100"/>
        <w:sz w:val="22"/>
        <w:szCs w:val="22"/>
      </w:rPr>
    </w:lvl>
    <w:lvl w:ilvl="1" w:tplc="41CA614E">
      <w:numFmt w:val="bullet"/>
      <w:lvlText w:val="•"/>
      <w:lvlJc w:val="left"/>
      <w:pPr>
        <w:ind w:left="614" w:hanging="212"/>
      </w:pPr>
      <w:rPr>
        <w:rFonts w:hint="default"/>
      </w:rPr>
    </w:lvl>
    <w:lvl w:ilvl="2" w:tplc="73FAD78C">
      <w:numFmt w:val="bullet"/>
      <w:lvlText w:val="•"/>
      <w:lvlJc w:val="left"/>
      <w:pPr>
        <w:ind w:left="949" w:hanging="212"/>
      </w:pPr>
      <w:rPr>
        <w:rFonts w:hint="default"/>
      </w:rPr>
    </w:lvl>
    <w:lvl w:ilvl="3" w:tplc="A8DC7996">
      <w:numFmt w:val="bullet"/>
      <w:lvlText w:val="•"/>
      <w:lvlJc w:val="left"/>
      <w:pPr>
        <w:ind w:left="1283" w:hanging="212"/>
      </w:pPr>
      <w:rPr>
        <w:rFonts w:hint="default"/>
      </w:rPr>
    </w:lvl>
    <w:lvl w:ilvl="4" w:tplc="FE6621CC">
      <w:numFmt w:val="bullet"/>
      <w:lvlText w:val="•"/>
      <w:lvlJc w:val="left"/>
      <w:pPr>
        <w:ind w:left="1618" w:hanging="212"/>
      </w:pPr>
      <w:rPr>
        <w:rFonts w:hint="default"/>
      </w:rPr>
    </w:lvl>
    <w:lvl w:ilvl="5" w:tplc="FFE6ABFA">
      <w:numFmt w:val="bullet"/>
      <w:lvlText w:val="•"/>
      <w:lvlJc w:val="left"/>
      <w:pPr>
        <w:ind w:left="1952" w:hanging="212"/>
      </w:pPr>
      <w:rPr>
        <w:rFonts w:hint="default"/>
      </w:rPr>
    </w:lvl>
    <w:lvl w:ilvl="6" w:tplc="22BE25EE">
      <w:numFmt w:val="bullet"/>
      <w:lvlText w:val="•"/>
      <w:lvlJc w:val="left"/>
      <w:pPr>
        <w:ind w:left="2287" w:hanging="212"/>
      </w:pPr>
      <w:rPr>
        <w:rFonts w:hint="default"/>
      </w:rPr>
    </w:lvl>
    <w:lvl w:ilvl="7" w:tplc="9CA84CCC">
      <w:numFmt w:val="bullet"/>
      <w:lvlText w:val="•"/>
      <w:lvlJc w:val="left"/>
      <w:pPr>
        <w:ind w:left="2621" w:hanging="212"/>
      </w:pPr>
      <w:rPr>
        <w:rFonts w:hint="default"/>
      </w:rPr>
    </w:lvl>
    <w:lvl w:ilvl="8" w:tplc="9A927AFA">
      <w:numFmt w:val="bullet"/>
      <w:lvlText w:val="•"/>
      <w:lvlJc w:val="left"/>
      <w:pPr>
        <w:ind w:left="2956" w:hanging="212"/>
      </w:pPr>
      <w:rPr>
        <w:rFonts w:hint="default"/>
      </w:rPr>
    </w:lvl>
  </w:abstractNum>
  <w:abstractNum w:abstractNumId="2" w15:restartNumberingAfterBreak="0">
    <w:nsid w:val="0F8A5303"/>
    <w:multiLevelType w:val="hybridMultilevel"/>
    <w:tmpl w:val="A9907A08"/>
    <w:lvl w:ilvl="0" w:tplc="E126F36C">
      <w:start w:val="1"/>
      <w:numFmt w:val="decimal"/>
      <w:lvlText w:val="%1."/>
      <w:lvlJc w:val="left"/>
      <w:pPr>
        <w:ind w:left="106" w:hanging="219"/>
      </w:pPr>
      <w:rPr>
        <w:rFonts w:ascii="Calibri" w:eastAsia="Calibri" w:hAnsi="Calibri" w:cs="Calibri" w:hint="default"/>
        <w:w w:val="100"/>
        <w:sz w:val="22"/>
        <w:szCs w:val="22"/>
      </w:rPr>
    </w:lvl>
    <w:lvl w:ilvl="1" w:tplc="18B094D4">
      <w:numFmt w:val="bullet"/>
      <w:lvlText w:val="•"/>
      <w:lvlJc w:val="left"/>
      <w:pPr>
        <w:ind w:left="452" w:hanging="219"/>
      </w:pPr>
      <w:rPr>
        <w:rFonts w:hint="default"/>
      </w:rPr>
    </w:lvl>
    <w:lvl w:ilvl="2" w:tplc="F42CCC48">
      <w:numFmt w:val="bullet"/>
      <w:lvlText w:val="•"/>
      <w:lvlJc w:val="left"/>
      <w:pPr>
        <w:ind w:left="805" w:hanging="219"/>
      </w:pPr>
      <w:rPr>
        <w:rFonts w:hint="default"/>
      </w:rPr>
    </w:lvl>
    <w:lvl w:ilvl="3" w:tplc="6706D900">
      <w:numFmt w:val="bullet"/>
      <w:lvlText w:val="•"/>
      <w:lvlJc w:val="left"/>
      <w:pPr>
        <w:ind w:left="1157" w:hanging="219"/>
      </w:pPr>
      <w:rPr>
        <w:rFonts w:hint="default"/>
      </w:rPr>
    </w:lvl>
    <w:lvl w:ilvl="4" w:tplc="6AF21C4C">
      <w:numFmt w:val="bullet"/>
      <w:lvlText w:val="•"/>
      <w:lvlJc w:val="left"/>
      <w:pPr>
        <w:ind w:left="1510" w:hanging="219"/>
      </w:pPr>
      <w:rPr>
        <w:rFonts w:hint="default"/>
      </w:rPr>
    </w:lvl>
    <w:lvl w:ilvl="5" w:tplc="E294FC80">
      <w:numFmt w:val="bullet"/>
      <w:lvlText w:val="•"/>
      <w:lvlJc w:val="left"/>
      <w:pPr>
        <w:ind w:left="1862" w:hanging="219"/>
      </w:pPr>
      <w:rPr>
        <w:rFonts w:hint="default"/>
      </w:rPr>
    </w:lvl>
    <w:lvl w:ilvl="6" w:tplc="5720E1AA">
      <w:numFmt w:val="bullet"/>
      <w:lvlText w:val="•"/>
      <w:lvlJc w:val="left"/>
      <w:pPr>
        <w:ind w:left="2215" w:hanging="219"/>
      </w:pPr>
      <w:rPr>
        <w:rFonts w:hint="default"/>
      </w:rPr>
    </w:lvl>
    <w:lvl w:ilvl="7" w:tplc="E5BE29D6">
      <w:numFmt w:val="bullet"/>
      <w:lvlText w:val="•"/>
      <w:lvlJc w:val="left"/>
      <w:pPr>
        <w:ind w:left="2567" w:hanging="219"/>
      </w:pPr>
      <w:rPr>
        <w:rFonts w:hint="default"/>
      </w:rPr>
    </w:lvl>
    <w:lvl w:ilvl="8" w:tplc="53847008">
      <w:numFmt w:val="bullet"/>
      <w:lvlText w:val="•"/>
      <w:lvlJc w:val="left"/>
      <w:pPr>
        <w:ind w:left="2920" w:hanging="219"/>
      </w:pPr>
      <w:rPr>
        <w:rFonts w:hint="default"/>
      </w:rPr>
    </w:lvl>
  </w:abstractNum>
  <w:abstractNum w:abstractNumId="3" w15:restartNumberingAfterBreak="0">
    <w:nsid w:val="11D2507B"/>
    <w:multiLevelType w:val="hybridMultilevel"/>
    <w:tmpl w:val="A762DAF6"/>
    <w:lvl w:ilvl="0" w:tplc="9C3E7F1E">
      <w:start w:val="1"/>
      <w:numFmt w:val="decimal"/>
      <w:lvlText w:val="%1."/>
      <w:lvlJc w:val="left"/>
      <w:pPr>
        <w:ind w:left="107" w:hanging="219"/>
      </w:pPr>
      <w:rPr>
        <w:rFonts w:ascii="Calibri" w:eastAsia="Calibri" w:hAnsi="Calibri" w:cs="Calibri" w:hint="default"/>
        <w:w w:val="100"/>
        <w:sz w:val="22"/>
        <w:szCs w:val="22"/>
      </w:rPr>
    </w:lvl>
    <w:lvl w:ilvl="1" w:tplc="11BE2B16">
      <w:numFmt w:val="bullet"/>
      <w:lvlText w:val="•"/>
      <w:lvlJc w:val="left"/>
      <w:pPr>
        <w:ind w:left="407" w:hanging="219"/>
      </w:pPr>
      <w:rPr>
        <w:rFonts w:hint="default"/>
      </w:rPr>
    </w:lvl>
    <w:lvl w:ilvl="2" w:tplc="77CA1884">
      <w:numFmt w:val="bullet"/>
      <w:lvlText w:val="•"/>
      <w:lvlJc w:val="left"/>
      <w:pPr>
        <w:ind w:left="715" w:hanging="219"/>
      </w:pPr>
      <w:rPr>
        <w:rFonts w:hint="default"/>
      </w:rPr>
    </w:lvl>
    <w:lvl w:ilvl="3" w:tplc="FC0E3AFE">
      <w:numFmt w:val="bullet"/>
      <w:lvlText w:val="•"/>
      <w:lvlJc w:val="left"/>
      <w:pPr>
        <w:ind w:left="1023" w:hanging="219"/>
      </w:pPr>
      <w:rPr>
        <w:rFonts w:hint="default"/>
      </w:rPr>
    </w:lvl>
    <w:lvl w:ilvl="4" w:tplc="B1B63A36">
      <w:numFmt w:val="bullet"/>
      <w:lvlText w:val="•"/>
      <w:lvlJc w:val="left"/>
      <w:pPr>
        <w:ind w:left="1331" w:hanging="219"/>
      </w:pPr>
      <w:rPr>
        <w:rFonts w:hint="default"/>
      </w:rPr>
    </w:lvl>
    <w:lvl w:ilvl="5" w:tplc="8B060A02">
      <w:numFmt w:val="bullet"/>
      <w:lvlText w:val="•"/>
      <w:lvlJc w:val="left"/>
      <w:pPr>
        <w:ind w:left="1639" w:hanging="219"/>
      </w:pPr>
      <w:rPr>
        <w:rFonts w:hint="default"/>
      </w:rPr>
    </w:lvl>
    <w:lvl w:ilvl="6" w:tplc="6C2A11DC">
      <w:numFmt w:val="bullet"/>
      <w:lvlText w:val="•"/>
      <w:lvlJc w:val="left"/>
      <w:pPr>
        <w:ind w:left="1946" w:hanging="219"/>
      </w:pPr>
      <w:rPr>
        <w:rFonts w:hint="default"/>
      </w:rPr>
    </w:lvl>
    <w:lvl w:ilvl="7" w:tplc="799CD374">
      <w:numFmt w:val="bullet"/>
      <w:lvlText w:val="•"/>
      <w:lvlJc w:val="left"/>
      <w:pPr>
        <w:ind w:left="2254" w:hanging="219"/>
      </w:pPr>
      <w:rPr>
        <w:rFonts w:hint="default"/>
      </w:rPr>
    </w:lvl>
    <w:lvl w:ilvl="8" w:tplc="9D7E9C6E">
      <w:numFmt w:val="bullet"/>
      <w:lvlText w:val="•"/>
      <w:lvlJc w:val="left"/>
      <w:pPr>
        <w:ind w:left="2562" w:hanging="219"/>
      </w:pPr>
      <w:rPr>
        <w:rFonts w:hint="default"/>
      </w:rPr>
    </w:lvl>
  </w:abstractNum>
  <w:abstractNum w:abstractNumId="4" w15:restartNumberingAfterBreak="0">
    <w:nsid w:val="11DF3A29"/>
    <w:multiLevelType w:val="hybridMultilevel"/>
    <w:tmpl w:val="FA4A94CC"/>
    <w:lvl w:ilvl="0" w:tplc="C9FE9552">
      <w:start w:val="1"/>
      <w:numFmt w:val="decimal"/>
      <w:lvlText w:val="%1."/>
      <w:lvlJc w:val="left"/>
      <w:pPr>
        <w:ind w:left="107" w:hanging="219"/>
      </w:pPr>
      <w:rPr>
        <w:rFonts w:ascii="Calibri" w:eastAsia="Calibri" w:hAnsi="Calibri" w:cs="Calibri" w:hint="default"/>
        <w:w w:val="100"/>
        <w:sz w:val="22"/>
        <w:szCs w:val="22"/>
      </w:rPr>
    </w:lvl>
    <w:lvl w:ilvl="1" w:tplc="EFC85B52">
      <w:numFmt w:val="bullet"/>
      <w:lvlText w:val="•"/>
      <w:lvlJc w:val="left"/>
      <w:pPr>
        <w:ind w:left="366" w:hanging="219"/>
      </w:pPr>
      <w:rPr>
        <w:rFonts w:hint="default"/>
      </w:rPr>
    </w:lvl>
    <w:lvl w:ilvl="2" w:tplc="B50AEF2A">
      <w:numFmt w:val="bullet"/>
      <w:lvlText w:val="•"/>
      <w:lvlJc w:val="left"/>
      <w:pPr>
        <w:ind w:left="632" w:hanging="219"/>
      </w:pPr>
      <w:rPr>
        <w:rFonts w:hint="default"/>
      </w:rPr>
    </w:lvl>
    <w:lvl w:ilvl="3" w:tplc="BD5867EE">
      <w:numFmt w:val="bullet"/>
      <w:lvlText w:val="•"/>
      <w:lvlJc w:val="left"/>
      <w:pPr>
        <w:ind w:left="898" w:hanging="219"/>
      </w:pPr>
      <w:rPr>
        <w:rFonts w:hint="default"/>
      </w:rPr>
    </w:lvl>
    <w:lvl w:ilvl="4" w:tplc="939A1298">
      <w:numFmt w:val="bullet"/>
      <w:lvlText w:val="•"/>
      <w:lvlJc w:val="left"/>
      <w:pPr>
        <w:ind w:left="1165" w:hanging="219"/>
      </w:pPr>
      <w:rPr>
        <w:rFonts w:hint="default"/>
      </w:rPr>
    </w:lvl>
    <w:lvl w:ilvl="5" w:tplc="A54A70B4">
      <w:numFmt w:val="bullet"/>
      <w:lvlText w:val="•"/>
      <w:lvlJc w:val="left"/>
      <w:pPr>
        <w:ind w:left="1431" w:hanging="219"/>
      </w:pPr>
      <w:rPr>
        <w:rFonts w:hint="default"/>
      </w:rPr>
    </w:lvl>
    <w:lvl w:ilvl="6" w:tplc="139226C6">
      <w:numFmt w:val="bullet"/>
      <w:lvlText w:val="•"/>
      <w:lvlJc w:val="left"/>
      <w:pPr>
        <w:ind w:left="1697" w:hanging="219"/>
      </w:pPr>
      <w:rPr>
        <w:rFonts w:hint="default"/>
      </w:rPr>
    </w:lvl>
    <w:lvl w:ilvl="7" w:tplc="03926DF6">
      <w:numFmt w:val="bullet"/>
      <w:lvlText w:val="•"/>
      <w:lvlJc w:val="left"/>
      <w:pPr>
        <w:ind w:left="1964" w:hanging="219"/>
      </w:pPr>
      <w:rPr>
        <w:rFonts w:hint="default"/>
      </w:rPr>
    </w:lvl>
    <w:lvl w:ilvl="8" w:tplc="E4CABDF6">
      <w:numFmt w:val="bullet"/>
      <w:lvlText w:val="•"/>
      <w:lvlJc w:val="left"/>
      <w:pPr>
        <w:ind w:left="2230" w:hanging="219"/>
      </w:pPr>
      <w:rPr>
        <w:rFonts w:hint="default"/>
      </w:rPr>
    </w:lvl>
  </w:abstractNum>
  <w:abstractNum w:abstractNumId="5" w15:restartNumberingAfterBreak="0">
    <w:nsid w:val="1F814A87"/>
    <w:multiLevelType w:val="hybridMultilevel"/>
    <w:tmpl w:val="E18E8AEC"/>
    <w:lvl w:ilvl="0" w:tplc="E6EC67C6">
      <w:start w:val="1"/>
      <w:numFmt w:val="decimal"/>
      <w:lvlText w:val="%1."/>
      <w:lvlJc w:val="left"/>
      <w:pPr>
        <w:ind w:left="107" w:hanging="219"/>
      </w:pPr>
      <w:rPr>
        <w:rFonts w:ascii="Calibri" w:eastAsia="Calibri" w:hAnsi="Calibri" w:cs="Calibri" w:hint="default"/>
        <w:w w:val="100"/>
        <w:sz w:val="22"/>
        <w:szCs w:val="22"/>
      </w:rPr>
    </w:lvl>
    <w:lvl w:ilvl="1" w:tplc="A2422AA2">
      <w:numFmt w:val="bullet"/>
      <w:lvlText w:val="•"/>
      <w:lvlJc w:val="left"/>
      <w:pPr>
        <w:ind w:left="407" w:hanging="219"/>
      </w:pPr>
      <w:rPr>
        <w:rFonts w:hint="default"/>
      </w:rPr>
    </w:lvl>
    <w:lvl w:ilvl="2" w:tplc="E5826836">
      <w:numFmt w:val="bullet"/>
      <w:lvlText w:val="•"/>
      <w:lvlJc w:val="left"/>
      <w:pPr>
        <w:ind w:left="715" w:hanging="219"/>
      </w:pPr>
      <w:rPr>
        <w:rFonts w:hint="default"/>
      </w:rPr>
    </w:lvl>
    <w:lvl w:ilvl="3" w:tplc="4100039E">
      <w:numFmt w:val="bullet"/>
      <w:lvlText w:val="•"/>
      <w:lvlJc w:val="left"/>
      <w:pPr>
        <w:ind w:left="1023" w:hanging="219"/>
      </w:pPr>
      <w:rPr>
        <w:rFonts w:hint="default"/>
      </w:rPr>
    </w:lvl>
    <w:lvl w:ilvl="4" w:tplc="47C8255E">
      <w:numFmt w:val="bullet"/>
      <w:lvlText w:val="•"/>
      <w:lvlJc w:val="left"/>
      <w:pPr>
        <w:ind w:left="1331" w:hanging="219"/>
      </w:pPr>
      <w:rPr>
        <w:rFonts w:hint="default"/>
      </w:rPr>
    </w:lvl>
    <w:lvl w:ilvl="5" w:tplc="D708F672">
      <w:numFmt w:val="bullet"/>
      <w:lvlText w:val="•"/>
      <w:lvlJc w:val="left"/>
      <w:pPr>
        <w:ind w:left="1639" w:hanging="219"/>
      </w:pPr>
      <w:rPr>
        <w:rFonts w:hint="default"/>
      </w:rPr>
    </w:lvl>
    <w:lvl w:ilvl="6" w:tplc="39A850FE">
      <w:numFmt w:val="bullet"/>
      <w:lvlText w:val="•"/>
      <w:lvlJc w:val="left"/>
      <w:pPr>
        <w:ind w:left="1946" w:hanging="219"/>
      </w:pPr>
      <w:rPr>
        <w:rFonts w:hint="default"/>
      </w:rPr>
    </w:lvl>
    <w:lvl w:ilvl="7" w:tplc="A0D212FE">
      <w:numFmt w:val="bullet"/>
      <w:lvlText w:val="•"/>
      <w:lvlJc w:val="left"/>
      <w:pPr>
        <w:ind w:left="2254" w:hanging="219"/>
      </w:pPr>
      <w:rPr>
        <w:rFonts w:hint="default"/>
      </w:rPr>
    </w:lvl>
    <w:lvl w:ilvl="8" w:tplc="F1C240BE">
      <w:numFmt w:val="bullet"/>
      <w:lvlText w:val="•"/>
      <w:lvlJc w:val="left"/>
      <w:pPr>
        <w:ind w:left="2562" w:hanging="219"/>
      </w:pPr>
      <w:rPr>
        <w:rFonts w:hint="default"/>
      </w:rPr>
    </w:lvl>
  </w:abstractNum>
  <w:abstractNum w:abstractNumId="6" w15:restartNumberingAfterBreak="0">
    <w:nsid w:val="23A4750E"/>
    <w:multiLevelType w:val="hybridMultilevel"/>
    <w:tmpl w:val="E03AB0F2"/>
    <w:lvl w:ilvl="0" w:tplc="E9144DC2">
      <w:start w:val="1"/>
      <w:numFmt w:val="decimal"/>
      <w:lvlText w:val="%1."/>
      <w:lvlJc w:val="left"/>
      <w:pPr>
        <w:ind w:left="318" w:hanging="219"/>
      </w:pPr>
      <w:rPr>
        <w:rFonts w:ascii="Calibri" w:eastAsia="Calibri" w:hAnsi="Calibri" w:cs="Calibri" w:hint="default"/>
        <w:w w:val="100"/>
        <w:sz w:val="22"/>
        <w:szCs w:val="22"/>
      </w:rPr>
    </w:lvl>
    <w:lvl w:ilvl="1" w:tplc="88DCF0DA">
      <w:numFmt w:val="bullet"/>
      <w:lvlText w:val="•"/>
      <w:lvlJc w:val="left"/>
      <w:pPr>
        <w:ind w:left="320" w:hanging="219"/>
      </w:pPr>
      <w:rPr>
        <w:rFonts w:hint="default"/>
      </w:rPr>
    </w:lvl>
    <w:lvl w:ilvl="2" w:tplc="8B246CAC">
      <w:numFmt w:val="bullet"/>
      <w:lvlText w:val="•"/>
      <w:lvlJc w:val="left"/>
      <w:pPr>
        <w:ind w:left="591" w:hanging="219"/>
      </w:pPr>
      <w:rPr>
        <w:rFonts w:hint="default"/>
      </w:rPr>
    </w:lvl>
    <w:lvl w:ilvl="3" w:tplc="7C703522">
      <w:numFmt w:val="bullet"/>
      <w:lvlText w:val="•"/>
      <w:lvlJc w:val="left"/>
      <w:pPr>
        <w:ind w:left="862" w:hanging="219"/>
      </w:pPr>
      <w:rPr>
        <w:rFonts w:hint="default"/>
      </w:rPr>
    </w:lvl>
    <w:lvl w:ilvl="4" w:tplc="A3DA78E8">
      <w:numFmt w:val="bullet"/>
      <w:lvlText w:val="•"/>
      <w:lvlJc w:val="left"/>
      <w:pPr>
        <w:ind w:left="1134" w:hanging="219"/>
      </w:pPr>
      <w:rPr>
        <w:rFonts w:hint="default"/>
      </w:rPr>
    </w:lvl>
    <w:lvl w:ilvl="5" w:tplc="B80882D0">
      <w:numFmt w:val="bullet"/>
      <w:lvlText w:val="•"/>
      <w:lvlJc w:val="left"/>
      <w:pPr>
        <w:ind w:left="1405" w:hanging="219"/>
      </w:pPr>
      <w:rPr>
        <w:rFonts w:hint="default"/>
      </w:rPr>
    </w:lvl>
    <w:lvl w:ilvl="6" w:tplc="E3781716">
      <w:numFmt w:val="bullet"/>
      <w:lvlText w:val="•"/>
      <w:lvlJc w:val="left"/>
      <w:pPr>
        <w:ind w:left="1677" w:hanging="219"/>
      </w:pPr>
      <w:rPr>
        <w:rFonts w:hint="default"/>
      </w:rPr>
    </w:lvl>
    <w:lvl w:ilvl="7" w:tplc="0D8C0D32">
      <w:numFmt w:val="bullet"/>
      <w:lvlText w:val="•"/>
      <w:lvlJc w:val="left"/>
      <w:pPr>
        <w:ind w:left="1948" w:hanging="219"/>
      </w:pPr>
      <w:rPr>
        <w:rFonts w:hint="default"/>
      </w:rPr>
    </w:lvl>
    <w:lvl w:ilvl="8" w:tplc="B5EEF70A">
      <w:numFmt w:val="bullet"/>
      <w:lvlText w:val="•"/>
      <w:lvlJc w:val="left"/>
      <w:pPr>
        <w:ind w:left="2220" w:hanging="219"/>
      </w:pPr>
      <w:rPr>
        <w:rFonts w:hint="default"/>
      </w:rPr>
    </w:lvl>
  </w:abstractNum>
  <w:abstractNum w:abstractNumId="7" w15:restartNumberingAfterBreak="0">
    <w:nsid w:val="26B80E84"/>
    <w:multiLevelType w:val="hybridMultilevel"/>
    <w:tmpl w:val="039CAF78"/>
    <w:lvl w:ilvl="0" w:tplc="43D47F24">
      <w:start w:val="1"/>
      <w:numFmt w:val="decimal"/>
      <w:lvlText w:val="%1."/>
      <w:lvlJc w:val="left"/>
      <w:pPr>
        <w:ind w:left="287" w:hanging="219"/>
      </w:pPr>
      <w:rPr>
        <w:rFonts w:ascii="Calibri" w:eastAsia="Calibri" w:hAnsi="Calibri" w:cs="Calibri" w:hint="default"/>
        <w:w w:val="100"/>
        <w:sz w:val="22"/>
        <w:szCs w:val="22"/>
      </w:rPr>
    </w:lvl>
    <w:lvl w:ilvl="1" w:tplc="101EB3AE">
      <w:numFmt w:val="bullet"/>
      <w:lvlText w:val="•"/>
      <w:lvlJc w:val="left"/>
      <w:pPr>
        <w:ind w:left="280" w:hanging="219"/>
      </w:pPr>
      <w:rPr>
        <w:rFonts w:hint="default"/>
      </w:rPr>
    </w:lvl>
    <w:lvl w:ilvl="2" w:tplc="D2A22F38">
      <w:numFmt w:val="bullet"/>
      <w:lvlText w:val="•"/>
      <w:lvlJc w:val="left"/>
      <w:pPr>
        <w:ind w:left="555" w:hanging="219"/>
      </w:pPr>
      <w:rPr>
        <w:rFonts w:hint="default"/>
      </w:rPr>
    </w:lvl>
    <w:lvl w:ilvl="3" w:tplc="FF180302">
      <w:numFmt w:val="bullet"/>
      <w:lvlText w:val="•"/>
      <w:lvlJc w:val="left"/>
      <w:pPr>
        <w:ind w:left="831" w:hanging="219"/>
      </w:pPr>
      <w:rPr>
        <w:rFonts w:hint="default"/>
      </w:rPr>
    </w:lvl>
    <w:lvl w:ilvl="4" w:tplc="DAA0C2C4">
      <w:numFmt w:val="bullet"/>
      <w:lvlText w:val="•"/>
      <w:lvlJc w:val="left"/>
      <w:pPr>
        <w:ind w:left="1107" w:hanging="219"/>
      </w:pPr>
      <w:rPr>
        <w:rFonts w:hint="default"/>
      </w:rPr>
    </w:lvl>
    <w:lvl w:ilvl="5" w:tplc="8522ECCA">
      <w:numFmt w:val="bullet"/>
      <w:lvlText w:val="•"/>
      <w:lvlJc w:val="left"/>
      <w:pPr>
        <w:ind w:left="1383" w:hanging="219"/>
      </w:pPr>
      <w:rPr>
        <w:rFonts w:hint="default"/>
      </w:rPr>
    </w:lvl>
    <w:lvl w:ilvl="6" w:tplc="A3C8BFD0">
      <w:numFmt w:val="bullet"/>
      <w:lvlText w:val="•"/>
      <w:lvlJc w:val="left"/>
      <w:pPr>
        <w:ind w:left="1659" w:hanging="219"/>
      </w:pPr>
      <w:rPr>
        <w:rFonts w:hint="default"/>
      </w:rPr>
    </w:lvl>
    <w:lvl w:ilvl="7" w:tplc="3EA814E8">
      <w:numFmt w:val="bullet"/>
      <w:lvlText w:val="•"/>
      <w:lvlJc w:val="left"/>
      <w:pPr>
        <w:ind w:left="1935" w:hanging="219"/>
      </w:pPr>
      <w:rPr>
        <w:rFonts w:hint="default"/>
      </w:rPr>
    </w:lvl>
    <w:lvl w:ilvl="8" w:tplc="45007DBC">
      <w:numFmt w:val="bullet"/>
      <w:lvlText w:val="•"/>
      <w:lvlJc w:val="left"/>
      <w:pPr>
        <w:ind w:left="2211" w:hanging="219"/>
      </w:pPr>
      <w:rPr>
        <w:rFonts w:hint="default"/>
      </w:rPr>
    </w:lvl>
  </w:abstractNum>
  <w:abstractNum w:abstractNumId="8" w15:restartNumberingAfterBreak="0">
    <w:nsid w:val="28C244F3"/>
    <w:multiLevelType w:val="hybridMultilevel"/>
    <w:tmpl w:val="BB4285BE"/>
    <w:lvl w:ilvl="0" w:tplc="571E7C00">
      <w:start w:val="3"/>
      <w:numFmt w:val="decimal"/>
      <w:lvlText w:val="%1."/>
      <w:lvlJc w:val="left"/>
      <w:pPr>
        <w:ind w:left="324" w:hanging="219"/>
      </w:pPr>
      <w:rPr>
        <w:rFonts w:ascii="Calibri" w:eastAsia="Calibri" w:hAnsi="Calibri" w:cs="Calibri" w:hint="default"/>
        <w:w w:val="100"/>
        <w:sz w:val="22"/>
        <w:szCs w:val="22"/>
      </w:rPr>
    </w:lvl>
    <w:lvl w:ilvl="1" w:tplc="AEAA1EA2">
      <w:numFmt w:val="bullet"/>
      <w:lvlText w:val="•"/>
      <w:lvlJc w:val="left"/>
      <w:pPr>
        <w:ind w:left="650" w:hanging="219"/>
      </w:pPr>
      <w:rPr>
        <w:rFonts w:hint="default"/>
      </w:rPr>
    </w:lvl>
    <w:lvl w:ilvl="2" w:tplc="8200CE90">
      <w:numFmt w:val="bullet"/>
      <w:lvlText w:val="•"/>
      <w:lvlJc w:val="left"/>
      <w:pPr>
        <w:ind w:left="981" w:hanging="219"/>
      </w:pPr>
      <w:rPr>
        <w:rFonts w:hint="default"/>
      </w:rPr>
    </w:lvl>
    <w:lvl w:ilvl="3" w:tplc="1DA6D220">
      <w:numFmt w:val="bullet"/>
      <w:lvlText w:val="•"/>
      <w:lvlJc w:val="left"/>
      <w:pPr>
        <w:ind w:left="1311" w:hanging="219"/>
      </w:pPr>
      <w:rPr>
        <w:rFonts w:hint="default"/>
      </w:rPr>
    </w:lvl>
    <w:lvl w:ilvl="4" w:tplc="D346A950">
      <w:numFmt w:val="bullet"/>
      <w:lvlText w:val="•"/>
      <w:lvlJc w:val="left"/>
      <w:pPr>
        <w:ind w:left="1642" w:hanging="219"/>
      </w:pPr>
      <w:rPr>
        <w:rFonts w:hint="default"/>
      </w:rPr>
    </w:lvl>
    <w:lvl w:ilvl="5" w:tplc="10C0E5CE">
      <w:numFmt w:val="bullet"/>
      <w:lvlText w:val="•"/>
      <w:lvlJc w:val="left"/>
      <w:pPr>
        <w:ind w:left="1972" w:hanging="219"/>
      </w:pPr>
      <w:rPr>
        <w:rFonts w:hint="default"/>
      </w:rPr>
    </w:lvl>
    <w:lvl w:ilvl="6" w:tplc="CF5A2A16">
      <w:numFmt w:val="bullet"/>
      <w:lvlText w:val="•"/>
      <w:lvlJc w:val="left"/>
      <w:pPr>
        <w:ind w:left="2303" w:hanging="219"/>
      </w:pPr>
      <w:rPr>
        <w:rFonts w:hint="default"/>
      </w:rPr>
    </w:lvl>
    <w:lvl w:ilvl="7" w:tplc="011CCA46">
      <w:numFmt w:val="bullet"/>
      <w:lvlText w:val="•"/>
      <w:lvlJc w:val="left"/>
      <w:pPr>
        <w:ind w:left="2633" w:hanging="219"/>
      </w:pPr>
      <w:rPr>
        <w:rFonts w:hint="default"/>
      </w:rPr>
    </w:lvl>
    <w:lvl w:ilvl="8" w:tplc="56E29F5A">
      <w:numFmt w:val="bullet"/>
      <w:lvlText w:val="•"/>
      <w:lvlJc w:val="left"/>
      <w:pPr>
        <w:ind w:left="2964" w:hanging="219"/>
      </w:pPr>
      <w:rPr>
        <w:rFonts w:hint="default"/>
      </w:rPr>
    </w:lvl>
  </w:abstractNum>
  <w:abstractNum w:abstractNumId="9" w15:restartNumberingAfterBreak="0">
    <w:nsid w:val="293F19E3"/>
    <w:multiLevelType w:val="hybridMultilevel"/>
    <w:tmpl w:val="C1043192"/>
    <w:lvl w:ilvl="0" w:tplc="29445E3A">
      <w:start w:val="1"/>
      <w:numFmt w:val="decimal"/>
      <w:lvlText w:val="%1."/>
      <w:lvlJc w:val="left"/>
      <w:pPr>
        <w:ind w:left="107" w:hanging="219"/>
      </w:pPr>
      <w:rPr>
        <w:rFonts w:ascii="Calibri" w:eastAsia="Calibri" w:hAnsi="Calibri" w:cs="Calibri" w:hint="default"/>
        <w:w w:val="100"/>
        <w:sz w:val="22"/>
        <w:szCs w:val="22"/>
      </w:rPr>
    </w:lvl>
    <w:lvl w:ilvl="1" w:tplc="741CC7BE">
      <w:numFmt w:val="bullet"/>
      <w:lvlText w:val="•"/>
      <w:lvlJc w:val="left"/>
      <w:pPr>
        <w:ind w:left="407" w:hanging="219"/>
      </w:pPr>
      <w:rPr>
        <w:rFonts w:hint="default"/>
      </w:rPr>
    </w:lvl>
    <w:lvl w:ilvl="2" w:tplc="4B80D3FE">
      <w:numFmt w:val="bullet"/>
      <w:lvlText w:val="•"/>
      <w:lvlJc w:val="left"/>
      <w:pPr>
        <w:ind w:left="715" w:hanging="219"/>
      </w:pPr>
      <w:rPr>
        <w:rFonts w:hint="default"/>
      </w:rPr>
    </w:lvl>
    <w:lvl w:ilvl="3" w:tplc="7800F8A0">
      <w:numFmt w:val="bullet"/>
      <w:lvlText w:val="•"/>
      <w:lvlJc w:val="left"/>
      <w:pPr>
        <w:ind w:left="1023" w:hanging="219"/>
      </w:pPr>
      <w:rPr>
        <w:rFonts w:hint="default"/>
      </w:rPr>
    </w:lvl>
    <w:lvl w:ilvl="4" w:tplc="C29C5538">
      <w:numFmt w:val="bullet"/>
      <w:lvlText w:val="•"/>
      <w:lvlJc w:val="left"/>
      <w:pPr>
        <w:ind w:left="1331" w:hanging="219"/>
      </w:pPr>
      <w:rPr>
        <w:rFonts w:hint="default"/>
      </w:rPr>
    </w:lvl>
    <w:lvl w:ilvl="5" w:tplc="D05869C2">
      <w:numFmt w:val="bullet"/>
      <w:lvlText w:val="•"/>
      <w:lvlJc w:val="left"/>
      <w:pPr>
        <w:ind w:left="1639" w:hanging="219"/>
      </w:pPr>
      <w:rPr>
        <w:rFonts w:hint="default"/>
      </w:rPr>
    </w:lvl>
    <w:lvl w:ilvl="6" w:tplc="937EDC90">
      <w:numFmt w:val="bullet"/>
      <w:lvlText w:val="•"/>
      <w:lvlJc w:val="left"/>
      <w:pPr>
        <w:ind w:left="1946" w:hanging="219"/>
      </w:pPr>
      <w:rPr>
        <w:rFonts w:hint="default"/>
      </w:rPr>
    </w:lvl>
    <w:lvl w:ilvl="7" w:tplc="F988903C">
      <w:numFmt w:val="bullet"/>
      <w:lvlText w:val="•"/>
      <w:lvlJc w:val="left"/>
      <w:pPr>
        <w:ind w:left="2254" w:hanging="219"/>
      </w:pPr>
      <w:rPr>
        <w:rFonts w:hint="default"/>
      </w:rPr>
    </w:lvl>
    <w:lvl w:ilvl="8" w:tplc="D084F81C">
      <w:numFmt w:val="bullet"/>
      <w:lvlText w:val="•"/>
      <w:lvlJc w:val="left"/>
      <w:pPr>
        <w:ind w:left="2562" w:hanging="219"/>
      </w:pPr>
      <w:rPr>
        <w:rFonts w:hint="default"/>
      </w:rPr>
    </w:lvl>
  </w:abstractNum>
  <w:abstractNum w:abstractNumId="10" w15:restartNumberingAfterBreak="0">
    <w:nsid w:val="2BF634DB"/>
    <w:multiLevelType w:val="hybridMultilevel"/>
    <w:tmpl w:val="E0AE22DE"/>
    <w:lvl w:ilvl="0" w:tplc="0DC82698">
      <w:start w:val="1"/>
      <w:numFmt w:val="lowerLetter"/>
      <w:lvlText w:val="%1."/>
      <w:lvlJc w:val="left"/>
      <w:pPr>
        <w:ind w:left="241" w:hanging="212"/>
      </w:pPr>
      <w:rPr>
        <w:rFonts w:ascii="Calibri" w:eastAsia="Calibri" w:hAnsi="Calibri" w:cs="Calibri" w:hint="default"/>
        <w:w w:val="100"/>
        <w:sz w:val="22"/>
        <w:szCs w:val="22"/>
      </w:rPr>
    </w:lvl>
    <w:lvl w:ilvl="1" w:tplc="D96479CE">
      <w:numFmt w:val="bullet"/>
      <w:lvlText w:val="•"/>
      <w:lvlJc w:val="left"/>
      <w:pPr>
        <w:ind w:left="533" w:hanging="212"/>
      </w:pPr>
      <w:rPr>
        <w:rFonts w:hint="default"/>
      </w:rPr>
    </w:lvl>
    <w:lvl w:ilvl="2" w:tplc="585E6324">
      <w:numFmt w:val="bullet"/>
      <w:lvlText w:val="•"/>
      <w:lvlJc w:val="left"/>
      <w:pPr>
        <w:ind w:left="827" w:hanging="212"/>
      </w:pPr>
      <w:rPr>
        <w:rFonts w:hint="default"/>
      </w:rPr>
    </w:lvl>
    <w:lvl w:ilvl="3" w:tplc="C41C1194">
      <w:numFmt w:val="bullet"/>
      <w:lvlText w:val="•"/>
      <w:lvlJc w:val="left"/>
      <w:pPr>
        <w:ind w:left="1121" w:hanging="212"/>
      </w:pPr>
      <w:rPr>
        <w:rFonts w:hint="default"/>
      </w:rPr>
    </w:lvl>
    <w:lvl w:ilvl="4" w:tplc="D4FA2E6C">
      <w:numFmt w:val="bullet"/>
      <w:lvlText w:val="•"/>
      <w:lvlJc w:val="left"/>
      <w:pPr>
        <w:ind w:left="1415" w:hanging="212"/>
      </w:pPr>
      <w:rPr>
        <w:rFonts w:hint="default"/>
      </w:rPr>
    </w:lvl>
    <w:lvl w:ilvl="5" w:tplc="6CD8F81C">
      <w:numFmt w:val="bullet"/>
      <w:lvlText w:val="•"/>
      <w:lvlJc w:val="left"/>
      <w:pPr>
        <w:ind w:left="1709" w:hanging="212"/>
      </w:pPr>
      <w:rPr>
        <w:rFonts w:hint="default"/>
      </w:rPr>
    </w:lvl>
    <w:lvl w:ilvl="6" w:tplc="FFF03822">
      <w:numFmt w:val="bullet"/>
      <w:lvlText w:val="•"/>
      <w:lvlJc w:val="left"/>
      <w:pPr>
        <w:ind w:left="2002" w:hanging="212"/>
      </w:pPr>
      <w:rPr>
        <w:rFonts w:hint="default"/>
      </w:rPr>
    </w:lvl>
    <w:lvl w:ilvl="7" w:tplc="E2DE20B4">
      <w:numFmt w:val="bullet"/>
      <w:lvlText w:val="•"/>
      <w:lvlJc w:val="left"/>
      <w:pPr>
        <w:ind w:left="2296" w:hanging="212"/>
      </w:pPr>
      <w:rPr>
        <w:rFonts w:hint="default"/>
      </w:rPr>
    </w:lvl>
    <w:lvl w:ilvl="8" w:tplc="E9C82D46">
      <w:numFmt w:val="bullet"/>
      <w:lvlText w:val="•"/>
      <w:lvlJc w:val="left"/>
      <w:pPr>
        <w:ind w:left="2590" w:hanging="212"/>
      </w:pPr>
      <w:rPr>
        <w:rFonts w:hint="default"/>
      </w:rPr>
    </w:lvl>
  </w:abstractNum>
  <w:abstractNum w:abstractNumId="11" w15:restartNumberingAfterBreak="0">
    <w:nsid w:val="2E273D0C"/>
    <w:multiLevelType w:val="hybridMultilevel"/>
    <w:tmpl w:val="6630CDC4"/>
    <w:lvl w:ilvl="0" w:tplc="78FE0866">
      <w:start w:val="1"/>
      <w:numFmt w:val="decimal"/>
      <w:lvlText w:val="%1."/>
      <w:lvlJc w:val="left"/>
      <w:pPr>
        <w:ind w:left="107" w:hanging="219"/>
      </w:pPr>
      <w:rPr>
        <w:rFonts w:ascii="Calibri" w:eastAsia="Calibri" w:hAnsi="Calibri" w:cs="Calibri" w:hint="default"/>
        <w:w w:val="100"/>
        <w:sz w:val="22"/>
        <w:szCs w:val="22"/>
      </w:rPr>
    </w:lvl>
    <w:lvl w:ilvl="1" w:tplc="6EDC7564">
      <w:numFmt w:val="bullet"/>
      <w:lvlText w:val="•"/>
      <w:lvlJc w:val="left"/>
      <w:pPr>
        <w:ind w:left="407" w:hanging="219"/>
      </w:pPr>
      <w:rPr>
        <w:rFonts w:hint="default"/>
      </w:rPr>
    </w:lvl>
    <w:lvl w:ilvl="2" w:tplc="19287660">
      <w:numFmt w:val="bullet"/>
      <w:lvlText w:val="•"/>
      <w:lvlJc w:val="left"/>
      <w:pPr>
        <w:ind w:left="715" w:hanging="219"/>
      </w:pPr>
      <w:rPr>
        <w:rFonts w:hint="default"/>
      </w:rPr>
    </w:lvl>
    <w:lvl w:ilvl="3" w:tplc="A0E28C08">
      <w:numFmt w:val="bullet"/>
      <w:lvlText w:val="•"/>
      <w:lvlJc w:val="left"/>
      <w:pPr>
        <w:ind w:left="1023" w:hanging="219"/>
      </w:pPr>
      <w:rPr>
        <w:rFonts w:hint="default"/>
      </w:rPr>
    </w:lvl>
    <w:lvl w:ilvl="4" w:tplc="A6AED2DC">
      <w:numFmt w:val="bullet"/>
      <w:lvlText w:val="•"/>
      <w:lvlJc w:val="left"/>
      <w:pPr>
        <w:ind w:left="1331" w:hanging="219"/>
      </w:pPr>
      <w:rPr>
        <w:rFonts w:hint="default"/>
      </w:rPr>
    </w:lvl>
    <w:lvl w:ilvl="5" w:tplc="EB76A24C">
      <w:numFmt w:val="bullet"/>
      <w:lvlText w:val="•"/>
      <w:lvlJc w:val="left"/>
      <w:pPr>
        <w:ind w:left="1639" w:hanging="219"/>
      </w:pPr>
      <w:rPr>
        <w:rFonts w:hint="default"/>
      </w:rPr>
    </w:lvl>
    <w:lvl w:ilvl="6" w:tplc="EB4ECC18">
      <w:numFmt w:val="bullet"/>
      <w:lvlText w:val="•"/>
      <w:lvlJc w:val="left"/>
      <w:pPr>
        <w:ind w:left="1946" w:hanging="219"/>
      </w:pPr>
      <w:rPr>
        <w:rFonts w:hint="default"/>
      </w:rPr>
    </w:lvl>
    <w:lvl w:ilvl="7" w:tplc="3B2A4A8E">
      <w:numFmt w:val="bullet"/>
      <w:lvlText w:val="•"/>
      <w:lvlJc w:val="left"/>
      <w:pPr>
        <w:ind w:left="2254" w:hanging="219"/>
      </w:pPr>
      <w:rPr>
        <w:rFonts w:hint="default"/>
      </w:rPr>
    </w:lvl>
    <w:lvl w:ilvl="8" w:tplc="A86845E2">
      <w:numFmt w:val="bullet"/>
      <w:lvlText w:val="•"/>
      <w:lvlJc w:val="left"/>
      <w:pPr>
        <w:ind w:left="2562" w:hanging="219"/>
      </w:pPr>
      <w:rPr>
        <w:rFonts w:hint="default"/>
      </w:rPr>
    </w:lvl>
  </w:abstractNum>
  <w:abstractNum w:abstractNumId="12" w15:restartNumberingAfterBreak="0">
    <w:nsid w:val="2EC1503F"/>
    <w:multiLevelType w:val="hybridMultilevel"/>
    <w:tmpl w:val="AB68433E"/>
    <w:lvl w:ilvl="0" w:tplc="F2F66640">
      <w:start w:val="1"/>
      <w:numFmt w:val="decimal"/>
      <w:lvlText w:val="%1."/>
      <w:lvlJc w:val="left"/>
      <w:pPr>
        <w:ind w:left="107" w:hanging="219"/>
      </w:pPr>
      <w:rPr>
        <w:rFonts w:ascii="Calibri" w:eastAsia="Calibri" w:hAnsi="Calibri" w:cs="Calibri" w:hint="default"/>
        <w:w w:val="100"/>
        <w:sz w:val="22"/>
        <w:szCs w:val="22"/>
      </w:rPr>
    </w:lvl>
    <w:lvl w:ilvl="1" w:tplc="0190670E">
      <w:numFmt w:val="bullet"/>
      <w:lvlText w:val="•"/>
      <w:lvlJc w:val="left"/>
      <w:pPr>
        <w:ind w:left="366" w:hanging="219"/>
      </w:pPr>
      <w:rPr>
        <w:rFonts w:hint="default"/>
      </w:rPr>
    </w:lvl>
    <w:lvl w:ilvl="2" w:tplc="20D63252">
      <w:numFmt w:val="bullet"/>
      <w:lvlText w:val="•"/>
      <w:lvlJc w:val="left"/>
      <w:pPr>
        <w:ind w:left="632" w:hanging="219"/>
      </w:pPr>
      <w:rPr>
        <w:rFonts w:hint="default"/>
      </w:rPr>
    </w:lvl>
    <w:lvl w:ilvl="3" w:tplc="ED628E0E">
      <w:numFmt w:val="bullet"/>
      <w:lvlText w:val="•"/>
      <w:lvlJc w:val="left"/>
      <w:pPr>
        <w:ind w:left="898" w:hanging="219"/>
      </w:pPr>
      <w:rPr>
        <w:rFonts w:hint="default"/>
      </w:rPr>
    </w:lvl>
    <w:lvl w:ilvl="4" w:tplc="37D07BA2">
      <w:numFmt w:val="bullet"/>
      <w:lvlText w:val="•"/>
      <w:lvlJc w:val="left"/>
      <w:pPr>
        <w:ind w:left="1165" w:hanging="219"/>
      </w:pPr>
      <w:rPr>
        <w:rFonts w:hint="default"/>
      </w:rPr>
    </w:lvl>
    <w:lvl w:ilvl="5" w:tplc="7BB66C4A">
      <w:numFmt w:val="bullet"/>
      <w:lvlText w:val="•"/>
      <w:lvlJc w:val="left"/>
      <w:pPr>
        <w:ind w:left="1431" w:hanging="219"/>
      </w:pPr>
      <w:rPr>
        <w:rFonts w:hint="default"/>
      </w:rPr>
    </w:lvl>
    <w:lvl w:ilvl="6" w:tplc="AC7CC3BE">
      <w:numFmt w:val="bullet"/>
      <w:lvlText w:val="•"/>
      <w:lvlJc w:val="left"/>
      <w:pPr>
        <w:ind w:left="1697" w:hanging="219"/>
      </w:pPr>
      <w:rPr>
        <w:rFonts w:hint="default"/>
      </w:rPr>
    </w:lvl>
    <w:lvl w:ilvl="7" w:tplc="03BA788C">
      <w:numFmt w:val="bullet"/>
      <w:lvlText w:val="•"/>
      <w:lvlJc w:val="left"/>
      <w:pPr>
        <w:ind w:left="1964" w:hanging="219"/>
      </w:pPr>
      <w:rPr>
        <w:rFonts w:hint="default"/>
      </w:rPr>
    </w:lvl>
    <w:lvl w:ilvl="8" w:tplc="F564C306">
      <w:numFmt w:val="bullet"/>
      <w:lvlText w:val="•"/>
      <w:lvlJc w:val="left"/>
      <w:pPr>
        <w:ind w:left="2230" w:hanging="219"/>
      </w:pPr>
      <w:rPr>
        <w:rFonts w:hint="default"/>
      </w:rPr>
    </w:lvl>
  </w:abstractNum>
  <w:abstractNum w:abstractNumId="13" w15:restartNumberingAfterBreak="0">
    <w:nsid w:val="30DF1C48"/>
    <w:multiLevelType w:val="hybridMultilevel"/>
    <w:tmpl w:val="77A0CF8C"/>
    <w:lvl w:ilvl="0" w:tplc="C7B2965A">
      <w:start w:val="1"/>
      <w:numFmt w:val="upperRoman"/>
      <w:lvlText w:val="%1."/>
      <w:lvlJc w:val="left"/>
      <w:pPr>
        <w:ind w:left="107" w:hanging="161"/>
      </w:pPr>
      <w:rPr>
        <w:rFonts w:ascii="Calibri" w:eastAsia="Calibri" w:hAnsi="Calibri" w:cs="Calibri" w:hint="default"/>
        <w:w w:val="100"/>
        <w:sz w:val="22"/>
        <w:szCs w:val="22"/>
      </w:rPr>
    </w:lvl>
    <w:lvl w:ilvl="1" w:tplc="96BE608A">
      <w:start w:val="1"/>
      <w:numFmt w:val="decimal"/>
      <w:lvlText w:val="%2."/>
      <w:lvlJc w:val="left"/>
      <w:pPr>
        <w:ind w:left="445" w:hanging="219"/>
      </w:pPr>
      <w:rPr>
        <w:rFonts w:ascii="Calibri" w:eastAsia="Calibri" w:hAnsi="Calibri" w:cs="Calibri" w:hint="default"/>
        <w:w w:val="100"/>
        <w:sz w:val="22"/>
        <w:szCs w:val="22"/>
      </w:rPr>
    </w:lvl>
    <w:lvl w:ilvl="2" w:tplc="03040730">
      <w:numFmt w:val="bullet"/>
      <w:lvlText w:val="•"/>
      <w:lvlJc w:val="left"/>
      <w:pPr>
        <w:ind w:left="698" w:hanging="219"/>
      </w:pPr>
      <w:rPr>
        <w:rFonts w:hint="default"/>
      </w:rPr>
    </w:lvl>
    <w:lvl w:ilvl="3" w:tplc="11A4048C">
      <w:numFmt w:val="bullet"/>
      <w:lvlText w:val="•"/>
      <w:lvlJc w:val="left"/>
      <w:pPr>
        <w:ind w:left="956" w:hanging="219"/>
      </w:pPr>
      <w:rPr>
        <w:rFonts w:hint="default"/>
      </w:rPr>
    </w:lvl>
    <w:lvl w:ilvl="4" w:tplc="CDE0C1A0">
      <w:numFmt w:val="bullet"/>
      <w:lvlText w:val="•"/>
      <w:lvlJc w:val="left"/>
      <w:pPr>
        <w:ind w:left="1214" w:hanging="219"/>
      </w:pPr>
      <w:rPr>
        <w:rFonts w:hint="default"/>
      </w:rPr>
    </w:lvl>
    <w:lvl w:ilvl="5" w:tplc="B2F88822">
      <w:numFmt w:val="bullet"/>
      <w:lvlText w:val="•"/>
      <w:lvlJc w:val="left"/>
      <w:pPr>
        <w:ind w:left="1472" w:hanging="219"/>
      </w:pPr>
      <w:rPr>
        <w:rFonts w:hint="default"/>
      </w:rPr>
    </w:lvl>
    <w:lvl w:ilvl="6" w:tplc="0E2028B0">
      <w:numFmt w:val="bullet"/>
      <w:lvlText w:val="•"/>
      <w:lvlJc w:val="left"/>
      <w:pPr>
        <w:ind w:left="1730" w:hanging="219"/>
      </w:pPr>
      <w:rPr>
        <w:rFonts w:hint="default"/>
      </w:rPr>
    </w:lvl>
    <w:lvl w:ilvl="7" w:tplc="6026309C">
      <w:numFmt w:val="bullet"/>
      <w:lvlText w:val="•"/>
      <w:lvlJc w:val="left"/>
      <w:pPr>
        <w:ind w:left="1988" w:hanging="219"/>
      </w:pPr>
      <w:rPr>
        <w:rFonts w:hint="default"/>
      </w:rPr>
    </w:lvl>
    <w:lvl w:ilvl="8" w:tplc="2452A9AA">
      <w:numFmt w:val="bullet"/>
      <w:lvlText w:val="•"/>
      <w:lvlJc w:val="left"/>
      <w:pPr>
        <w:ind w:left="2246" w:hanging="219"/>
      </w:pPr>
      <w:rPr>
        <w:rFonts w:hint="default"/>
      </w:rPr>
    </w:lvl>
  </w:abstractNum>
  <w:abstractNum w:abstractNumId="14" w15:restartNumberingAfterBreak="0">
    <w:nsid w:val="32AC2525"/>
    <w:multiLevelType w:val="hybridMultilevel"/>
    <w:tmpl w:val="60283B7A"/>
    <w:lvl w:ilvl="0" w:tplc="3FDAE97C">
      <w:start w:val="2"/>
      <w:numFmt w:val="decimal"/>
      <w:lvlText w:val="%1."/>
      <w:lvlJc w:val="left"/>
      <w:pPr>
        <w:ind w:left="107" w:hanging="219"/>
      </w:pPr>
      <w:rPr>
        <w:rFonts w:ascii="Calibri" w:eastAsia="Calibri" w:hAnsi="Calibri" w:cs="Calibri" w:hint="default"/>
        <w:w w:val="100"/>
        <w:sz w:val="22"/>
        <w:szCs w:val="22"/>
      </w:rPr>
    </w:lvl>
    <w:lvl w:ilvl="1" w:tplc="D3D8C262">
      <w:numFmt w:val="bullet"/>
      <w:lvlText w:val="•"/>
      <w:lvlJc w:val="left"/>
      <w:pPr>
        <w:ind w:left="366" w:hanging="219"/>
      </w:pPr>
      <w:rPr>
        <w:rFonts w:hint="default"/>
      </w:rPr>
    </w:lvl>
    <w:lvl w:ilvl="2" w:tplc="CB6C7DAA">
      <w:numFmt w:val="bullet"/>
      <w:lvlText w:val="•"/>
      <w:lvlJc w:val="left"/>
      <w:pPr>
        <w:ind w:left="632" w:hanging="219"/>
      </w:pPr>
      <w:rPr>
        <w:rFonts w:hint="default"/>
      </w:rPr>
    </w:lvl>
    <w:lvl w:ilvl="3" w:tplc="621E7052">
      <w:numFmt w:val="bullet"/>
      <w:lvlText w:val="•"/>
      <w:lvlJc w:val="left"/>
      <w:pPr>
        <w:ind w:left="898" w:hanging="219"/>
      </w:pPr>
      <w:rPr>
        <w:rFonts w:hint="default"/>
      </w:rPr>
    </w:lvl>
    <w:lvl w:ilvl="4" w:tplc="95EE5D6A">
      <w:numFmt w:val="bullet"/>
      <w:lvlText w:val="•"/>
      <w:lvlJc w:val="left"/>
      <w:pPr>
        <w:ind w:left="1165" w:hanging="219"/>
      </w:pPr>
      <w:rPr>
        <w:rFonts w:hint="default"/>
      </w:rPr>
    </w:lvl>
    <w:lvl w:ilvl="5" w:tplc="3D6A8FE8">
      <w:numFmt w:val="bullet"/>
      <w:lvlText w:val="•"/>
      <w:lvlJc w:val="left"/>
      <w:pPr>
        <w:ind w:left="1431" w:hanging="219"/>
      </w:pPr>
      <w:rPr>
        <w:rFonts w:hint="default"/>
      </w:rPr>
    </w:lvl>
    <w:lvl w:ilvl="6" w:tplc="51885F68">
      <w:numFmt w:val="bullet"/>
      <w:lvlText w:val="•"/>
      <w:lvlJc w:val="left"/>
      <w:pPr>
        <w:ind w:left="1697" w:hanging="219"/>
      </w:pPr>
      <w:rPr>
        <w:rFonts w:hint="default"/>
      </w:rPr>
    </w:lvl>
    <w:lvl w:ilvl="7" w:tplc="6E447F6E">
      <w:numFmt w:val="bullet"/>
      <w:lvlText w:val="•"/>
      <w:lvlJc w:val="left"/>
      <w:pPr>
        <w:ind w:left="1964" w:hanging="219"/>
      </w:pPr>
      <w:rPr>
        <w:rFonts w:hint="default"/>
      </w:rPr>
    </w:lvl>
    <w:lvl w:ilvl="8" w:tplc="05D624B0">
      <w:numFmt w:val="bullet"/>
      <w:lvlText w:val="•"/>
      <w:lvlJc w:val="left"/>
      <w:pPr>
        <w:ind w:left="2230" w:hanging="219"/>
      </w:pPr>
      <w:rPr>
        <w:rFonts w:hint="default"/>
      </w:rPr>
    </w:lvl>
  </w:abstractNum>
  <w:abstractNum w:abstractNumId="15" w15:restartNumberingAfterBreak="0">
    <w:nsid w:val="40F70A3B"/>
    <w:multiLevelType w:val="hybridMultilevel"/>
    <w:tmpl w:val="0D38806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15:restartNumberingAfterBreak="0">
    <w:nsid w:val="454F1D16"/>
    <w:multiLevelType w:val="hybridMultilevel"/>
    <w:tmpl w:val="FA040A96"/>
    <w:lvl w:ilvl="0" w:tplc="695A038A">
      <w:numFmt w:val="bullet"/>
      <w:lvlText w:val=""/>
      <w:lvlJc w:val="left"/>
      <w:pPr>
        <w:ind w:left="724" w:hanging="216"/>
      </w:pPr>
      <w:rPr>
        <w:rFonts w:ascii="Symbol" w:eastAsia="Symbol" w:hAnsi="Symbol" w:cs="Symbol" w:hint="default"/>
        <w:w w:val="100"/>
        <w:sz w:val="22"/>
        <w:szCs w:val="22"/>
      </w:rPr>
    </w:lvl>
    <w:lvl w:ilvl="1" w:tplc="FF68E57E">
      <w:numFmt w:val="bullet"/>
      <w:lvlText w:val="•"/>
      <w:lvlJc w:val="left"/>
      <w:pPr>
        <w:ind w:left="1700" w:hanging="216"/>
      </w:pPr>
      <w:rPr>
        <w:rFonts w:hint="default"/>
      </w:rPr>
    </w:lvl>
    <w:lvl w:ilvl="2" w:tplc="A9C69A70">
      <w:numFmt w:val="bullet"/>
      <w:lvlText w:val="•"/>
      <w:lvlJc w:val="left"/>
      <w:pPr>
        <w:ind w:left="2680" w:hanging="216"/>
      </w:pPr>
      <w:rPr>
        <w:rFonts w:hint="default"/>
      </w:rPr>
    </w:lvl>
    <w:lvl w:ilvl="3" w:tplc="615211B0">
      <w:numFmt w:val="bullet"/>
      <w:lvlText w:val="•"/>
      <w:lvlJc w:val="left"/>
      <w:pPr>
        <w:ind w:left="3660" w:hanging="216"/>
      </w:pPr>
      <w:rPr>
        <w:rFonts w:hint="default"/>
      </w:rPr>
    </w:lvl>
    <w:lvl w:ilvl="4" w:tplc="03C4E246">
      <w:numFmt w:val="bullet"/>
      <w:lvlText w:val="•"/>
      <w:lvlJc w:val="left"/>
      <w:pPr>
        <w:ind w:left="4640" w:hanging="216"/>
      </w:pPr>
      <w:rPr>
        <w:rFonts w:hint="default"/>
      </w:rPr>
    </w:lvl>
    <w:lvl w:ilvl="5" w:tplc="4C4EC284">
      <w:numFmt w:val="bullet"/>
      <w:lvlText w:val="•"/>
      <w:lvlJc w:val="left"/>
      <w:pPr>
        <w:ind w:left="5620" w:hanging="216"/>
      </w:pPr>
      <w:rPr>
        <w:rFonts w:hint="default"/>
      </w:rPr>
    </w:lvl>
    <w:lvl w:ilvl="6" w:tplc="E4423FCA">
      <w:numFmt w:val="bullet"/>
      <w:lvlText w:val="•"/>
      <w:lvlJc w:val="left"/>
      <w:pPr>
        <w:ind w:left="6600" w:hanging="216"/>
      </w:pPr>
      <w:rPr>
        <w:rFonts w:hint="default"/>
      </w:rPr>
    </w:lvl>
    <w:lvl w:ilvl="7" w:tplc="A0CE8FEE">
      <w:numFmt w:val="bullet"/>
      <w:lvlText w:val="•"/>
      <w:lvlJc w:val="left"/>
      <w:pPr>
        <w:ind w:left="7580" w:hanging="216"/>
      </w:pPr>
      <w:rPr>
        <w:rFonts w:hint="default"/>
      </w:rPr>
    </w:lvl>
    <w:lvl w:ilvl="8" w:tplc="3A7C2A40">
      <w:numFmt w:val="bullet"/>
      <w:lvlText w:val="•"/>
      <w:lvlJc w:val="left"/>
      <w:pPr>
        <w:ind w:left="8560" w:hanging="216"/>
      </w:pPr>
      <w:rPr>
        <w:rFonts w:hint="default"/>
      </w:rPr>
    </w:lvl>
  </w:abstractNum>
  <w:abstractNum w:abstractNumId="17" w15:restartNumberingAfterBreak="0">
    <w:nsid w:val="48F5151D"/>
    <w:multiLevelType w:val="hybridMultilevel"/>
    <w:tmpl w:val="732A76AC"/>
    <w:lvl w:ilvl="0" w:tplc="47783D00">
      <w:start w:val="1"/>
      <w:numFmt w:val="decimal"/>
      <w:lvlText w:val="%1."/>
      <w:lvlJc w:val="left"/>
      <w:pPr>
        <w:ind w:left="318" w:hanging="219"/>
      </w:pPr>
      <w:rPr>
        <w:rFonts w:ascii="Calibri" w:eastAsia="Calibri" w:hAnsi="Calibri" w:cs="Calibri" w:hint="default"/>
        <w:w w:val="100"/>
        <w:sz w:val="22"/>
        <w:szCs w:val="22"/>
      </w:rPr>
    </w:lvl>
    <w:lvl w:ilvl="1" w:tplc="831EACAC">
      <w:numFmt w:val="bullet"/>
      <w:lvlText w:val="•"/>
      <w:lvlJc w:val="left"/>
      <w:pPr>
        <w:ind w:left="320" w:hanging="219"/>
      </w:pPr>
      <w:rPr>
        <w:rFonts w:hint="default"/>
      </w:rPr>
    </w:lvl>
    <w:lvl w:ilvl="2" w:tplc="B9C441A2">
      <w:numFmt w:val="bullet"/>
      <w:lvlText w:val="•"/>
      <w:lvlJc w:val="left"/>
      <w:pPr>
        <w:ind w:left="591" w:hanging="219"/>
      </w:pPr>
      <w:rPr>
        <w:rFonts w:hint="default"/>
      </w:rPr>
    </w:lvl>
    <w:lvl w:ilvl="3" w:tplc="62CC9B7E">
      <w:numFmt w:val="bullet"/>
      <w:lvlText w:val="•"/>
      <w:lvlJc w:val="left"/>
      <w:pPr>
        <w:ind w:left="862" w:hanging="219"/>
      </w:pPr>
      <w:rPr>
        <w:rFonts w:hint="default"/>
      </w:rPr>
    </w:lvl>
    <w:lvl w:ilvl="4" w:tplc="AB72D990">
      <w:numFmt w:val="bullet"/>
      <w:lvlText w:val="•"/>
      <w:lvlJc w:val="left"/>
      <w:pPr>
        <w:ind w:left="1134" w:hanging="219"/>
      </w:pPr>
      <w:rPr>
        <w:rFonts w:hint="default"/>
      </w:rPr>
    </w:lvl>
    <w:lvl w:ilvl="5" w:tplc="169E1BB8">
      <w:numFmt w:val="bullet"/>
      <w:lvlText w:val="•"/>
      <w:lvlJc w:val="left"/>
      <w:pPr>
        <w:ind w:left="1405" w:hanging="219"/>
      </w:pPr>
      <w:rPr>
        <w:rFonts w:hint="default"/>
      </w:rPr>
    </w:lvl>
    <w:lvl w:ilvl="6" w:tplc="B0423FB0">
      <w:numFmt w:val="bullet"/>
      <w:lvlText w:val="•"/>
      <w:lvlJc w:val="left"/>
      <w:pPr>
        <w:ind w:left="1677" w:hanging="219"/>
      </w:pPr>
      <w:rPr>
        <w:rFonts w:hint="default"/>
      </w:rPr>
    </w:lvl>
    <w:lvl w:ilvl="7" w:tplc="9E328D1C">
      <w:numFmt w:val="bullet"/>
      <w:lvlText w:val="•"/>
      <w:lvlJc w:val="left"/>
      <w:pPr>
        <w:ind w:left="1948" w:hanging="219"/>
      </w:pPr>
      <w:rPr>
        <w:rFonts w:hint="default"/>
      </w:rPr>
    </w:lvl>
    <w:lvl w:ilvl="8" w:tplc="06960150">
      <w:numFmt w:val="bullet"/>
      <w:lvlText w:val="•"/>
      <w:lvlJc w:val="left"/>
      <w:pPr>
        <w:ind w:left="2220" w:hanging="219"/>
      </w:pPr>
      <w:rPr>
        <w:rFonts w:hint="default"/>
      </w:rPr>
    </w:lvl>
  </w:abstractNum>
  <w:abstractNum w:abstractNumId="18" w15:restartNumberingAfterBreak="0">
    <w:nsid w:val="4A0D20BC"/>
    <w:multiLevelType w:val="hybridMultilevel"/>
    <w:tmpl w:val="24F2C196"/>
    <w:lvl w:ilvl="0" w:tplc="2AC2B85E">
      <w:start w:val="1"/>
      <w:numFmt w:val="decimal"/>
      <w:lvlText w:val="%1."/>
      <w:lvlJc w:val="left"/>
      <w:pPr>
        <w:ind w:left="106" w:hanging="268"/>
      </w:pPr>
      <w:rPr>
        <w:rFonts w:ascii="Calibri" w:eastAsia="Calibri" w:hAnsi="Calibri" w:cs="Calibri" w:hint="default"/>
        <w:w w:val="100"/>
        <w:sz w:val="22"/>
        <w:szCs w:val="22"/>
      </w:rPr>
    </w:lvl>
    <w:lvl w:ilvl="1" w:tplc="9E1E62F2">
      <w:numFmt w:val="bullet"/>
      <w:lvlText w:val="•"/>
      <w:lvlJc w:val="left"/>
      <w:pPr>
        <w:ind w:left="452" w:hanging="268"/>
      </w:pPr>
      <w:rPr>
        <w:rFonts w:hint="default"/>
      </w:rPr>
    </w:lvl>
    <w:lvl w:ilvl="2" w:tplc="36085628">
      <w:numFmt w:val="bullet"/>
      <w:lvlText w:val="•"/>
      <w:lvlJc w:val="left"/>
      <w:pPr>
        <w:ind w:left="805" w:hanging="268"/>
      </w:pPr>
      <w:rPr>
        <w:rFonts w:hint="default"/>
      </w:rPr>
    </w:lvl>
    <w:lvl w:ilvl="3" w:tplc="B3BEECF0">
      <w:numFmt w:val="bullet"/>
      <w:lvlText w:val="•"/>
      <w:lvlJc w:val="left"/>
      <w:pPr>
        <w:ind w:left="1157" w:hanging="268"/>
      </w:pPr>
      <w:rPr>
        <w:rFonts w:hint="default"/>
      </w:rPr>
    </w:lvl>
    <w:lvl w:ilvl="4" w:tplc="6A8A8C5E">
      <w:numFmt w:val="bullet"/>
      <w:lvlText w:val="•"/>
      <w:lvlJc w:val="left"/>
      <w:pPr>
        <w:ind w:left="1510" w:hanging="268"/>
      </w:pPr>
      <w:rPr>
        <w:rFonts w:hint="default"/>
      </w:rPr>
    </w:lvl>
    <w:lvl w:ilvl="5" w:tplc="92CAB60C">
      <w:numFmt w:val="bullet"/>
      <w:lvlText w:val="•"/>
      <w:lvlJc w:val="left"/>
      <w:pPr>
        <w:ind w:left="1862" w:hanging="268"/>
      </w:pPr>
      <w:rPr>
        <w:rFonts w:hint="default"/>
      </w:rPr>
    </w:lvl>
    <w:lvl w:ilvl="6" w:tplc="59C8E672">
      <w:numFmt w:val="bullet"/>
      <w:lvlText w:val="•"/>
      <w:lvlJc w:val="left"/>
      <w:pPr>
        <w:ind w:left="2215" w:hanging="268"/>
      </w:pPr>
      <w:rPr>
        <w:rFonts w:hint="default"/>
      </w:rPr>
    </w:lvl>
    <w:lvl w:ilvl="7" w:tplc="30FC8636">
      <w:numFmt w:val="bullet"/>
      <w:lvlText w:val="•"/>
      <w:lvlJc w:val="left"/>
      <w:pPr>
        <w:ind w:left="2567" w:hanging="268"/>
      </w:pPr>
      <w:rPr>
        <w:rFonts w:hint="default"/>
      </w:rPr>
    </w:lvl>
    <w:lvl w:ilvl="8" w:tplc="3D1A89D4">
      <w:numFmt w:val="bullet"/>
      <w:lvlText w:val="•"/>
      <w:lvlJc w:val="left"/>
      <w:pPr>
        <w:ind w:left="2920" w:hanging="268"/>
      </w:pPr>
      <w:rPr>
        <w:rFonts w:hint="default"/>
      </w:rPr>
    </w:lvl>
  </w:abstractNum>
  <w:abstractNum w:abstractNumId="19" w15:restartNumberingAfterBreak="0">
    <w:nsid w:val="4D1C63D6"/>
    <w:multiLevelType w:val="hybridMultilevel"/>
    <w:tmpl w:val="985EBFB6"/>
    <w:lvl w:ilvl="0" w:tplc="2116D200">
      <w:start w:val="5"/>
      <w:numFmt w:val="decimal"/>
      <w:lvlText w:val="%1."/>
      <w:lvlJc w:val="left"/>
      <w:pPr>
        <w:ind w:left="107" w:hanging="219"/>
      </w:pPr>
      <w:rPr>
        <w:rFonts w:ascii="Calibri" w:eastAsia="Calibri" w:hAnsi="Calibri" w:cs="Calibri" w:hint="default"/>
        <w:w w:val="100"/>
        <w:sz w:val="22"/>
        <w:szCs w:val="22"/>
      </w:rPr>
    </w:lvl>
    <w:lvl w:ilvl="1" w:tplc="CD4C54FE">
      <w:numFmt w:val="bullet"/>
      <w:lvlText w:val="•"/>
      <w:lvlJc w:val="left"/>
      <w:pPr>
        <w:ind w:left="366" w:hanging="219"/>
      </w:pPr>
      <w:rPr>
        <w:rFonts w:hint="default"/>
      </w:rPr>
    </w:lvl>
    <w:lvl w:ilvl="2" w:tplc="EBE680D4">
      <w:numFmt w:val="bullet"/>
      <w:lvlText w:val="•"/>
      <w:lvlJc w:val="left"/>
      <w:pPr>
        <w:ind w:left="632" w:hanging="219"/>
      </w:pPr>
      <w:rPr>
        <w:rFonts w:hint="default"/>
      </w:rPr>
    </w:lvl>
    <w:lvl w:ilvl="3" w:tplc="E4DEBCBE">
      <w:numFmt w:val="bullet"/>
      <w:lvlText w:val="•"/>
      <w:lvlJc w:val="left"/>
      <w:pPr>
        <w:ind w:left="898" w:hanging="219"/>
      </w:pPr>
      <w:rPr>
        <w:rFonts w:hint="default"/>
      </w:rPr>
    </w:lvl>
    <w:lvl w:ilvl="4" w:tplc="60120FE8">
      <w:numFmt w:val="bullet"/>
      <w:lvlText w:val="•"/>
      <w:lvlJc w:val="left"/>
      <w:pPr>
        <w:ind w:left="1165" w:hanging="219"/>
      </w:pPr>
      <w:rPr>
        <w:rFonts w:hint="default"/>
      </w:rPr>
    </w:lvl>
    <w:lvl w:ilvl="5" w:tplc="8DEC17C0">
      <w:numFmt w:val="bullet"/>
      <w:lvlText w:val="•"/>
      <w:lvlJc w:val="left"/>
      <w:pPr>
        <w:ind w:left="1431" w:hanging="219"/>
      </w:pPr>
      <w:rPr>
        <w:rFonts w:hint="default"/>
      </w:rPr>
    </w:lvl>
    <w:lvl w:ilvl="6" w:tplc="9C70EC40">
      <w:numFmt w:val="bullet"/>
      <w:lvlText w:val="•"/>
      <w:lvlJc w:val="left"/>
      <w:pPr>
        <w:ind w:left="1697" w:hanging="219"/>
      </w:pPr>
      <w:rPr>
        <w:rFonts w:hint="default"/>
      </w:rPr>
    </w:lvl>
    <w:lvl w:ilvl="7" w:tplc="E5662740">
      <w:numFmt w:val="bullet"/>
      <w:lvlText w:val="•"/>
      <w:lvlJc w:val="left"/>
      <w:pPr>
        <w:ind w:left="1964" w:hanging="219"/>
      </w:pPr>
      <w:rPr>
        <w:rFonts w:hint="default"/>
      </w:rPr>
    </w:lvl>
    <w:lvl w:ilvl="8" w:tplc="1F44C9A6">
      <w:numFmt w:val="bullet"/>
      <w:lvlText w:val="•"/>
      <w:lvlJc w:val="left"/>
      <w:pPr>
        <w:ind w:left="2230" w:hanging="219"/>
      </w:pPr>
      <w:rPr>
        <w:rFonts w:hint="default"/>
      </w:rPr>
    </w:lvl>
  </w:abstractNum>
  <w:abstractNum w:abstractNumId="20" w15:restartNumberingAfterBreak="0">
    <w:nsid w:val="64F271F5"/>
    <w:multiLevelType w:val="hybridMultilevel"/>
    <w:tmpl w:val="2AAC7014"/>
    <w:lvl w:ilvl="0" w:tplc="375C4DFE">
      <w:start w:val="4"/>
      <w:numFmt w:val="decimal"/>
      <w:lvlText w:val="%1."/>
      <w:lvlJc w:val="left"/>
      <w:pPr>
        <w:ind w:left="107" w:hanging="219"/>
      </w:pPr>
      <w:rPr>
        <w:rFonts w:ascii="Calibri" w:eastAsia="Calibri" w:hAnsi="Calibri" w:cs="Calibri" w:hint="default"/>
        <w:w w:val="100"/>
        <w:sz w:val="22"/>
        <w:szCs w:val="22"/>
      </w:rPr>
    </w:lvl>
    <w:lvl w:ilvl="1" w:tplc="68BEE264">
      <w:numFmt w:val="bullet"/>
      <w:lvlText w:val="•"/>
      <w:lvlJc w:val="left"/>
      <w:pPr>
        <w:ind w:left="407" w:hanging="219"/>
      </w:pPr>
      <w:rPr>
        <w:rFonts w:hint="default"/>
      </w:rPr>
    </w:lvl>
    <w:lvl w:ilvl="2" w:tplc="93BE69F8">
      <w:numFmt w:val="bullet"/>
      <w:lvlText w:val="•"/>
      <w:lvlJc w:val="left"/>
      <w:pPr>
        <w:ind w:left="715" w:hanging="219"/>
      </w:pPr>
      <w:rPr>
        <w:rFonts w:hint="default"/>
      </w:rPr>
    </w:lvl>
    <w:lvl w:ilvl="3" w:tplc="A906C83E">
      <w:numFmt w:val="bullet"/>
      <w:lvlText w:val="•"/>
      <w:lvlJc w:val="left"/>
      <w:pPr>
        <w:ind w:left="1023" w:hanging="219"/>
      </w:pPr>
      <w:rPr>
        <w:rFonts w:hint="default"/>
      </w:rPr>
    </w:lvl>
    <w:lvl w:ilvl="4" w:tplc="AD1A7472">
      <w:numFmt w:val="bullet"/>
      <w:lvlText w:val="•"/>
      <w:lvlJc w:val="left"/>
      <w:pPr>
        <w:ind w:left="1331" w:hanging="219"/>
      </w:pPr>
      <w:rPr>
        <w:rFonts w:hint="default"/>
      </w:rPr>
    </w:lvl>
    <w:lvl w:ilvl="5" w:tplc="B52E1760">
      <w:numFmt w:val="bullet"/>
      <w:lvlText w:val="•"/>
      <w:lvlJc w:val="left"/>
      <w:pPr>
        <w:ind w:left="1639" w:hanging="219"/>
      </w:pPr>
      <w:rPr>
        <w:rFonts w:hint="default"/>
      </w:rPr>
    </w:lvl>
    <w:lvl w:ilvl="6" w:tplc="03260176">
      <w:numFmt w:val="bullet"/>
      <w:lvlText w:val="•"/>
      <w:lvlJc w:val="left"/>
      <w:pPr>
        <w:ind w:left="1946" w:hanging="219"/>
      </w:pPr>
      <w:rPr>
        <w:rFonts w:hint="default"/>
      </w:rPr>
    </w:lvl>
    <w:lvl w:ilvl="7" w:tplc="459CD822">
      <w:numFmt w:val="bullet"/>
      <w:lvlText w:val="•"/>
      <w:lvlJc w:val="left"/>
      <w:pPr>
        <w:ind w:left="2254" w:hanging="219"/>
      </w:pPr>
      <w:rPr>
        <w:rFonts w:hint="default"/>
      </w:rPr>
    </w:lvl>
    <w:lvl w:ilvl="8" w:tplc="30662BDA">
      <w:numFmt w:val="bullet"/>
      <w:lvlText w:val="•"/>
      <w:lvlJc w:val="left"/>
      <w:pPr>
        <w:ind w:left="2562" w:hanging="219"/>
      </w:pPr>
      <w:rPr>
        <w:rFonts w:hint="default"/>
      </w:rPr>
    </w:lvl>
  </w:abstractNum>
  <w:abstractNum w:abstractNumId="21" w15:restartNumberingAfterBreak="0">
    <w:nsid w:val="6E6B55F2"/>
    <w:multiLevelType w:val="hybridMultilevel"/>
    <w:tmpl w:val="B6542F58"/>
    <w:lvl w:ilvl="0" w:tplc="894A3B94">
      <w:start w:val="1"/>
      <w:numFmt w:val="decimal"/>
      <w:lvlText w:val="%1)"/>
      <w:lvlJc w:val="left"/>
      <w:pPr>
        <w:ind w:left="508" w:hanging="288"/>
      </w:pPr>
      <w:rPr>
        <w:rFonts w:ascii="Calibri" w:eastAsia="Calibri" w:hAnsi="Calibri" w:cs="Calibri" w:hint="default"/>
        <w:w w:val="100"/>
        <w:sz w:val="22"/>
        <w:szCs w:val="22"/>
      </w:rPr>
    </w:lvl>
    <w:lvl w:ilvl="1" w:tplc="FA0E79F6">
      <w:numFmt w:val="bullet"/>
      <w:lvlText w:val=""/>
      <w:lvlJc w:val="left"/>
      <w:pPr>
        <w:ind w:left="1228" w:hanging="144"/>
      </w:pPr>
      <w:rPr>
        <w:rFonts w:ascii="Symbol" w:eastAsia="Symbol" w:hAnsi="Symbol" w:cs="Symbol" w:hint="default"/>
        <w:w w:val="100"/>
        <w:sz w:val="22"/>
        <w:szCs w:val="22"/>
      </w:rPr>
    </w:lvl>
    <w:lvl w:ilvl="2" w:tplc="43CA2C22">
      <w:numFmt w:val="bullet"/>
      <w:lvlText w:val="•"/>
      <w:lvlJc w:val="left"/>
      <w:pPr>
        <w:ind w:left="1220" w:hanging="144"/>
      </w:pPr>
      <w:rPr>
        <w:rFonts w:hint="default"/>
      </w:rPr>
    </w:lvl>
    <w:lvl w:ilvl="3" w:tplc="7988D034">
      <w:numFmt w:val="bullet"/>
      <w:lvlText w:val="•"/>
      <w:lvlJc w:val="left"/>
      <w:pPr>
        <w:ind w:left="2382" w:hanging="144"/>
      </w:pPr>
      <w:rPr>
        <w:rFonts w:hint="default"/>
      </w:rPr>
    </w:lvl>
    <w:lvl w:ilvl="4" w:tplc="03785536">
      <w:numFmt w:val="bullet"/>
      <w:lvlText w:val="•"/>
      <w:lvlJc w:val="left"/>
      <w:pPr>
        <w:ind w:left="3545" w:hanging="144"/>
      </w:pPr>
      <w:rPr>
        <w:rFonts w:hint="default"/>
      </w:rPr>
    </w:lvl>
    <w:lvl w:ilvl="5" w:tplc="94200BB4">
      <w:numFmt w:val="bullet"/>
      <w:lvlText w:val="•"/>
      <w:lvlJc w:val="left"/>
      <w:pPr>
        <w:ind w:left="4707" w:hanging="144"/>
      </w:pPr>
      <w:rPr>
        <w:rFonts w:hint="default"/>
      </w:rPr>
    </w:lvl>
    <w:lvl w:ilvl="6" w:tplc="51BAD588">
      <w:numFmt w:val="bullet"/>
      <w:lvlText w:val="•"/>
      <w:lvlJc w:val="left"/>
      <w:pPr>
        <w:ind w:left="5870" w:hanging="144"/>
      </w:pPr>
      <w:rPr>
        <w:rFonts w:hint="default"/>
      </w:rPr>
    </w:lvl>
    <w:lvl w:ilvl="7" w:tplc="4F943D0E">
      <w:numFmt w:val="bullet"/>
      <w:lvlText w:val="•"/>
      <w:lvlJc w:val="left"/>
      <w:pPr>
        <w:ind w:left="7032" w:hanging="144"/>
      </w:pPr>
      <w:rPr>
        <w:rFonts w:hint="default"/>
      </w:rPr>
    </w:lvl>
    <w:lvl w:ilvl="8" w:tplc="BE1231D2">
      <w:numFmt w:val="bullet"/>
      <w:lvlText w:val="•"/>
      <w:lvlJc w:val="left"/>
      <w:pPr>
        <w:ind w:left="8195" w:hanging="144"/>
      </w:pPr>
      <w:rPr>
        <w:rFonts w:hint="default"/>
      </w:rPr>
    </w:lvl>
  </w:abstractNum>
  <w:abstractNum w:abstractNumId="22" w15:restartNumberingAfterBreak="0">
    <w:nsid w:val="74F40BCE"/>
    <w:multiLevelType w:val="hybridMultilevel"/>
    <w:tmpl w:val="20AE16A2"/>
    <w:lvl w:ilvl="0" w:tplc="8BA23E38">
      <w:start w:val="1"/>
      <w:numFmt w:val="decimal"/>
      <w:lvlText w:val="%1."/>
      <w:lvlJc w:val="left"/>
      <w:pPr>
        <w:ind w:left="106" w:hanging="219"/>
      </w:pPr>
      <w:rPr>
        <w:rFonts w:ascii="Calibri" w:eastAsia="Calibri" w:hAnsi="Calibri" w:cs="Calibri" w:hint="default"/>
        <w:w w:val="100"/>
        <w:sz w:val="22"/>
        <w:szCs w:val="22"/>
      </w:rPr>
    </w:lvl>
    <w:lvl w:ilvl="1" w:tplc="3CFE5B82">
      <w:numFmt w:val="bullet"/>
      <w:lvlText w:val="•"/>
      <w:lvlJc w:val="left"/>
      <w:pPr>
        <w:ind w:left="452" w:hanging="219"/>
      </w:pPr>
      <w:rPr>
        <w:rFonts w:hint="default"/>
      </w:rPr>
    </w:lvl>
    <w:lvl w:ilvl="2" w:tplc="1AEAC538">
      <w:numFmt w:val="bullet"/>
      <w:lvlText w:val="•"/>
      <w:lvlJc w:val="left"/>
      <w:pPr>
        <w:ind w:left="805" w:hanging="219"/>
      </w:pPr>
      <w:rPr>
        <w:rFonts w:hint="default"/>
      </w:rPr>
    </w:lvl>
    <w:lvl w:ilvl="3" w:tplc="85904EA6">
      <w:numFmt w:val="bullet"/>
      <w:lvlText w:val="•"/>
      <w:lvlJc w:val="left"/>
      <w:pPr>
        <w:ind w:left="1157" w:hanging="219"/>
      </w:pPr>
      <w:rPr>
        <w:rFonts w:hint="default"/>
      </w:rPr>
    </w:lvl>
    <w:lvl w:ilvl="4" w:tplc="9AC4B6B0">
      <w:numFmt w:val="bullet"/>
      <w:lvlText w:val="•"/>
      <w:lvlJc w:val="left"/>
      <w:pPr>
        <w:ind w:left="1510" w:hanging="219"/>
      </w:pPr>
      <w:rPr>
        <w:rFonts w:hint="default"/>
      </w:rPr>
    </w:lvl>
    <w:lvl w:ilvl="5" w:tplc="ECDC3A6C">
      <w:numFmt w:val="bullet"/>
      <w:lvlText w:val="•"/>
      <w:lvlJc w:val="left"/>
      <w:pPr>
        <w:ind w:left="1862" w:hanging="219"/>
      </w:pPr>
      <w:rPr>
        <w:rFonts w:hint="default"/>
      </w:rPr>
    </w:lvl>
    <w:lvl w:ilvl="6" w:tplc="A874E67C">
      <w:numFmt w:val="bullet"/>
      <w:lvlText w:val="•"/>
      <w:lvlJc w:val="left"/>
      <w:pPr>
        <w:ind w:left="2215" w:hanging="219"/>
      </w:pPr>
      <w:rPr>
        <w:rFonts w:hint="default"/>
      </w:rPr>
    </w:lvl>
    <w:lvl w:ilvl="7" w:tplc="B5366E12">
      <w:numFmt w:val="bullet"/>
      <w:lvlText w:val="•"/>
      <w:lvlJc w:val="left"/>
      <w:pPr>
        <w:ind w:left="2567" w:hanging="219"/>
      </w:pPr>
      <w:rPr>
        <w:rFonts w:hint="default"/>
      </w:rPr>
    </w:lvl>
    <w:lvl w:ilvl="8" w:tplc="0BDA0C40">
      <w:numFmt w:val="bullet"/>
      <w:lvlText w:val="•"/>
      <w:lvlJc w:val="left"/>
      <w:pPr>
        <w:ind w:left="2920" w:hanging="219"/>
      </w:pPr>
      <w:rPr>
        <w:rFonts w:hint="default"/>
      </w:rPr>
    </w:lvl>
  </w:abstractNum>
  <w:abstractNum w:abstractNumId="23" w15:restartNumberingAfterBreak="0">
    <w:nsid w:val="757D0F1F"/>
    <w:multiLevelType w:val="hybridMultilevel"/>
    <w:tmpl w:val="771CDF7E"/>
    <w:lvl w:ilvl="0" w:tplc="73B69146">
      <w:start w:val="1"/>
      <w:numFmt w:val="decimal"/>
      <w:lvlText w:val="%1."/>
      <w:lvlJc w:val="left"/>
      <w:pPr>
        <w:ind w:left="107" w:hanging="219"/>
      </w:pPr>
      <w:rPr>
        <w:rFonts w:ascii="Calibri" w:eastAsia="Calibri" w:hAnsi="Calibri" w:cs="Calibri" w:hint="default"/>
        <w:w w:val="100"/>
        <w:sz w:val="22"/>
        <w:szCs w:val="22"/>
      </w:rPr>
    </w:lvl>
    <w:lvl w:ilvl="1" w:tplc="B230799E">
      <w:numFmt w:val="bullet"/>
      <w:lvlText w:val="•"/>
      <w:lvlJc w:val="left"/>
      <w:pPr>
        <w:ind w:left="366" w:hanging="219"/>
      </w:pPr>
      <w:rPr>
        <w:rFonts w:hint="default"/>
      </w:rPr>
    </w:lvl>
    <w:lvl w:ilvl="2" w:tplc="15604FC0">
      <w:numFmt w:val="bullet"/>
      <w:lvlText w:val="•"/>
      <w:lvlJc w:val="left"/>
      <w:pPr>
        <w:ind w:left="632" w:hanging="219"/>
      </w:pPr>
      <w:rPr>
        <w:rFonts w:hint="default"/>
      </w:rPr>
    </w:lvl>
    <w:lvl w:ilvl="3" w:tplc="D876E930">
      <w:numFmt w:val="bullet"/>
      <w:lvlText w:val="•"/>
      <w:lvlJc w:val="left"/>
      <w:pPr>
        <w:ind w:left="898" w:hanging="219"/>
      </w:pPr>
      <w:rPr>
        <w:rFonts w:hint="default"/>
      </w:rPr>
    </w:lvl>
    <w:lvl w:ilvl="4" w:tplc="5412C042">
      <w:numFmt w:val="bullet"/>
      <w:lvlText w:val="•"/>
      <w:lvlJc w:val="left"/>
      <w:pPr>
        <w:ind w:left="1165" w:hanging="219"/>
      </w:pPr>
      <w:rPr>
        <w:rFonts w:hint="default"/>
      </w:rPr>
    </w:lvl>
    <w:lvl w:ilvl="5" w:tplc="3B6E3B88">
      <w:numFmt w:val="bullet"/>
      <w:lvlText w:val="•"/>
      <w:lvlJc w:val="left"/>
      <w:pPr>
        <w:ind w:left="1431" w:hanging="219"/>
      </w:pPr>
      <w:rPr>
        <w:rFonts w:hint="default"/>
      </w:rPr>
    </w:lvl>
    <w:lvl w:ilvl="6" w:tplc="1AD24580">
      <w:numFmt w:val="bullet"/>
      <w:lvlText w:val="•"/>
      <w:lvlJc w:val="left"/>
      <w:pPr>
        <w:ind w:left="1697" w:hanging="219"/>
      </w:pPr>
      <w:rPr>
        <w:rFonts w:hint="default"/>
      </w:rPr>
    </w:lvl>
    <w:lvl w:ilvl="7" w:tplc="B42223DE">
      <w:numFmt w:val="bullet"/>
      <w:lvlText w:val="•"/>
      <w:lvlJc w:val="left"/>
      <w:pPr>
        <w:ind w:left="1964" w:hanging="219"/>
      </w:pPr>
      <w:rPr>
        <w:rFonts w:hint="default"/>
      </w:rPr>
    </w:lvl>
    <w:lvl w:ilvl="8" w:tplc="5D7A8906">
      <w:numFmt w:val="bullet"/>
      <w:lvlText w:val="•"/>
      <w:lvlJc w:val="left"/>
      <w:pPr>
        <w:ind w:left="2230" w:hanging="219"/>
      </w:pPr>
      <w:rPr>
        <w:rFonts w:hint="default"/>
      </w:rPr>
    </w:lvl>
  </w:abstractNum>
  <w:abstractNum w:abstractNumId="24" w15:restartNumberingAfterBreak="0">
    <w:nsid w:val="79DC4847"/>
    <w:multiLevelType w:val="hybridMultilevel"/>
    <w:tmpl w:val="153AA84E"/>
    <w:lvl w:ilvl="0" w:tplc="4A90CAD8">
      <w:start w:val="1"/>
      <w:numFmt w:val="decimal"/>
      <w:lvlText w:val="%1."/>
      <w:lvlJc w:val="left"/>
      <w:pPr>
        <w:ind w:left="106" w:hanging="269"/>
      </w:pPr>
      <w:rPr>
        <w:rFonts w:ascii="Calibri" w:eastAsia="Calibri" w:hAnsi="Calibri" w:cs="Calibri" w:hint="default"/>
        <w:w w:val="100"/>
        <w:sz w:val="22"/>
        <w:szCs w:val="22"/>
      </w:rPr>
    </w:lvl>
    <w:lvl w:ilvl="1" w:tplc="42A2B268">
      <w:numFmt w:val="bullet"/>
      <w:lvlText w:val="•"/>
      <w:lvlJc w:val="left"/>
      <w:pPr>
        <w:ind w:left="452" w:hanging="269"/>
      </w:pPr>
      <w:rPr>
        <w:rFonts w:hint="default"/>
      </w:rPr>
    </w:lvl>
    <w:lvl w:ilvl="2" w:tplc="AE44E178">
      <w:numFmt w:val="bullet"/>
      <w:lvlText w:val="•"/>
      <w:lvlJc w:val="left"/>
      <w:pPr>
        <w:ind w:left="805" w:hanging="269"/>
      </w:pPr>
      <w:rPr>
        <w:rFonts w:hint="default"/>
      </w:rPr>
    </w:lvl>
    <w:lvl w:ilvl="3" w:tplc="400219F6">
      <w:numFmt w:val="bullet"/>
      <w:lvlText w:val="•"/>
      <w:lvlJc w:val="left"/>
      <w:pPr>
        <w:ind w:left="1157" w:hanging="269"/>
      </w:pPr>
      <w:rPr>
        <w:rFonts w:hint="default"/>
      </w:rPr>
    </w:lvl>
    <w:lvl w:ilvl="4" w:tplc="6186D89A">
      <w:numFmt w:val="bullet"/>
      <w:lvlText w:val="•"/>
      <w:lvlJc w:val="left"/>
      <w:pPr>
        <w:ind w:left="1510" w:hanging="269"/>
      </w:pPr>
      <w:rPr>
        <w:rFonts w:hint="default"/>
      </w:rPr>
    </w:lvl>
    <w:lvl w:ilvl="5" w:tplc="20189AFA">
      <w:numFmt w:val="bullet"/>
      <w:lvlText w:val="•"/>
      <w:lvlJc w:val="left"/>
      <w:pPr>
        <w:ind w:left="1862" w:hanging="269"/>
      </w:pPr>
      <w:rPr>
        <w:rFonts w:hint="default"/>
      </w:rPr>
    </w:lvl>
    <w:lvl w:ilvl="6" w:tplc="FC026A5E">
      <w:numFmt w:val="bullet"/>
      <w:lvlText w:val="•"/>
      <w:lvlJc w:val="left"/>
      <w:pPr>
        <w:ind w:left="2215" w:hanging="269"/>
      </w:pPr>
      <w:rPr>
        <w:rFonts w:hint="default"/>
      </w:rPr>
    </w:lvl>
    <w:lvl w:ilvl="7" w:tplc="16B44060">
      <w:numFmt w:val="bullet"/>
      <w:lvlText w:val="•"/>
      <w:lvlJc w:val="left"/>
      <w:pPr>
        <w:ind w:left="2567" w:hanging="269"/>
      </w:pPr>
      <w:rPr>
        <w:rFonts w:hint="default"/>
      </w:rPr>
    </w:lvl>
    <w:lvl w:ilvl="8" w:tplc="03BE0320">
      <w:numFmt w:val="bullet"/>
      <w:lvlText w:val="•"/>
      <w:lvlJc w:val="left"/>
      <w:pPr>
        <w:ind w:left="2920" w:hanging="269"/>
      </w:pPr>
      <w:rPr>
        <w:rFonts w:hint="default"/>
      </w:rPr>
    </w:lvl>
  </w:abstractNum>
  <w:abstractNum w:abstractNumId="25" w15:restartNumberingAfterBreak="0">
    <w:nsid w:val="7FAE16D4"/>
    <w:multiLevelType w:val="hybridMultilevel"/>
    <w:tmpl w:val="032AACA8"/>
    <w:lvl w:ilvl="0" w:tplc="4B0EC1E8">
      <w:start w:val="1"/>
      <w:numFmt w:val="decimal"/>
      <w:lvlText w:val="%1."/>
      <w:lvlJc w:val="left"/>
      <w:pPr>
        <w:ind w:left="107" w:hanging="219"/>
      </w:pPr>
      <w:rPr>
        <w:rFonts w:ascii="Calibri" w:eastAsia="Calibri" w:hAnsi="Calibri" w:cs="Calibri" w:hint="default"/>
        <w:w w:val="100"/>
        <w:sz w:val="22"/>
        <w:szCs w:val="22"/>
      </w:rPr>
    </w:lvl>
    <w:lvl w:ilvl="1" w:tplc="7E8C666E">
      <w:numFmt w:val="bullet"/>
      <w:lvlText w:val="•"/>
      <w:lvlJc w:val="left"/>
      <w:pPr>
        <w:ind w:left="407" w:hanging="219"/>
      </w:pPr>
      <w:rPr>
        <w:rFonts w:hint="default"/>
      </w:rPr>
    </w:lvl>
    <w:lvl w:ilvl="2" w:tplc="1D0CD9B2">
      <w:numFmt w:val="bullet"/>
      <w:lvlText w:val="•"/>
      <w:lvlJc w:val="left"/>
      <w:pPr>
        <w:ind w:left="715" w:hanging="219"/>
      </w:pPr>
      <w:rPr>
        <w:rFonts w:hint="default"/>
      </w:rPr>
    </w:lvl>
    <w:lvl w:ilvl="3" w:tplc="38C65464">
      <w:numFmt w:val="bullet"/>
      <w:lvlText w:val="•"/>
      <w:lvlJc w:val="left"/>
      <w:pPr>
        <w:ind w:left="1023" w:hanging="219"/>
      </w:pPr>
      <w:rPr>
        <w:rFonts w:hint="default"/>
      </w:rPr>
    </w:lvl>
    <w:lvl w:ilvl="4" w:tplc="05C4A534">
      <w:numFmt w:val="bullet"/>
      <w:lvlText w:val="•"/>
      <w:lvlJc w:val="left"/>
      <w:pPr>
        <w:ind w:left="1331" w:hanging="219"/>
      </w:pPr>
      <w:rPr>
        <w:rFonts w:hint="default"/>
      </w:rPr>
    </w:lvl>
    <w:lvl w:ilvl="5" w:tplc="32787C3A">
      <w:numFmt w:val="bullet"/>
      <w:lvlText w:val="•"/>
      <w:lvlJc w:val="left"/>
      <w:pPr>
        <w:ind w:left="1639" w:hanging="219"/>
      </w:pPr>
      <w:rPr>
        <w:rFonts w:hint="default"/>
      </w:rPr>
    </w:lvl>
    <w:lvl w:ilvl="6" w:tplc="4FBA1DEC">
      <w:numFmt w:val="bullet"/>
      <w:lvlText w:val="•"/>
      <w:lvlJc w:val="left"/>
      <w:pPr>
        <w:ind w:left="1946" w:hanging="219"/>
      </w:pPr>
      <w:rPr>
        <w:rFonts w:hint="default"/>
      </w:rPr>
    </w:lvl>
    <w:lvl w:ilvl="7" w:tplc="493866AC">
      <w:numFmt w:val="bullet"/>
      <w:lvlText w:val="•"/>
      <w:lvlJc w:val="left"/>
      <w:pPr>
        <w:ind w:left="2254" w:hanging="219"/>
      </w:pPr>
      <w:rPr>
        <w:rFonts w:hint="default"/>
      </w:rPr>
    </w:lvl>
    <w:lvl w:ilvl="8" w:tplc="615C8088">
      <w:numFmt w:val="bullet"/>
      <w:lvlText w:val="•"/>
      <w:lvlJc w:val="left"/>
      <w:pPr>
        <w:ind w:left="2562" w:hanging="219"/>
      </w:pPr>
      <w:rPr>
        <w:rFonts w:hint="default"/>
      </w:rPr>
    </w:lvl>
  </w:abstractNum>
  <w:num w:numId="1" w16cid:durableId="1572276458">
    <w:abstractNumId w:val="16"/>
  </w:num>
  <w:num w:numId="2" w16cid:durableId="1903132148">
    <w:abstractNumId w:val="21"/>
  </w:num>
  <w:num w:numId="3" w16cid:durableId="1333677858">
    <w:abstractNumId w:val="10"/>
  </w:num>
  <w:num w:numId="4" w16cid:durableId="2111123633">
    <w:abstractNumId w:val="13"/>
  </w:num>
  <w:num w:numId="5" w16cid:durableId="1662002116">
    <w:abstractNumId w:val="18"/>
  </w:num>
  <w:num w:numId="6" w16cid:durableId="1278026996">
    <w:abstractNumId w:val="25"/>
  </w:num>
  <w:num w:numId="7" w16cid:durableId="874388962">
    <w:abstractNumId w:val="7"/>
  </w:num>
  <w:num w:numId="8" w16cid:durableId="1970890043">
    <w:abstractNumId w:val="2"/>
  </w:num>
  <w:num w:numId="9" w16cid:durableId="1617566954">
    <w:abstractNumId w:val="9"/>
  </w:num>
  <w:num w:numId="10" w16cid:durableId="198782769">
    <w:abstractNumId w:val="23"/>
  </w:num>
  <w:num w:numId="11" w16cid:durableId="1733694241">
    <w:abstractNumId w:val="4"/>
  </w:num>
  <w:num w:numId="12" w16cid:durableId="52393416">
    <w:abstractNumId w:val="0"/>
  </w:num>
  <w:num w:numId="13" w16cid:durableId="1238399712">
    <w:abstractNumId w:val="1"/>
  </w:num>
  <w:num w:numId="14" w16cid:durableId="413671523">
    <w:abstractNumId w:val="8"/>
  </w:num>
  <w:num w:numId="15" w16cid:durableId="610014713">
    <w:abstractNumId w:val="20"/>
  </w:num>
  <w:num w:numId="16" w16cid:durableId="970478695">
    <w:abstractNumId w:val="19"/>
  </w:num>
  <w:num w:numId="17" w16cid:durableId="2114548076">
    <w:abstractNumId w:val="14"/>
  </w:num>
  <w:num w:numId="18" w16cid:durableId="848567618">
    <w:abstractNumId w:val="22"/>
  </w:num>
  <w:num w:numId="19" w16cid:durableId="2026059265">
    <w:abstractNumId w:val="11"/>
  </w:num>
  <w:num w:numId="20" w16cid:durableId="1706903969">
    <w:abstractNumId w:val="12"/>
  </w:num>
  <w:num w:numId="21" w16cid:durableId="1825050446">
    <w:abstractNumId w:val="5"/>
  </w:num>
  <w:num w:numId="22" w16cid:durableId="1469860147">
    <w:abstractNumId w:val="6"/>
  </w:num>
  <w:num w:numId="23" w16cid:durableId="1946692763">
    <w:abstractNumId w:val="24"/>
  </w:num>
  <w:num w:numId="24" w16cid:durableId="384378938">
    <w:abstractNumId w:val="3"/>
  </w:num>
  <w:num w:numId="25" w16cid:durableId="1018626596">
    <w:abstractNumId w:val="17"/>
  </w:num>
  <w:num w:numId="26" w16cid:durableId="6694047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62"/>
    <w:rsid w:val="000303D6"/>
    <w:rsid w:val="0003421B"/>
    <w:rsid w:val="000345B4"/>
    <w:rsid w:val="00036B3E"/>
    <w:rsid w:val="00045A01"/>
    <w:rsid w:val="00050F39"/>
    <w:rsid w:val="0005149D"/>
    <w:rsid w:val="0006020E"/>
    <w:rsid w:val="00062027"/>
    <w:rsid w:val="00075465"/>
    <w:rsid w:val="00090EFF"/>
    <w:rsid w:val="000A21CD"/>
    <w:rsid w:val="000B224F"/>
    <w:rsid w:val="000C1989"/>
    <w:rsid w:val="000C2DD9"/>
    <w:rsid w:val="000F2A9C"/>
    <w:rsid w:val="001004FB"/>
    <w:rsid w:val="001166FA"/>
    <w:rsid w:val="00142FD1"/>
    <w:rsid w:val="001528D9"/>
    <w:rsid w:val="00164F46"/>
    <w:rsid w:val="001762FC"/>
    <w:rsid w:val="001A5CF2"/>
    <w:rsid w:val="001A63CA"/>
    <w:rsid w:val="00203360"/>
    <w:rsid w:val="002069D0"/>
    <w:rsid w:val="0020724F"/>
    <w:rsid w:val="00216C2B"/>
    <w:rsid w:val="00233D25"/>
    <w:rsid w:val="00233F67"/>
    <w:rsid w:val="00246E89"/>
    <w:rsid w:val="00255600"/>
    <w:rsid w:val="00295DC2"/>
    <w:rsid w:val="002A7593"/>
    <w:rsid w:val="002C062E"/>
    <w:rsid w:val="002C6BE8"/>
    <w:rsid w:val="002D4DF6"/>
    <w:rsid w:val="002E3293"/>
    <w:rsid w:val="002E5062"/>
    <w:rsid w:val="00335A74"/>
    <w:rsid w:val="00340D49"/>
    <w:rsid w:val="00342FA1"/>
    <w:rsid w:val="0034575B"/>
    <w:rsid w:val="00345DDE"/>
    <w:rsid w:val="00356448"/>
    <w:rsid w:val="0036283D"/>
    <w:rsid w:val="00370555"/>
    <w:rsid w:val="00370AA6"/>
    <w:rsid w:val="0039054B"/>
    <w:rsid w:val="00390670"/>
    <w:rsid w:val="003A5CC3"/>
    <w:rsid w:val="003A612A"/>
    <w:rsid w:val="003B2542"/>
    <w:rsid w:val="003B2D0C"/>
    <w:rsid w:val="003B6F2E"/>
    <w:rsid w:val="003B76BE"/>
    <w:rsid w:val="003E6800"/>
    <w:rsid w:val="00401E2F"/>
    <w:rsid w:val="0040518B"/>
    <w:rsid w:val="00405F8E"/>
    <w:rsid w:val="004179A4"/>
    <w:rsid w:val="004208B1"/>
    <w:rsid w:val="00425DCE"/>
    <w:rsid w:val="00442DD9"/>
    <w:rsid w:val="00482FD8"/>
    <w:rsid w:val="00484D39"/>
    <w:rsid w:val="004C7445"/>
    <w:rsid w:val="004E4911"/>
    <w:rsid w:val="00524A07"/>
    <w:rsid w:val="0054212F"/>
    <w:rsid w:val="005447DC"/>
    <w:rsid w:val="005460AE"/>
    <w:rsid w:val="00556842"/>
    <w:rsid w:val="00563B82"/>
    <w:rsid w:val="00567009"/>
    <w:rsid w:val="00586CC8"/>
    <w:rsid w:val="00597C8A"/>
    <w:rsid w:val="005A3441"/>
    <w:rsid w:val="005A5E69"/>
    <w:rsid w:val="005D25C1"/>
    <w:rsid w:val="005D48C4"/>
    <w:rsid w:val="005E0A47"/>
    <w:rsid w:val="005F690B"/>
    <w:rsid w:val="00614F0A"/>
    <w:rsid w:val="00643EE8"/>
    <w:rsid w:val="00660321"/>
    <w:rsid w:val="00667E70"/>
    <w:rsid w:val="006747A1"/>
    <w:rsid w:val="006B02BE"/>
    <w:rsid w:val="006B4844"/>
    <w:rsid w:val="006C21EA"/>
    <w:rsid w:val="006D7504"/>
    <w:rsid w:val="006E1E0C"/>
    <w:rsid w:val="006E25E7"/>
    <w:rsid w:val="006E7969"/>
    <w:rsid w:val="006F5FC7"/>
    <w:rsid w:val="0070294E"/>
    <w:rsid w:val="0071142E"/>
    <w:rsid w:val="00721B78"/>
    <w:rsid w:val="007264A5"/>
    <w:rsid w:val="00740A44"/>
    <w:rsid w:val="007564A3"/>
    <w:rsid w:val="007729E7"/>
    <w:rsid w:val="00773914"/>
    <w:rsid w:val="00774062"/>
    <w:rsid w:val="007952C4"/>
    <w:rsid w:val="007B6339"/>
    <w:rsid w:val="007C463A"/>
    <w:rsid w:val="007E0777"/>
    <w:rsid w:val="007F3889"/>
    <w:rsid w:val="007F3FAC"/>
    <w:rsid w:val="00803325"/>
    <w:rsid w:val="00834318"/>
    <w:rsid w:val="00853F91"/>
    <w:rsid w:val="00876CB3"/>
    <w:rsid w:val="008865D1"/>
    <w:rsid w:val="00897849"/>
    <w:rsid w:val="00897932"/>
    <w:rsid w:val="008A54D7"/>
    <w:rsid w:val="008B7799"/>
    <w:rsid w:val="008C44D4"/>
    <w:rsid w:val="008D5413"/>
    <w:rsid w:val="008D651E"/>
    <w:rsid w:val="008E73EE"/>
    <w:rsid w:val="00913B5A"/>
    <w:rsid w:val="0092530A"/>
    <w:rsid w:val="00930BE3"/>
    <w:rsid w:val="009802AD"/>
    <w:rsid w:val="00994CF8"/>
    <w:rsid w:val="00996C76"/>
    <w:rsid w:val="009A7491"/>
    <w:rsid w:val="009D128F"/>
    <w:rsid w:val="009D2BDF"/>
    <w:rsid w:val="009E6D9A"/>
    <w:rsid w:val="00A00A76"/>
    <w:rsid w:val="00A10364"/>
    <w:rsid w:val="00A36B82"/>
    <w:rsid w:val="00A4271C"/>
    <w:rsid w:val="00A5095C"/>
    <w:rsid w:val="00A51110"/>
    <w:rsid w:val="00A720F2"/>
    <w:rsid w:val="00A76B6F"/>
    <w:rsid w:val="00A90ADC"/>
    <w:rsid w:val="00AB3BFE"/>
    <w:rsid w:val="00AC0E80"/>
    <w:rsid w:val="00AD4E3D"/>
    <w:rsid w:val="00AD70E5"/>
    <w:rsid w:val="00AF283D"/>
    <w:rsid w:val="00AF63BA"/>
    <w:rsid w:val="00AF7772"/>
    <w:rsid w:val="00B27078"/>
    <w:rsid w:val="00B318EF"/>
    <w:rsid w:val="00B33E40"/>
    <w:rsid w:val="00B349F7"/>
    <w:rsid w:val="00B36BF3"/>
    <w:rsid w:val="00B42207"/>
    <w:rsid w:val="00B515BE"/>
    <w:rsid w:val="00B6441F"/>
    <w:rsid w:val="00B769C1"/>
    <w:rsid w:val="00B828E9"/>
    <w:rsid w:val="00B928E6"/>
    <w:rsid w:val="00B95340"/>
    <w:rsid w:val="00BC079B"/>
    <w:rsid w:val="00BD6606"/>
    <w:rsid w:val="00BD6720"/>
    <w:rsid w:val="00BF6039"/>
    <w:rsid w:val="00C07A29"/>
    <w:rsid w:val="00C13EF8"/>
    <w:rsid w:val="00C14237"/>
    <w:rsid w:val="00C22356"/>
    <w:rsid w:val="00C36027"/>
    <w:rsid w:val="00C37B91"/>
    <w:rsid w:val="00C442C5"/>
    <w:rsid w:val="00C455F1"/>
    <w:rsid w:val="00C55F3B"/>
    <w:rsid w:val="00C628A7"/>
    <w:rsid w:val="00C65E2D"/>
    <w:rsid w:val="00C66404"/>
    <w:rsid w:val="00C66FB4"/>
    <w:rsid w:val="00C762CA"/>
    <w:rsid w:val="00C9243D"/>
    <w:rsid w:val="00CB27B0"/>
    <w:rsid w:val="00CB771B"/>
    <w:rsid w:val="00CB77BF"/>
    <w:rsid w:val="00CD187B"/>
    <w:rsid w:val="00CE1C23"/>
    <w:rsid w:val="00CE342E"/>
    <w:rsid w:val="00CF1ED6"/>
    <w:rsid w:val="00CF5FF3"/>
    <w:rsid w:val="00D154AE"/>
    <w:rsid w:val="00D17C57"/>
    <w:rsid w:val="00D3491A"/>
    <w:rsid w:val="00D42AFB"/>
    <w:rsid w:val="00D51152"/>
    <w:rsid w:val="00D607E7"/>
    <w:rsid w:val="00D654B6"/>
    <w:rsid w:val="00D747C4"/>
    <w:rsid w:val="00D77C30"/>
    <w:rsid w:val="00D950D2"/>
    <w:rsid w:val="00D975B1"/>
    <w:rsid w:val="00DA416A"/>
    <w:rsid w:val="00DB54C7"/>
    <w:rsid w:val="00DB6EA8"/>
    <w:rsid w:val="00DC0941"/>
    <w:rsid w:val="00DD0782"/>
    <w:rsid w:val="00DE2BAA"/>
    <w:rsid w:val="00DE7061"/>
    <w:rsid w:val="00E021AC"/>
    <w:rsid w:val="00E25D73"/>
    <w:rsid w:val="00E3034C"/>
    <w:rsid w:val="00E3790D"/>
    <w:rsid w:val="00E461A0"/>
    <w:rsid w:val="00E51535"/>
    <w:rsid w:val="00E66D32"/>
    <w:rsid w:val="00E67D3A"/>
    <w:rsid w:val="00E73F2E"/>
    <w:rsid w:val="00E83DA7"/>
    <w:rsid w:val="00E86E4B"/>
    <w:rsid w:val="00E91E94"/>
    <w:rsid w:val="00EB69D2"/>
    <w:rsid w:val="00EC2A71"/>
    <w:rsid w:val="00EC6A2B"/>
    <w:rsid w:val="00ED69F9"/>
    <w:rsid w:val="00EF3762"/>
    <w:rsid w:val="00EF3F0D"/>
    <w:rsid w:val="00F0461C"/>
    <w:rsid w:val="00F25E84"/>
    <w:rsid w:val="00F339A0"/>
    <w:rsid w:val="00F41B35"/>
    <w:rsid w:val="00F5280C"/>
    <w:rsid w:val="00F53DEE"/>
    <w:rsid w:val="00F662CB"/>
    <w:rsid w:val="00F90762"/>
    <w:rsid w:val="00FA7C27"/>
    <w:rsid w:val="00FD4DA9"/>
    <w:rsid w:val="00FE7A6C"/>
    <w:rsid w:val="00FF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23B760CC"/>
  <w15:chartTrackingRefBased/>
  <w15:docId w15:val="{0E3C7DEC-BDF7-4ED4-9077-21FF7D3F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E5062"/>
    <w:pPr>
      <w:widowControl w:val="0"/>
      <w:autoSpaceDE w:val="0"/>
      <w:autoSpaceDN w:val="0"/>
      <w:spacing w:before="100" w:after="0" w:line="240" w:lineRule="auto"/>
      <w:ind w:left="140"/>
      <w:outlineLvl w:val="0"/>
    </w:pPr>
    <w:rPr>
      <w:rFonts w:ascii="Cambria" w:eastAsia="Cambria" w:hAnsi="Cambria" w:cs="Cambria"/>
      <w:b/>
      <w:bCs/>
      <w:sz w:val="32"/>
      <w:szCs w:val="32"/>
    </w:rPr>
  </w:style>
  <w:style w:type="paragraph" w:styleId="Heading2">
    <w:name w:val="heading 2"/>
    <w:basedOn w:val="Normal"/>
    <w:next w:val="Normal"/>
    <w:link w:val="Heading2Char"/>
    <w:uiPriority w:val="9"/>
    <w:semiHidden/>
    <w:unhideWhenUsed/>
    <w:qFormat/>
    <w:rsid w:val="005D2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50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5062"/>
    <w:rPr>
      <w:rFonts w:ascii="Cambria" w:eastAsia="Cambria" w:hAnsi="Cambria" w:cs="Cambria"/>
      <w:b/>
      <w:bCs/>
      <w:sz w:val="32"/>
      <w:szCs w:val="32"/>
    </w:rPr>
  </w:style>
  <w:style w:type="character" w:customStyle="1" w:styleId="Heading3Char">
    <w:name w:val="Heading 3 Char"/>
    <w:basedOn w:val="DefaultParagraphFont"/>
    <w:link w:val="Heading3"/>
    <w:uiPriority w:val="9"/>
    <w:semiHidden/>
    <w:rsid w:val="002E5062"/>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E5062"/>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E5062"/>
    <w:rPr>
      <w:rFonts w:ascii="Calibri" w:eastAsia="Calibri" w:hAnsi="Calibri" w:cs="Calibri"/>
    </w:rPr>
  </w:style>
  <w:style w:type="paragraph" w:styleId="NoSpacing">
    <w:name w:val="No Spacing"/>
    <w:uiPriority w:val="1"/>
    <w:qFormat/>
    <w:rsid w:val="00FF0719"/>
    <w:pPr>
      <w:spacing w:after="0" w:line="240" w:lineRule="auto"/>
    </w:pPr>
  </w:style>
  <w:style w:type="character" w:customStyle="1" w:styleId="Heading2Char">
    <w:name w:val="Heading 2 Char"/>
    <w:basedOn w:val="DefaultParagraphFont"/>
    <w:link w:val="Heading2"/>
    <w:uiPriority w:val="9"/>
    <w:semiHidden/>
    <w:rsid w:val="005D25C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5D25C1"/>
    <w:pPr>
      <w:widowControl w:val="0"/>
      <w:autoSpaceDE w:val="0"/>
      <w:autoSpaceDN w:val="0"/>
      <w:spacing w:before="20" w:after="0" w:line="134" w:lineRule="exact"/>
    </w:pPr>
    <w:rPr>
      <w:rFonts w:ascii="Calibri" w:eastAsia="Calibri" w:hAnsi="Calibri" w:cs="Calibri"/>
    </w:rPr>
  </w:style>
  <w:style w:type="paragraph" w:styleId="ListParagraph">
    <w:name w:val="List Paragraph"/>
    <w:basedOn w:val="Normal"/>
    <w:uiPriority w:val="1"/>
    <w:qFormat/>
    <w:rsid w:val="008C44D4"/>
    <w:pPr>
      <w:widowControl w:val="0"/>
      <w:autoSpaceDE w:val="0"/>
      <w:autoSpaceDN w:val="0"/>
      <w:spacing w:before="28" w:after="0" w:line="240" w:lineRule="auto"/>
      <w:ind w:left="2680" w:hanging="1046"/>
    </w:pPr>
    <w:rPr>
      <w:rFonts w:ascii="Tahoma" w:eastAsia="Tahoma" w:hAnsi="Tahoma" w:cs="Tahoma"/>
    </w:rPr>
  </w:style>
  <w:style w:type="paragraph" w:styleId="Header">
    <w:name w:val="header"/>
    <w:basedOn w:val="Normal"/>
    <w:link w:val="HeaderChar"/>
    <w:uiPriority w:val="99"/>
    <w:unhideWhenUsed/>
    <w:rsid w:val="00CB7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7BF"/>
  </w:style>
  <w:style w:type="paragraph" w:styleId="Footer">
    <w:name w:val="footer"/>
    <w:basedOn w:val="Normal"/>
    <w:link w:val="FooterChar"/>
    <w:uiPriority w:val="99"/>
    <w:unhideWhenUsed/>
    <w:rsid w:val="00CB7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7BF"/>
  </w:style>
  <w:style w:type="paragraph" w:styleId="Revision">
    <w:name w:val="Revision"/>
    <w:hidden/>
    <w:uiPriority w:val="99"/>
    <w:semiHidden/>
    <w:rsid w:val="00C14237"/>
    <w:pPr>
      <w:spacing w:after="0" w:line="240" w:lineRule="auto"/>
    </w:pPr>
  </w:style>
  <w:style w:type="character" w:styleId="Hyperlink">
    <w:name w:val="Hyperlink"/>
    <w:basedOn w:val="DefaultParagraphFont"/>
    <w:uiPriority w:val="99"/>
    <w:unhideWhenUsed/>
    <w:rsid w:val="00216C2B"/>
    <w:rPr>
      <w:color w:val="0563C1" w:themeColor="hyperlink"/>
      <w:u w:val="single"/>
    </w:rPr>
  </w:style>
  <w:style w:type="character" w:styleId="UnresolvedMention">
    <w:name w:val="Unresolved Mention"/>
    <w:basedOn w:val="DefaultParagraphFont"/>
    <w:uiPriority w:val="99"/>
    <w:semiHidden/>
    <w:unhideWhenUsed/>
    <w:rsid w:val="00216C2B"/>
    <w:rPr>
      <w:color w:val="605E5C"/>
      <w:shd w:val="clear" w:color="auto" w:fill="E1DFDD"/>
    </w:rPr>
  </w:style>
  <w:style w:type="paragraph" w:styleId="NormalWeb">
    <w:name w:val="Normal (Web)"/>
    <w:basedOn w:val="Normal"/>
    <w:uiPriority w:val="99"/>
    <w:semiHidden/>
    <w:unhideWhenUsed/>
    <w:rsid w:val="00B36B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9425">
      <w:bodyDiv w:val="1"/>
      <w:marLeft w:val="0"/>
      <w:marRight w:val="0"/>
      <w:marTop w:val="0"/>
      <w:marBottom w:val="0"/>
      <w:divBdr>
        <w:top w:val="none" w:sz="0" w:space="0" w:color="auto"/>
        <w:left w:val="none" w:sz="0" w:space="0" w:color="auto"/>
        <w:bottom w:val="none" w:sz="0" w:space="0" w:color="auto"/>
        <w:right w:val="none" w:sz="0" w:space="0" w:color="auto"/>
      </w:divBdr>
    </w:div>
    <w:div w:id="230044675">
      <w:bodyDiv w:val="1"/>
      <w:marLeft w:val="0"/>
      <w:marRight w:val="0"/>
      <w:marTop w:val="0"/>
      <w:marBottom w:val="0"/>
      <w:divBdr>
        <w:top w:val="none" w:sz="0" w:space="0" w:color="auto"/>
        <w:left w:val="none" w:sz="0" w:space="0" w:color="auto"/>
        <w:bottom w:val="none" w:sz="0" w:space="0" w:color="auto"/>
        <w:right w:val="none" w:sz="0" w:space="0" w:color="auto"/>
      </w:divBdr>
    </w:div>
    <w:div w:id="305399052">
      <w:bodyDiv w:val="1"/>
      <w:marLeft w:val="0"/>
      <w:marRight w:val="0"/>
      <w:marTop w:val="0"/>
      <w:marBottom w:val="0"/>
      <w:divBdr>
        <w:top w:val="none" w:sz="0" w:space="0" w:color="auto"/>
        <w:left w:val="none" w:sz="0" w:space="0" w:color="auto"/>
        <w:bottom w:val="none" w:sz="0" w:space="0" w:color="auto"/>
        <w:right w:val="none" w:sz="0" w:space="0" w:color="auto"/>
      </w:divBdr>
    </w:div>
    <w:div w:id="359743482">
      <w:bodyDiv w:val="1"/>
      <w:marLeft w:val="0"/>
      <w:marRight w:val="0"/>
      <w:marTop w:val="0"/>
      <w:marBottom w:val="0"/>
      <w:divBdr>
        <w:top w:val="none" w:sz="0" w:space="0" w:color="auto"/>
        <w:left w:val="none" w:sz="0" w:space="0" w:color="auto"/>
        <w:bottom w:val="none" w:sz="0" w:space="0" w:color="auto"/>
        <w:right w:val="none" w:sz="0" w:space="0" w:color="auto"/>
      </w:divBdr>
    </w:div>
    <w:div w:id="404760202">
      <w:bodyDiv w:val="1"/>
      <w:marLeft w:val="0"/>
      <w:marRight w:val="0"/>
      <w:marTop w:val="0"/>
      <w:marBottom w:val="0"/>
      <w:divBdr>
        <w:top w:val="none" w:sz="0" w:space="0" w:color="auto"/>
        <w:left w:val="none" w:sz="0" w:space="0" w:color="auto"/>
        <w:bottom w:val="none" w:sz="0" w:space="0" w:color="auto"/>
        <w:right w:val="none" w:sz="0" w:space="0" w:color="auto"/>
      </w:divBdr>
    </w:div>
    <w:div w:id="674458572">
      <w:bodyDiv w:val="1"/>
      <w:marLeft w:val="0"/>
      <w:marRight w:val="0"/>
      <w:marTop w:val="0"/>
      <w:marBottom w:val="0"/>
      <w:divBdr>
        <w:top w:val="none" w:sz="0" w:space="0" w:color="auto"/>
        <w:left w:val="none" w:sz="0" w:space="0" w:color="auto"/>
        <w:bottom w:val="none" w:sz="0" w:space="0" w:color="auto"/>
        <w:right w:val="none" w:sz="0" w:space="0" w:color="auto"/>
      </w:divBdr>
    </w:div>
    <w:div w:id="677007608">
      <w:bodyDiv w:val="1"/>
      <w:marLeft w:val="0"/>
      <w:marRight w:val="0"/>
      <w:marTop w:val="0"/>
      <w:marBottom w:val="0"/>
      <w:divBdr>
        <w:top w:val="none" w:sz="0" w:space="0" w:color="auto"/>
        <w:left w:val="none" w:sz="0" w:space="0" w:color="auto"/>
        <w:bottom w:val="none" w:sz="0" w:space="0" w:color="auto"/>
        <w:right w:val="none" w:sz="0" w:space="0" w:color="auto"/>
      </w:divBdr>
    </w:div>
    <w:div w:id="1124349138">
      <w:bodyDiv w:val="1"/>
      <w:marLeft w:val="0"/>
      <w:marRight w:val="0"/>
      <w:marTop w:val="0"/>
      <w:marBottom w:val="0"/>
      <w:divBdr>
        <w:top w:val="none" w:sz="0" w:space="0" w:color="auto"/>
        <w:left w:val="none" w:sz="0" w:space="0" w:color="auto"/>
        <w:bottom w:val="none" w:sz="0" w:space="0" w:color="auto"/>
        <w:right w:val="none" w:sz="0" w:space="0" w:color="auto"/>
      </w:divBdr>
    </w:div>
    <w:div w:id="1309483074">
      <w:bodyDiv w:val="1"/>
      <w:marLeft w:val="0"/>
      <w:marRight w:val="0"/>
      <w:marTop w:val="0"/>
      <w:marBottom w:val="0"/>
      <w:divBdr>
        <w:top w:val="none" w:sz="0" w:space="0" w:color="auto"/>
        <w:left w:val="none" w:sz="0" w:space="0" w:color="auto"/>
        <w:bottom w:val="none" w:sz="0" w:space="0" w:color="auto"/>
        <w:right w:val="none" w:sz="0" w:space="0" w:color="auto"/>
      </w:divBdr>
    </w:div>
    <w:div w:id="1455250167">
      <w:bodyDiv w:val="1"/>
      <w:marLeft w:val="0"/>
      <w:marRight w:val="0"/>
      <w:marTop w:val="0"/>
      <w:marBottom w:val="0"/>
      <w:divBdr>
        <w:top w:val="none" w:sz="0" w:space="0" w:color="auto"/>
        <w:left w:val="none" w:sz="0" w:space="0" w:color="auto"/>
        <w:bottom w:val="none" w:sz="0" w:space="0" w:color="auto"/>
        <w:right w:val="none" w:sz="0" w:space="0" w:color="auto"/>
      </w:divBdr>
    </w:div>
    <w:div w:id="1802065638">
      <w:bodyDiv w:val="1"/>
      <w:marLeft w:val="0"/>
      <w:marRight w:val="0"/>
      <w:marTop w:val="0"/>
      <w:marBottom w:val="0"/>
      <w:divBdr>
        <w:top w:val="none" w:sz="0" w:space="0" w:color="auto"/>
        <w:left w:val="none" w:sz="0" w:space="0" w:color="auto"/>
        <w:bottom w:val="none" w:sz="0" w:space="0" w:color="auto"/>
        <w:right w:val="none" w:sz="0" w:space="0" w:color="auto"/>
      </w:divBdr>
    </w:div>
    <w:div w:id="213143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ahocities.org/" TargetMode="External"/><Relationship Id="rId18" Type="http://schemas.openxmlformats.org/officeDocument/2006/relationships/hyperlink" Target="http://idcounties.org/" TargetMode="External"/><Relationship Id="rId26" Type="http://schemas.openxmlformats.org/officeDocument/2006/relationships/hyperlink" Target="http://fairhousingforum.org/law/april-28-idaho-fair-housing-a-to-z-workshop-boise-i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rp.idaho.gov/" TargetMode="External"/><Relationship Id="rId17" Type="http://schemas.openxmlformats.org/officeDocument/2006/relationships/hyperlink" Target="https://aging.idaho.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cha.idaho.gov/"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merce.idaho.g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dahocid.com/" TargetMode="External"/><Relationship Id="rId23" Type="http://schemas.openxmlformats.org/officeDocument/2006/relationships/footer" Target="footer2.xml"/><Relationship Id="rId28" Type="http://schemas.openxmlformats.org/officeDocument/2006/relationships/hyperlink" Target="http://www.rampupidaho.org/" TargetMode="External"/><Relationship Id="rId10" Type="http://schemas.openxmlformats.org/officeDocument/2006/relationships/image" Target="media/image3.jpeg"/><Relationship Id="rId19" Type="http://schemas.openxmlformats.org/officeDocument/2006/relationships/hyperlink" Target="https://www.jannus.org/program/idaho-center-for-fiscal-poli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acnw.org/"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16EF-0A43-4282-9FFE-1A5CB093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19</Pages>
  <Words>5401</Words>
  <Characters>30788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Deal</dc:creator>
  <cp:keywords/>
  <dc:description/>
  <cp:lastModifiedBy>Dennis Porter</cp:lastModifiedBy>
  <cp:revision>50</cp:revision>
  <cp:lastPrinted>2024-05-09T15:47:00Z</cp:lastPrinted>
  <dcterms:created xsi:type="dcterms:W3CDTF">2023-06-05T18:39:00Z</dcterms:created>
  <dcterms:modified xsi:type="dcterms:W3CDTF">2025-05-27T18:06:00Z</dcterms:modified>
</cp:coreProperties>
</file>