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Calibri" w:hAnsi="Calibri" w:cs="Times New Roman"/>
          <w:color w:val="auto"/>
          <w:sz w:val="22"/>
          <w:szCs w:val="22"/>
        </w:rPr>
        <w:id w:val="183560811"/>
        <w:docPartObj>
          <w:docPartGallery w:val="Table of Contents"/>
          <w:docPartUnique/>
        </w:docPartObj>
      </w:sdtPr>
      <w:sdtEndPr>
        <w:rPr>
          <w:b/>
          <w:bCs/>
          <w:noProof/>
        </w:rPr>
      </w:sdtEndPr>
      <w:sdtContent>
        <w:p w14:paraId="66059F15" w14:textId="6BE4AF5E" w:rsidR="00807FFC" w:rsidRPr="00807FFC" w:rsidRDefault="00807FFC" w:rsidP="00807FFC">
          <w:pPr>
            <w:pStyle w:val="TOCHeading"/>
            <w:rPr>
              <w:b/>
              <w:bCs/>
            </w:rPr>
          </w:pPr>
          <w:r>
            <w:t>Contents</w:t>
          </w:r>
        </w:p>
        <w:p w14:paraId="086053DA" w14:textId="5852C535" w:rsidR="007949A9" w:rsidRDefault="00807FFC">
          <w:pPr>
            <w:pStyle w:val="TOC1"/>
            <w:tabs>
              <w:tab w:val="right" w:leader="dot" w:pos="935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4673829" w:history="1">
            <w:r w:rsidR="007949A9" w:rsidRPr="002A4F14">
              <w:rPr>
                <w:rStyle w:val="Hyperlink"/>
                <w:noProof/>
              </w:rPr>
              <w:t>Executive Summary</w:t>
            </w:r>
            <w:r w:rsidR="007949A9">
              <w:rPr>
                <w:noProof/>
                <w:webHidden/>
              </w:rPr>
              <w:tab/>
            </w:r>
            <w:r w:rsidR="007949A9">
              <w:rPr>
                <w:noProof/>
                <w:webHidden/>
              </w:rPr>
              <w:fldChar w:fldCharType="begin"/>
            </w:r>
            <w:r w:rsidR="007949A9">
              <w:rPr>
                <w:noProof/>
                <w:webHidden/>
              </w:rPr>
              <w:instrText xml:space="preserve"> PAGEREF _Toc194673829 \h </w:instrText>
            </w:r>
            <w:r w:rsidR="007949A9">
              <w:rPr>
                <w:noProof/>
                <w:webHidden/>
              </w:rPr>
            </w:r>
            <w:r w:rsidR="007949A9">
              <w:rPr>
                <w:noProof/>
                <w:webHidden/>
              </w:rPr>
              <w:fldChar w:fldCharType="separate"/>
            </w:r>
            <w:r w:rsidR="007949A9">
              <w:rPr>
                <w:noProof/>
                <w:webHidden/>
              </w:rPr>
              <w:t>4</w:t>
            </w:r>
            <w:r w:rsidR="007949A9">
              <w:rPr>
                <w:noProof/>
                <w:webHidden/>
              </w:rPr>
              <w:fldChar w:fldCharType="end"/>
            </w:r>
          </w:hyperlink>
        </w:p>
        <w:p w14:paraId="727D9866" w14:textId="445945D7"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30" w:history="1">
            <w:r w:rsidRPr="002A4F14">
              <w:rPr>
                <w:rStyle w:val="Hyperlink"/>
                <w:noProof/>
              </w:rPr>
              <w:t>ES-05 Executive Summary - 24 CFR 91.200(c), 91.220(b)</w:t>
            </w:r>
            <w:r>
              <w:rPr>
                <w:noProof/>
                <w:webHidden/>
              </w:rPr>
              <w:tab/>
            </w:r>
            <w:r>
              <w:rPr>
                <w:noProof/>
                <w:webHidden/>
              </w:rPr>
              <w:fldChar w:fldCharType="begin"/>
            </w:r>
            <w:r>
              <w:rPr>
                <w:noProof/>
                <w:webHidden/>
              </w:rPr>
              <w:instrText xml:space="preserve"> PAGEREF _Toc194673830 \h </w:instrText>
            </w:r>
            <w:r>
              <w:rPr>
                <w:noProof/>
                <w:webHidden/>
              </w:rPr>
            </w:r>
            <w:r>
              <w:rPr>
                <w:noProof/>
                <w:webHidden/>
              </w:rPr>
              <w:fldChar w:fldCharType="separate"/>
            </w:r>
            <w:r>
              <w:rPr>
                <w:noProof/>
                <w:webHidden/>
              </w:rPr>
              <w:t>4</w:t>
            </w:r>
            <w:r>
              <w:rPr>
                <w:noProof/>
                <w:webHidden/>
              </w:rPr>
              <w:fldChar w:fldCharType="end"/>
            </w:r>
          </w:hyperlink>
        </w:p>
        <w:p w14:paraId="574C88D3" w14:textId="0B01E5C8"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31" w:history="1">
            <w:r w:rsidRPr="002A4F14">
              <w:rPr>
                <w:rStyle w:val="Hyperlink"/>
                <w:noProof/>
              </w:rPr>
              <w:t>PR-05 Lead &amp; Responsible Agencies - 91.300(b)</w:t>
            </w:r>
            <w:r>
              <w:rPr>
                <w:noProof/>
                <w:webHidden/>
              </w:rPr>
              <w:tab/>
            </w:r>
            <w:r>
              <w:rPr>
                <w:noProof/>
                <w:webHidden/>
              </w:rPr>
              <w:fldChar w:fldCharType="begin"/>
            </w:r>
            <w:r>
              <w:rPr>
                <w:noProof/>
                <w:webHidden/>
              </w:rPr>
              <w:instrText xml:space="preserve"> PAGEREF _Toc194673831 \h </w:instrText>
            </w:r>
            <w:r>
              <w:rPr>
                <w:noProof/>
                <w:webHidden/>
              </w:rPr>
            </w:r>
            <w:r>
              <w:rPr>
                <w:noProof/>
                <w:webHidden/>
              </w:rPr>
              <w:fldChar w:fldCharType="separate"/>
            </w:r>
            <w:r>
              <w:rPr>
                <w:noProof/>
                <w:webHidden/>
              </w:rPr>
              <w:t>8</w:t>
            </w:r>
            <w:r>
              <w:rPr>
                <w:noProof/>
                <w:webHidden/>
              </w:rPr>
              <w:fldChar w:fldCharType="end"/>
            </w:r>
          </w:hyperlink>
        </w:p>
        <w:p w14:paraId="2E29E597" w14:textId="3F42BC0F"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32" w:history="1">
            <w:r w:rsidRPr="002A4F14">
              <w:rPr>
                <w:rStyle w:val="Hyperlink"/>
                <w:noProof/>
              </w:rPr>
              <w:t>PR-10 Consultation - 91.110, 91.300(b); 91.315(l)</w:t>
            </w:r>
            <w:r>
              <w:rPr>
                <w:noProof/>
                <w:webHidden/>
              </w:rPr>
              <w:tab/>
            </w:r>
            <w:r>
              <w:rPr>
                <w:noProof/>
                <w:webHidden/>
              </w:rPr>
              <w:fldChar w:fldCharType="begin"/>
            </w:r>
            <w:r>
              <w:rPr>
                <w:noProof/>
                <w:webHidden/>
              </w:rPr>
              <w:instrText xml:space="preserve"> PAGEREF _Toc194673832 \h </w:instrText>
            </w:r>
            <w:r>
              <w:rPr>
                <w:noProof/>
                <w:webHidden/>
              </w:rPr>
            </w:r>
            <w:r>
              <w:rPr>
                <w:noProof/>
                <w:webHidden/>
              </w:rPr>
              <w:fldChar w:fldCharType="separate"/>
            </w:r>
            <w:r>
              <w:rPr>
                <w:noProof/>
                <w:webHidden/>
              </w:rPr>
              <w:t>9</w:t>
            </w:r>
            <w:r>
              <w:rPr>
                <w:noProof/>
                <w:webHidden/>
              </w:rPr>
              <w:fldChar w:fldCharType="end"/>
            </w:r>
          </w:hyperlink>
        </w:p>
        <w:p w14:paraId="18598AA7" w14:textId="45F31C81"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33" w:history="1">
            <w:r w:rsidRPr="002A4F14">
              <w:rPr>
                <w:rStyle w:val="Hyperlink"/>
                <w:rFonts w:cs="Calibri"/>
                <w:b/>
                <w:bCs/>
                <w:noProof/>
              </w:rPr>
              <w:t>PR-15 Citizen Participation – 91.105, 91.115, 91.200(c) and 91.300(c)</w:t>
            </w:r>
            <w:r>
              <w:rPr>
                <w:noProof/>
                <w:webHidden/>
              </w:rPr>
              <w:tab/>
            </w:r>
            <w:r>
              <w:rPr>
                <w:noProof/>
                <w:webHidden/>
              </w:rPr>
              <w:fldChar w:fldCharType="begin"/>
            </w:r>
            <w:r>
              <w:rPr>
                <w:noProof/>
                <w:webHidden/>
              </w:rPr>
              <w:instrText xml:space="preserve"> PAGEREF _Toc194673833 \h </w:instrText>
            </w:r>
            <w:r>
              <w:rPr>
                <w:noProof/>
                <w:webHidden/>
              </w:rPr>
            </w:r>
            <w:r>
              <w:rPr>
                <w:noProof/>
                <w:webHidden/>
              </w:rPr>
              <w:fldChar w:fldCharType="separate"/>
            </w:r>
            <w:r>
              <w:rPr>
                <w:noProof/>
                <w:webHidden/>
              </w:rPr>
              <w:t>21</w:t>
            </w:r>
            <w:r>
              <w:rPr>
                <w:noProof/>
                <w:webHidden/>
              </w:rPr>
              <w:fldChar w:fldCharType="end"/>
            </w:r>
          </w:hyperlink>
        </w:p>
        <w:p w14:paraId="3E28F65E" w14:textId="7738B2AF" w:rsidR="007949A9" w:rsidRDefault="007949A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673834" w:history="1">
            <w:r w:rsidRPr="002A4F14">
              <w:rPr>
                <w:rStyle w:val="Hyperlink"/>
                <w:b/>
                <w:bCs/>
                <w:noProof/>
              </w:rPr>
              <w:t>Needs Assessment</w:t>
            </w:r>
            <w:r>
              <w:rPr>
                <w:noProof/>
                <w:webHidden/>
              </w:rPr>
              <w:tab/>
            </w:r>
            <w:r>
              <w:rPr>
                <w:noProof/>
                <w:webHidden/>
              </w:rPr>
              <w:fldChar w:fldCharType="begin"/>
            </w:r>
            <w:r>
              <w:rPr>
                <w:noProof/>
                <w:webHidden/>
              </w:rPr>
              <w:instrText xml:space="preserve"> PAGEREF _Toc194673834 \h </w:instrText>
            </w:r>
            <w:r>
              <w:rPr>
                <w:noProof/>
                <w:webHidden/>
              </w:rPr>
            </w:r>
            <w:r>
              <w:rPr>
                <w:noProof/>
                <w:webHidden/>
              </w:rPr>
              <w:fldChar w:fldCharType="separate"/>
            </w:r>
            <w:r>
              <w:rPr>
                <w:noProof/>
                <w:webHidden/>
              </w:rPr>
              <w:t>27</w:t>
            </w:r>
            <w:r>
              <w:rPr>
                <w:noProof/>
                <w:webHidden/>
              </w:rPr>
              <w:fldChar w:fldCharType="end"/>
            </w:r>
          </w:hyperlink>
        </w:p>
        <w:p w14:paraId="44805BD9" w14:textId="5DEB465A"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35" w:history="1">
            <w:r w:rsidRPr="002A4F14">
              <w:rPr>
                <w:rStyle w:val="Hyperlink"/>
                <w:noProof/>
              </w:rPr>
              <w:t>NA-05 Overview</w:t>
            </w:r>
            <w:r>
              <w:rPr>
                <w:noProof/>
                <w:webHidden/>
              </w:rPr>
              <w:tab/>
            </w:r>
            <w:r>
              <w:rPr>
                <w:noProof/>
                <w:webHidden/>
              </w:rPr>
              <w:fldChar w:fldCharType="begin"/>
            </w:r>
            <w:r>
              <w:rPr>
                <w:noProof/>
                <w:webHidden/>
              </w:rPr>
              <w:instrText xml:space="preserve"> PAGEREF _Toc194673835 \h </w:instrText>
            </w:r>
            <w:r>
              <w:rPr>
                <w:noProof/>
                <w:webHidden/>
              </w:rPr>
            </w:r>
            <w:r>
              <w:rPr>
                <w:noProof/>
                <w:webHidden/>
              </w:rPr>
              <w:fldChar w:fldCharType="separate"/>
            </w:r>
            <w:r>
              <w:rPr>
                <w:noProof/>
                <w:webHidden/>
              </w:rPr>
              <w:t>27</w:t>
            </w:r>
            <w:r>
              <w:rPr>
                <w:noProof/>
                <w:webHidden/>
              </w:rPr>
              <w:fldChar w:fldCharType="end"/>
            </w:r>
          </w:hyperlink>
        </w:p>
        <w:p w14:paraId="0B507CA9" w14:textId="0158B94A"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36" w:history="1">
            <w:r w:rsidRPr="002A4F14">
              <w:rPr>
                <w:rStyle w:val="Hyperlink"/>
                <w:noProof/>
              </w:rPr>
              <w:t>NA-10 Housing Needs Assessment - 24 CFR 91.305 (a,b,c)</w:t>
            </w:r>
            <w:r>
              <w:rPr>
                <w:noProof/>
                <w:webHidden/>
              </w:rPr>
              <w:tab/>
            </w:r>
            <w:r>
              <w:rPr>
                <w:noProof/>
                <w:webHidden/>
              </w:rPr>
              <w:fldChar w:fldCharType="begin"/>
            </w:r>
            <w:r>
              <w:rPr>
                <w:noProof/>
                <w:webHidden/>
              </w:rPr>
              <w:instrText xml:space="preserve"> PAGEREF _Toc194673836 \h </w:instrText>
            </w:r>
            <w:r>
              <w:rPr>
                <w:noProof/>
                <w:webHidden/>
              </w:rPr>
            </w:r>
            <w:r>
              <w:rPr>
                <w:noProof/>
                <w:webHidden/>
              </w:rPr>
              <w:fldChar w:fldCharType="separate"/>
            </w:r>
            <w:r>
              <w:rPr>
                <w:noProof/>
                <w:webHidden/>
              </w:rPr>
              <w:t>29</w:t>
            </w:r>
            <w:r>
              <w:rPr>
                <w:noProof/>
                <w:webHidden/>
              </w:rPr>
              <w:fldChar w:fldCharType="end"/>
            </w:r>
          </w:hyperlink>
        </w:p>
        <w:p w14:paraId="29CB174B" w14:textId="58707DBF"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37" w:history="1">
            <w:r w:rsidRPr="002A4F14">
              <w:rPr>
                <w:rStyle w:val="Hyperlink"/>
                <w:noProof/>
              </w:rPr>
              <w:t>NA-15 Disproportionately Greater Need: Housing Problems - 91.305 (b)(2)</w:t>
            </w:r>
            <w:r>
              <w:rPr>
                <w:noProof/>
                <w:webHidden/>
              </w:rPr>
              <w:tab/>
            </w:r>
            <w:r>
              <w:rPr>
                <w:noProof/>
                <w:webHidden/>
              </w:rPr>
              <w:fldChar w:fldCharType="begin"/>
            </w:r>
            <w:r>
              <w:rPr>
                <w:noProof/>
                <w:webHidden/>
              </w:rPr>
              <w:instrText xml:space="preserve"> PAGEREF _Toc194673837 \h </w:instrText>
            </w:r>
            <w:r>
              <w:rPr>
                <w:noProof/>
                <w:webHidden/>
              </w:rPr>
            </w:r>
            <w:r>
              <w:rPr>
                <w:noProof/>
                <w:webHidden/>
              </w:rPr>
              <w:fldChar w:fldCharType="separate"/>
            </w:r>
            <w:r>
              <w:rPr>
                <w:noProof/>
                <w:webHidden/>
              </w:rPr>
              <w:t>37</w:t>
            </w:r>
            <w:r>
              <w:rPr>
                <w:noProof/>
                <w:webHidden/>
              </w:rPr>
              <w:fldChar w:fldCharType="end"/>
            </w:r>
          </w:hyperlink>
        </w:p>
        <w:p w14:paraId="6F495F0D" w14:textId="05170201"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38" w:history="1">
            <w:r w:rsidRPr="002A4F14">
              <w:rPr>
                <w:rStyle w:val="Hyperlink"/>
                <w:noProof/>
              </w:rPr>
              <w:t>NA-20 Disproportionately Greater Need: Severe Housing Problems – 91.305(b)(2)</w:t>
            </w:r>
            <w:r>
              <w:rPr>
                <w:noProof/>
                <w:webHidden/>
              </w:rPr>
              <w:tab/>
            </w:r>
            <w:r>
              <w:rPr>
                <w:noProof/>
                <w:webHidden/>
              </w:rPr>
              <w:fldChar w:fldCharType="begin"/>
            </w:r>
            <w:r>
              <w:rPr>
                <w:noProof/>
                <w:webHidden/>
              </w:rPr>
              <w:instrText xml:space="preserve"> PAGEREF _Toc194673838 \h </w:instrText>
            </w:r>
            <w:r>
              <w:rPr>
                <w:noProof/>
                <w:webHidden/>
              </w:rPr>
            </w:r>
            <w:r>
              <w:rPr>
                <w:noProof/>
                <w:webHidden/>
              </w:rPr>
              <w:fldChar w:fldCharType="separate"/>
            </w:r>
            <w:r>
              <w:rPr>
                <w:noProof/>
                <w:webHidden/>
              </w:rPr>
              <w:t>41</w:t>
            </w:r>
            <w:r>
              <w:rPr>
                <w:noProof/>
                <w:webHidden/>
              </w:rPr>
              <w:fldChar w:fldCharType="end"/>
            </w:r>
          </w:hyperlink>
        </w:p>
        <w:p w14:paraId="6CD06883" w14:textId="794B900A"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39" w:history="1">
            <w:r w:rsidRPr="002A4F14">
              <w:rPr>
                <w:rStyle w:val="Hyperlink"/>
                <w:noProof/>
              </w:rPr>
              <w:t>NA-25 Disproportionately Greater Need: Housing Cost Burdens – 91.305 (b)(2)</w:t>
            </w:r>
            <w:r>
              <w:rPr>
                <w:noProof/>
                <w:webHidden/>
              </w:rPr>
              <w:tab/>
            </w:r>
            <w:r>
              <w:rPr>
                <w:noProof/>
                <w:webHidden/>
              </w:rPr>
              <w:fldChar w:fldCharType="begin"/>
            </w:r>
            <w:r>
              <w:rPr>
                <w:noProof/>
                <w:webHidden/>
              </w:rPr>
              <w:instrText xml:space="preserve"> PAGEREF _Toc194673839 \h </w:instrText>
            </w:r>
            <w:r>
              <w:rPr>
                <w:noProof/>
                <w:webHidden/>
              </w:rPr>
            </w:r>
            <w:r>
              <w:rPr>
                <w:noProof/>
                <w:webHidden/>
              </w:rPr>
              <w:fldChar w:fldCharType="separate"/>
            </w:r>
            <w:r>
              <w:rPr>
                <w:noProof/>
                <w:webHidden/>
              </w:rPr>
              <w:t>45</w:t>
            </w:r>
            <w:r>
              <w:rPr>
                <w:noProof/>
                <w:webHidden/>
              </w:rPr>
              <w:fldChar w:fldCharType="end"/>
            </w:r>
          </w:hyperlink>
        </w:p>
        <w:p w14:paraId="12464DEC" w14:textId="783D8283"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40" w:history="1">
            <w:r w:rsidRPr="002A4F14">
              <w:rPr>
                <w:rStyle w:val="Hyperlink"/>
                <w:noProof/>
              </w:rPr>
              <w:t>NA-30 Disproportionately Greater Need: Discussion – 91.305 (b)(2)</w:t>
            </w:r>
            <w:r>
              <w:rPr>
                <w:noProof/>
                <w:webHidden/>
              </w:rPr>
              <w:tab/>
            </w:r>
            <w:r>
              <w:rPr>
                <w:noProof/>
                <w:webHidden/>
              </w:rPr>
              <w:fldChar w:fldCharType="begin"/>
            </w:r>
            <w:r>
              <w:rPr>
                <w:noProof/>
                <w:webHidden/>
              </w:rPr>
              <w:instrText xml:space="preserve"> PAGEREF _Toc194673840 \h </w:instrText>
            </w:r>
            <w:r>
              <w:rPr>
                <w:noProof/>
                <w:webHidden/>
              </w:rPr>
            </w:r>
            <w:r>
              <w:rPr>
                <w:noProof/>
                <w:webHidden/>
              </w:rPr>
              <w:fldChar w:fldCharType="separate"/>
            </w:r>
            <w:r>
              <w:rPr>
                <w:noProof/>
                <w:webHidden/>
              </w:rPr>
              <w:t>47</w:t>
            </w:r>
            <w:r>
              <w:rPr>
                <w:noProof/>
                <w:webHidden/>
              </w:rPr>
              <w:fldChar w:fldCharType="end"/>
            </w:r>
          </w:hyperlink>
        </w:p>
        <w:p w14:paraId="2E28129A" w14:textId="3D2D54EC"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41" w:history="1">
            <w:r w:rsidRPr="002A4F14">
              <w:rPr>
                <w:rStyle w:val="Hyperlink"/>
                <w:noProof/>
              </w:rPr>
              <w:t>NA-35 Public Housing – (Optional)</w:t>
            </w:r>
            <w:r>
              <w:rPr>
                <w:noProof/>
                <w:webHidden/>
              </w:rPr>
              <w:tab/>
            </w:r>
            <w:r>
              <w:rPr>
                <w:noProof/>
                <w:webHidden/>
              </w:rPr>
              <w:fldChar w:fldCharType="begin"/>
            </w:r>
            <w:r>
              <w:rPr>
                <w:noProof/>
                <w:webHidden/>
              </w:rPr>
              <w:instrText xml:space="preserve"> PAGEREF _Toc194673841 \h </w:instrText>
            </w:r>
            <w:r>
              <w:rPr>
                <w:noProof/>
                <w:webHidden/>
              </w:rPr>
            </w:r>
            <w:r>
              <w:rPr>
                <w:noProof/>
                <w:webHidden/>
              </w:rPr>
              <w:fldChar w:fldCharType="separate"/>
            </w:r>
            <w:r>
              <w:rPr>
                <w:noProof/>
                <w:webHidden/>
              </w:rPr>
              <w:t>48</w:t>
            </w:r>
            <w:r>
              <w:rPr>
                <w:noProof/>
                <w:webHidden/>
              </w:rPr>
              <w:fldChar w:fldCharType="end"/>
            </w:r>
          </w:hyperlink>
        </w:p>
        <w:p w14:paraId="525E7CCE" w14:textId="08C60EAF"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42" w:history="1">
            <w:r w:rsidRPr="002A4F14">
              <w:rPr>
                <w:rStyle w:val="Hyperlink"/>
                <w:noProof/>
              </w:rPr>
              <w:t>NA-40 Homeless Needs Assessment – 91.305(c)</w:t>
            </w:r>
            <w:r>
              <w:rPr>
                <w:noProof/>
                <w:webHidden/>
              </w:rPr>
              <w:tab/>
            </w:r>
            <w:r>
              <w:rPr>
                <w:noProof/>
                <w:webHidden/>
              </w:rPr>
              <w:fldChar w:fldCharType="begin"/>
            </w:r>
            <w:r>
              <w:rPr>
                <w:noProof/>
                <w:webHidden/>
              </w:rPr>
              <w:instrText xml:space="preserve"> PAGEREF _Toc194673842 \h </w:instrText>
            </w:r>
            <w:r>
              <w:rPr>
                <w:noProof/>
                <w:webHidden/>
              </w:rPr>
            </w:r>
            <w:r>
              <w:rPr>
                <w:noProof/>
                <w:webHidden/>
              </w:rPr>
              <w:fldChar w:fldCharType="separate"/>
            </w:r>
            <w:r>
              <w:rPr>
                <w:noProof/>
                <w:webHidden/>
              </w:rPr>
              <w:t>52</w:t>
            </w:r>
            <w:r>
              <w:rPr>
                <w:noProof/>
                <w:webHidden/>
              </w:rPr>
              <w:fldChar w:fldCharType="end"/>
            </w:r>
          </w:hyperlink>
        </w:p>
        <w:p w14:paraId="0DE6C308" w14:textId="1E73BBFC"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43" w:history="1">
            <w:r w:rsidRPr="002A4F14">
              <w:rPr>
                <w:rStyle w:val="Hyperlink"/>
                <w:noProof/>
              </w:rPr>
              <w:t>NA-45 Non-Homeless Special Needs Assessment – 91.305 (b,d)</w:t>
            </w:r>
            <w:r>
              <w:rPr>
                <w:noProof/>
                <w:webHidden/>
              </w:rPr>
              <w:tab/>
            </w:r>
            <w:r>
              <w:rPr>
                <w:noProof/>
                <w:webHidden/>
              </w:rPr>
              <w:fldChar w:fldCharType="begin"/>
            </w:r>
            <w:r>
              <w:rPr>
                <w:noProof/>
                <w:webHidden/>
              </w:rPr>
              <w:instrText xml:space="preserve"> PAGEREF _Toc194673843 \h </w:instrText>
            </w:r>
            <w:r>
              <w:rPr>
                <w:noProof/>
                <w:webHidden/>
              </w:rPr>
            </w:r>
            <w:r>
              <w:rPr>
                <w:noProof/>
                <w:webHidden/>
              </w:rPr>
              <w:fldChar w:fldCharType="separate"/>
            </w:r>
            <w:r>
              <w:rPr>
                <w:noProof/>
                <w:webHidden/>
              </w:rPr>
              <w:t>57</w:t>
            </w:r>
            <w:r>
              <w:rPr>
                <w:noProof/>
                <w:webHidden/>
              </w:rPr>
              <w:fldChar w:fldCharType="end"/>
            </w:r>
          </w:hyperlink>
        </w:p>
        <w:p w14:paraId="68D4B55D" w14:textId="2FE57D15"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44" w:history="1">
            <w:r w:rsidRPr="002A4F14">
              <w:rPr>
                <w:rStyle w:val="Hyperlink"/>
                <w:noProof/>
              </w:rPr>
              <w:t>NA-50 Non-Housing Community Development Needs - 91.315 (f)</w:t>
            </w:r>
            <w:r>
              <w:rPr>
                <w:noProof/>
                <w:webHidden/>
              </w:rPr>
              <w:tab/>
            </w:r>
            <w:r>
              <w:rPr>
                <w:noProof/>
                <w:webHidden/>
              </w:rPr>
              <w:fldChar w:fldCharType="begin"/>
            </w:r>
            <w:r>
              <w:rPr>
                <w:noProof/>
                <w:webHidden/>
              </w:rPr>
              <w:instrText xml:space="preserve"> PAGEREF _Toc194673844 \h </w:instrText>
            </w:r>
            <w:r>
              <w:rPr>
                <w:noProof/>
                <w:webHidden/>
              </w:rPr>
            </w:r>
            <w:r>
              <w:rPr>
                <w:noProof/>
                <w:webHidden/>
              </w:rPr>
              <w:fldChar w:fldCharType="separate"/>
            </w:r>
            <w:r>
              <w:rPr>
                <w:noProof/>
                <w:webHidden/>
              </w:rPr>
              <w:t>60</w:t>
            </w:r>
            <w:r>
              <w:rPr>
                <w:noProof/>
                <w:webHidden/>
              </w:rPr>
              <w:fldChar w:fldCharType="end"/>
            </w:r>
          </w:hyperlink>
        </w:p>
        <w:p w14:paraId="433E981D" w14:textId="1640BB76" w:rsidR="007949A9" w:rsidRDefault="007949A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673845" w:history="1">
            <w:r w:rsidRPr="002A4F14">
              <w:rPr>
                <w:rStyle w:val="Hyperlink"/>
                <w:noProof/>
              </w:rPr>
              <w:t>Housing Market Analysis</w:t>
            </w:r>
            <w:r>
              <w:rPr>
                <w:noProof/>
                <w:webHidden/>
              </w:rPr>
              <w:tab/>
            </w:r>
            <w:r>
              <w:rPr>
                <w:noProof/>
                <w:webHidden/>
              </w:rPr>
              <w:fldChar w:fldCharType="begin"/>
            </w:r>
            <w:r>
              <w:rPr>
                <w:noProof/>
                <w:webHidden/>
              </w:rPr>
              <w:instrText xml:space="preserve"> PAGEREF _Toc194673845 \h </w:instrText>
            </w:r>
            <w:r>
              <w:rPr>
                <w:noProof/>
                <w:webHidden/>
              </w:rPr>
            </w:r>
            <w:r>
              <w:rPr>
                <w:noProof/>
                <w:webHidden/>
              </w:rPr>
              <w:fldChar w:fldCharType="separate"/>
            </w:r>
            <w:r>
              <w:rPr>
                <w:noProof/>
                <w:webHidden/>
              </w:rPr>
              <w:t>61</w:t>
            </w:r>
            <w:r>
              <w:rPr>
                <w:noProof/>
                <w:webHidden/>
              </w:rPr>
              <w:fldChar w:fldCharType="end"/>
            </w:r>
          </w:hyperlink>
        </w:p>
        <w:p w14:paraId="535E5684" w14:textId="24136FCB"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46" w:history="1">
            <w:r w:rsidRPr="002A4F14">
              <w:rPr>
                <w:rStyle w:val="Hyperlink"/>
                <w:noProof/>
              </w:rPr>
              <w:t>MA-05 Overview</w:t>
            </w:r>
            <w:r>
              <w:rPr>
                <w:noProof/>
                <w:webHidden/>
              </w:rPr>
              <w:tab/>
            </w:r>
            <w:r>
              <w:rPr>
                <w:noProof/>
                <w:webHidden/>
              </w:rPr>
              <w:fldChar w:fldCharType="begin"/>
            </w:r>
            <w:r>
              <w:rPr>
                <w:noProof/>
                <w:webHidden/>
              </w:rPr>
              <w:instrText xml:space="preserve"> PAGEREF _Toc194673846 \h </w:instrText>
            </w:r>
            <w:r>
              <w:rPr>
                <w:noProof/>
                <w:webHidden/>
              </w:rPr>
            </w:r>
            <w:r>
              <w:rPr>
                <w:noProof/>
                <w:webHidden/>
              </w:rPr>
              <w:fldChar w:fldCharType="separate"/>
            </w:r>
            <w:r>
              <w:rPr>
                <w:noProof/>
                <w:webHidden/>
              </w:rPr>
              <w:t>61</w:t>
            </w:r>
            <w:r>
              <w:rPr>
                <w:noProof/>
                <w:webHidden/>
              </w:rPr>
              <w:fldChar w:fldCharType="end"/>
            </w:r>
          </w:hyperlink>
        </w:p>
        <w:p w14:paraId="6529F8D1" w14:textId="643C03BC"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47" w:history="1">
            <w:r w:rsidRPr="002A4F14">
              <w:rPr>
                <w:rStyle w:val="Hyperlink"/>
                <w:noProof/>
              </w:rPr>
              <w:t>MA-10 Number of Housing Units – 91.310(a)</w:t>
            </w:r>
            <w:r>
              <w:rPr>
                <w:noProof/>
                <w:webHidden/>
              </w:rPr>
              <w:tab/>
            </w:r>
            <w:r>
              <w:rPr>
                <w:noProof/>
                <w:webHidden/>
              </w:rPr>
              <w:fldChar w:fldCharType="begin"/>
            </w:r>
            <w:r>
              <w:rPr>
                <w:noProof/>
                <w:webHidden/>
              </w:rPr>
              <w:instrText xml:space="preserve"> PAGEREF _Toc194673847 \h </w:instrText>
            </w:r>
            <w:r>
              <w:rPr>
                <w:noProof/>
                <w:webHidden/>
              </w:rPr>
            </w:r>
            <w:r>
              <w:rPr>
                <w:noProof/>
                <w:webHidden/>
              </w:rPr>
              <w:fldChar w:fldCharType="separate"/>
            </w:r>
            <w:r>
              <w:rPr>
                <w:noProof/>
                <w:webHidden/>
              </w:rPr>
              <w:t>62</w:t>
            </w:r>
            <w:r>
              <w:rPr>
                <w:noProof/>
                <w:webHidden/>
              </w:rPr>
              <w:fldChar w:fldCharType="end"/>
            </w:r>
          </w:hyperlink>
        </w:p>
        <w:p w14:paraId="163B553A" w14:textId="216F4EDC"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48" w:history="1">
            <w:r w:rsidRPr="002A4F14">
              <w:rPr>
                <w:rStyle w:val="Hyperlink"/>
                <w:noProof/>
              </w:rPr>
              <w:t>MA-15 Cost of Housing – 91.310(a)</w:t>
            </w:r>
            <w:r>
              <w:rPr>
                <w:noProof/>
                <w:webHidden/>
              </w:rPr>
              <w:tab/>
            </w:r>
            <w:r>
              <w:rPr>
                <w:noProof/>
                <w:webHidden/>
              </w:rPr>
              <w:fldChar w:fldCharType="begin"/>
            </w:r>
            <w:r>
              <w:rPr>
                <w:noProof/>
                <w:webHidden/>
              </w:rPr>
              <w:instrText xml:space="preserve"> PAGEREF _Toc194673848 \h </w:instrText>
            </w:r>
            <w:r>
              <w:rPr>
                <w:noProof/>
                <w:webHidden/>
              </w:rPr>
            </w:r>
            <w:r>
              <w:rPr>
                <w:noProof/>
                <w:webHidden/>
              </w:rPr>
              <w:fldChar w:fldCharType="separate"/>
            </w:r>
            <w:r>
              <w:rPr>
                <w:noProof/>
                <w:webHidden/>
              </w:rPr>
              <w:t>65</w:t>
            </w:r>
            <w:r>
              <w:rPr>
                <w:noProof/>
                <w:webHidden/>
              </w:rPr>
              <w:fldChar w:fldCharType="end"/>
            </w:r>
          </w:hyperlink>
        </w:p>
        <w:p w14:paraId="7D4149BD" w14:textId="6FBBBADC"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49" w:history="1">
            <w:r w:rsidRPr="002A4F14">
              <w:rPr>
                <w:rStyle w:val="Hyperlink"/>
                <w:noProof/>
              </w:rPr>
              <w:t>MA-20 Condition of Housing – 91.310(a)</w:t>
            </w:r>
            <w:r>
              <w:rPr>
                <w:noProof/>
                <w:webHidden/>
              </w:rPr>
              <w:tab/>
            </w:r>
            <w:r>
              <w:rPr>
                <w:noProof/>
                <w:webHidden/>
              </w:rPr>
              <w:fldChar w:fldCharType="begin"/>
            </w:r>
            <w:r>
              <w:rPr>
                <w:noProof/>
                <w:webHidden/>
              </w:rPr>
              <w:instrText xml:space="preserve"> PAGEREF _Toc194673849 \h </w:instrText>
            </w:r>
            <w:r>
              <w:rPr>
                <w:noProof/>
                <w:webHidden/>
              </w:rPr>
            </w:r>
            <w:r>
              <w:rPr>
                <w:noProof/>
                <w:webHidden/>
              </w:rPr>
              <w:fldChar w:fldCharType="separate"/>
            </w:r>
            <w:r>
              <w:rPr>
                <w:noProof/>
                <w:webHidden/>
              </w:rPr>
              <w:t>68</w:t>
            </w:r>
            <w:r>
              <w:rPr>
                <w:noProof/>
                <w:webHidden/>
              </w:rPr>
              <w:fldChar w:fldCharType="end"/>
            </w:r>
          </w:hyperlink>
        </w:p>
        <w:p w14:paraId="4CB6D64A" w14:textId="7751ED45"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50" w:history="1">
            <w:r w:rsidRPr="002A4F14">
              <w:rPr>
                <w:rStyle w:val="Hyperlink"/>
                <w:noProof/>
              </w:rPr>
              <w:t>MA-25 Public and Assisted Housing – (Optional)</w:t>
            </w:r>
            <w:r>
              <w:rPr>
                <w:noProof/>
                <w:webHidden/>
              </w:rPr>
              <w:tab/>
            </w:r>
            <w:r>
              <w:rPr>
                <w:noProof/>
                <w:webHidden/>
              </w:rPr>
              <w:fldChar w:fldCharType="begin"/>
            </w:r>
            <w:r>
              <w:rPr>
                <w:noProof/>
                <w:webHidden/>
              </w:rPr>
              <w:instrText xml:space="preserve"> PAGEREF _Toc194673850 \h </w:instrText>
            </w:r>
            <w:r>
              <w:rPr>
                <w:noProof/>
                <w:webHidden/>
              </w:rPr>
            </w:r>
            <w:r>
              <w:rPr>
                <w:noProof/>
                <w:webHidden/>
              </w:rPr>
              <w:fldChar w:fldCharType="separate"/>
            </w:r>
            <w:r>
              <w:rPr>
                <w:noProof/>
                <w:webHidden/>
              </w:rPr>
              <w:t>72</w:t>
            </w:r>
            <w:r>
              <w:rPr>
                <w:noProof/>
                <w:webHidden/>
              </w:rPr>
              <w:fldChar w:fldCharType="end"/>
            </w:r>
          </w:hyperlink>
        </w:p>
        <w:p w14:paraId="1D47ADD3" w14:textId="55A091EA"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51" w:history="1">
            <w:r w:rsidRPr="002A4F14">
              <w:rPr>
                <w:rStyle w:val="Hyperlink"/>
                <w:rFonts w:cstheme="minorHAnsi"/>
                <w:noProof/>
              </w:rPr>
              <w:t>MA-30 Homeless Facilities – 91.310(b)</w:t>
            </w:r>
            <w:r>
              <w:rPr>
                <w:noProof/>
                <w:webHidden/>
              </w:rPr>
              <w:tab/>
            </w:r>
            <w:r>
              <w:rPr>
                <w:noProof/>
                <w:webHidden/>
              </w:rPr>
              <w:fldChar w:fldCharType="begin"/>
            </w:r>
            <w:r>
              <w:rPr>
                <w:noProof/>
                <w:webHidden/>
              </w:rPr>
              <w:instrText xml:space="preserve"> PAGEREF _Toc194673851 \h </w:instrText>
            </w:r>
            <w:r>
              <w:rPr>
                <w:noProof/>
                <w:webHidden/>
              </w:rPr>
            </w:r>
            <w:r>
              <w:rPr>
                <w:noProof/>
                <w:webHidden/>
              </w:rPr>
              <w:fldChar w:fldCharType="separate"/>
            </w:r>
            <w:r>
              <w:rPr>
                <w:noProof/>
                <w:webHidden/>
              </w:rPr>
              <w:t>75</w:t>
            </w:r>
            <w:r>
              <w:rPr>
                <w:noProof/>
                <w:webHidden/>
              </w:rPr>
              <w:fldChar w:fldCharType="end"/>
            </w:r>
          </w:hyperlink>
        </w:p>
        <w:p w14:paraId="61E4426E" w14:textId="1803F43B"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52" w:history="1">
            <w:r w:rsidRPr="002A4F14">
              <w:rPr>
                <w:rStyle w:val="Hyperlink"/>
                <w:noProof/>
              </w:rPr>
              <w:t>MA-35 Special Needs Facilities and Services – 91.310(c)</w:t>
            </w:r>
            <w:r>
              <w:rPr>
                <w:noProof/>
                <w:webHidden/>
              </w:rPr>
              <w:tab/>
            </w:r>
            <w:r>
              <w:rPr>
                <w:noProof/>
                <w:webHidden/>
              </w:rPr>
              <w:fldChar w:fldCharType="begin"/>
            </w:r>
            <w:r>
              <w:rPr>
                <w:noProof/>
                <w:webHidden/>
              </w:rPr>
              <w:instrText xml:space="preserve"> PAGEREF _Toc194673852 \h </w:instrText>
            </w:r>
            <w:r>
              <w:rPr>
                <w:noProof/>
                <w:webHidden/>
              </w:rPr>
            </w:r>
            <w:r>
              <w:rPr>
                <w:noProof/>
                <w:webHidden/>
              </w:rPr>
              <w:fldChar w:fldCharType="separate"/>
            </w:r>
            <w:r>
              <w:rPr>
                <w:noProof/>
                <w:webHidden/>
              </w:rPr>
              <w:t>78</w:t>
            </w:r>
            <w:r>
              <w:rPr>
                <w:noProof/>
                <w:webHidden/>
              </w:rPr>
              <w:fldChar w:fldCharType="end"/>
            </w:r>
          </w:hyperlink>
        </w:p>
        <w:p w14:paraId="0CD55A71" w14:textId="4EAD5E9F"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53" w:history="1">
            <w:r w:rsidRPr="002A4F14">
              <w:rPr>
                <w:rStyle w:val="Hyperlink"/>
                <w:noProof/>
              </w:rPr>
              <w:t>MA-40 Barriers to Affordable Housing – 91.310(d)</w:t>
            </w:r>
            <w:r>
              <w:rPr>
                <w:noProof/>
                <w:webHidden/>
              </w:rPr>
              <w:tab/>
            </w:r>
            <w:r>
              <w:rPr>
                <w:noProof/>
                <w:webHidden/>
              </w:rPr>
              <w:fldChar w:fldCharType="begin"/>
            </w:r>
            <w:r>
              <w:rPr>
                <w:noProof/>
                <w:webHidden/>
              </w:rPr>
              <w:instrText xml:space="preserve"> PAGEREF _Toc194673853 \h </w:instrText>
            </w:r>
            <w:r>
              <w:rPr>
                <w:noProof/>
                <w:webHidden/>
              </w:rPr>
            </w:r>
            <w:r>
              <w:rPr>
                <w:noProof/>
                <w:webHidden/>
              </w:rPr>
              <w:fldChar w:fldCharType="separate"/>
            </w:r>
            <w:r>
              <w:rPr>
                <w:noProof/>
                <w:webHidden/>
              </w:rPr>
              <w:t>80</w:t>
            </w:r>
            <w:r>
              <w:rPr>
                <w:noProof/>
                <w:webHidden/>
              </w:rPr>
              <w:fldChar w:fldCharType="end"/>
            </w:r>
          </w:hyperlink>
        </w:p>
        <w:p w14:paraId="6FFB6AC7" w14:textId="11688CDF"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54" w:history="1">
            <w:r w:rsidRPr="002A4F14">
              <w:rPr>
                <w:rStyle w:val="Hyperlink"/>
                <w:noProof/>
              </w:rPr>
              <w:t>MA-45 Non-Housing Community Development Assets -91.315(f)</w:t>
            </w:r>
            <w:r>
              <w:rPr>
                <w:noProof/>
                <w:webHidden/>
              </w:rPr>
              <w:tab/>
            </w:r>
            <w:r>
              <w:rPr>
                <w:noProof/>
                <w:webHidden/>
              </w:rPr>
              <w:fldChar w:fldCharType="begin"/>
            </w:r>
            <w:r>
              <w:rPr>
                <w:noProof/>
                <w:webHidden/>
              </w:rPr>
              <w:instrText xml:space="preserve"> PAGEREF _Toc194673854 \h </w:instrText>
            </w:r>
            <w:r>
              <w:rPr>
                <w:noProof/>
                <w:webHidden/>
              </w:rPr>
            </w:r>
            <w:r>
              <w:rPr>
                <w:noProof/>
                <w:webHidden/>
              </w:rPr>
              <w:fldChar w:fldCharType="separate"/>
            </w:r>
            <w:r>
              <w:rPr>
                <w:noProof/>
                <w:webHidden/>
              </w:rPr>
              <w:t>81</w:t>
            </w:r>
            <w:r>
              <w:rPr>
                <w:noProof/>
                <w:webHidden/>
              </w:rPr>
              <w:fldChar w:fldCharType="end"/>
            </w:r>
          </w:hyperlink>
        </w:p>
        <w:p w14:paraId="1B3C4A4F" w14:textId="0CDDB667"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55" w:history="1">
            <w:r w:rsidRPr="002A4F14">
              <w:rPr>
                <w:rStyle w:val="Hyperlink"/>
                <w:noProof/>
              </w:rPr>
              <w:t>MA-50 Needs and Market Analysis Discussion</w:t>
            </w:r>
            <w:r>
              <w:rPr>
                <w:noProof/>
                <w:webHidden/>
              </w:rPr>
              <w:tab/>
            </w:r>
            <w:r>
              <w:rPr>
                <w:noProof/>
                <w:webHidden/>
              </w:rPr>
              <w:fldChar w:fldCharType="begin"/>
            </w:r>
            <w:r>
              <w:rPr>
                <w:noProof/>
                <w:webHidden/>
              </w:rPr>
              <w:instrText xml:space="preserve"> PAGEREF _Toc194673855 \h </w:instrText>
            </w:r>
            <w:r>
              <w:rPr>
                <w:noProof/>
                <w:webHidden/>
              </w:rPr>
            </w:r>
            <w:r>
              <w:rPr>
                <w:noProof/>
                <w:webHidden/>
              </w:rPr>
              <w:fldChar w:fldCharType="separate"/>
            </w:r>
            <w:r>
              <w:rPr>
                <w:noProof/>
                <w:webHidden/>
              </w:rPr>
              <w:t>91</w:t>
            </w:r>
            <w:r>
              <w:rPr>
                <w:noProof/>
                <w:webHidden/>
              </w:rPr>
              <w:fldChar w:fldCharType="end"/>
            </w:r>
          </w:hyperlink>
        </w:p>
        <w:p w14:paraId="72FB6F78" w14:textId="358961F2"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56" w:history="1">
            <w:r w:rsidRPr="002A4F14">
              <w:rPr>
                <w:rStyle w:val="Hyperlink"/>
                <w:noProof/>
              </w:rPr>
              <w:t>MA-60 Broadband Needs of Housing occupied by Low- and Moderate-Income Households - 91.210(a)(4), 91.310(a)(2)</w:t>
            </w:r>
            <w:r>
              <w:rPr>
                <w:noProof/>
                <w:webHidden/>
              </w:rPr>
              <w:tab/>
            </w:r>
            <w:r>
              <w:rPr>
                <w:noProof/>
                <w:webHidden/>
              </w:rPr>
              <w:fldChar w:fldCharType="begin"/>
            </w:r>
            <w:r>
              <w:rPr>
                <w:noProof/>
                <w:webHidden/>
              </w:rPr>
              <w:instrText xml:space="preserve"> PAGEREF _Toc194673856 \h </w:instrText>
            </w:r>
            <w:r>
              <w:rPr>
                <w:noProof/>
                <w:webHidden/>
              </w:rPr>
            </w:r>
            <w:r>
              <w:rPr>
                <w:noProof/>
                <w:webHidden/>
              </w:rPr>
              <w:fldChar w:fldCharType="separate"/>
            </w:r>
            <w:r>
              <w:rPr>
                <w:noProof/>
                <w:webHidden/>
              </w:rPr>
              <w:t>92</w:t>
            </w:r>
            <w:r>
              <w:rPr>
                <w:noProof/>
                <w:webHidden/>
              </w:rPr>
              <w:fldChar w:fldCharType="end"/>
            </w:r>
          </w:hyperlink>
        </w:p>
        <w:p w14:paraId="32F04655" w14:textId="1BC277AF"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57" w:history="1">
            <w:r w:rsidRPr="002A4F14">
              <w:rPr>
                <w:rStyle w:val="Hyperlink"/>
                <w:noProof/>
              </w:rPr>
              <w:t>MA-65 Hazard Mitigation - 91.210(a)(5), 91.310(a)(3)</w:t>
            </w:r>
            <w:r>
              <w:rPr>
                <w:noProof/>
                <w:webHidden/>
              </w:rPr>
              <w:tab/>
            </w:r>
            <w:r>
              <w:rPr>
                <w:noProof/>
                <w:webHidden/>
              </w:rPr>
              <w:fldChar w:fldCharType="begin"/>
            </w:r>
            <w:r>
              <w:rPr>
                <w:noProof/>
                <w:webHidden/>
              </w:rPr>
              <w:instrText xml:space="preserve"> PAGEREF _Toc194673857 \h </w:instrText>
            </w:r>
            <w:r>
              <w:rPr>
                <w:noProof/>
                <w:webHidden/>
              </w:rPr>
            </w:r>
            <w:r>
              <w:rPr>
                <w:noProof/>
                <w:webHidden/>
              </w:rPr>
              <w:fldChar w:fldCharType="separate"/>
            </w:r>
            <w:r>
              <w:rPr>
                <w:noProof/>
                <w:webHidden/>
              </w:rPr>
              <w:t>94</w:t>
            </w:r>
            <w:r>
              <w:rPr>
                <w:noProof/>
                <w:webHidden/>
              </w:rPr>
              <w:fldChar w:fldCharType="end"/>
            </w:r>
          </w:hyperlink>
        </w:p>
        <w:p w14:paraId="46C6E88B" w14:textId="4B68B073" w:rsidR="007949A9" w:rsidRDefault="007949A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673858" w:history="1">
            <w:r w:rsidRPr="002A4F14">
              <w:rPr>
                <w:rStyle w:val="Hyperlink"/>
                <w:noProof/>
              </w:rPr>
              <w:t>Strategic Plan</w:t>
            </w:r>
            <w:r>
              <w:rPr>
                <w:noProof/>
                <w:webHidden/>
              </w:rPr>
              <w:tab/>
            </w:r>
            <w:r>
              <w:rPr>
                <w:noProof/>
                <w:webHidden/>
              </w:rPr>
              <w:fldChar w:fldCharType="begin"/>
            </w:r>
            <w:r>
              <w:rPr>
                <w:noProof/>
                <w:webHidden/>
              </w:rPr>
              <w:instrText xml:space="preserve"> PAGEREF _Toc194673858 \h </w:instrText>
            </w:r>
            <w:r>
              <w:rPr>
                <w:noProof/>
                <w:webHidden/>
              </w:rPr>
            </w:r>
            <w:r>
              <w:rPr>
                <w:noProof/>
                <w:webHidden/>
              </w:rPr>
              <w:fldChar w:fldCharType="separate"/>
            </w:r>
            <w:r>
              <w:rPr>
                <w:noProof/>
                <w:webHidden/>
              </w:rPr>
              <w:t>97</w:t>
            </w:r>
            <w:r>
              <w:rPr>
                <w:noProof/>
                <w:webHidden/>
              </w:rPr>
              <w:fldChar w:fldCharType="end"/>
            </w:r>
          </w:hyperlink>
        </w:p>
        <w:p w14:paraId="57D40924" w14:textId="303F68B0"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59" w:history="1">
            <w:r w:rsidRPr="002A4F14">
              <w:rPr>
                <w:rStyle w:val="Hyperlink"/>
                <w:noProof/>
              </w:rPr>
              <w:t>SP-05 Overview</w:t>
            </w:r>
            <w:r>
              <w:rPr>
                <w:noProof/>
                <w:webHidden/>
              </w:rPr>
              <w:tab/>
            </w:r>
            <w:r>
              <w:rPr>
                <w:noProof/>
                <w:webHidden/>
              </w:rPr>
              <w:fldChar w:fldCharType="begin"/>
            </w:r>
            <w:r>
              <w:rPr>
                <w:noProof/>
                <w:webHidden/>
              </w:rPr>
              <w:instrText xml:space="preserve"> PAGEREF _Toc194673859 \h </w:instrText>
            </w:r>
            <w:r>
              <w:rPr>
                <w:noProof/>
                <w:webHidden/>
              </w:rPr>
            </w:r>
            <w:r>
              <w:rPr>
                <w:noProof/>
                <w:webHidden/>
              </w:rPr>
              <w:fldChar w:fldCharType="separate"/>
            </w:r>
            <w:r>
              <w:rPr>
                <w:noProof/>
                <w:webHidden/>
              </w:rPr>
              <w:t>98</w:t>
            </w:r>
            <w:r>
              <w:rPr>
                <w:noProof/>
                <w:webHidden/>
              </w:rPr>
              <w:fldChar w:fldCharType="end"/>
            </w:r>
          </w:hyperlink>
        </w:p>
        <w:p w14:paraId="7C6F9273" w14:textId="02012FD1"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0" w:history="1">
            <w:r w:rsidRPr="002A4F14">
              <w:rPr>
                <w:rStyle w:val="Hyperlink"/>
                <w:noProof/>
              </w:rPr>
              <w:t>SP-10 Geographic Priorities – 91.315(a)(1)</w:t>
            </w:r>
            <w:r>
              <w:rPr>
                <w:noProof/>
                <w:webHidden/>
              </w:rPr>
              <w:tab/>
            </w:r>
            <w:r>
              <w:rPr>
                <w:noProof/>
                <w:webHidden/>
              </w:rPr>
              <w:fldChar w:fldCharType="begin"/>
            </w:r>
            <w:r>
              <w:rPr>
                <w:noProof/>
                <w:webHidden/>
              </w:rPr>
              <w:instrText xml:space="preserve"> PAGEREF _Toc194673860 \h </w:instrText>
            </w:r>
            <w:r>
              <w:rPr>
                <w:noProof/>
                <w:webHidden/>
              </w:rPr>
            </w:r>
            <w:r>
              <w:rPr>
                <w:noProof/>
                <w:webHidden/>
              </w:rPr>
              <w:fldChar w:fldCharType="separate"/>
            </w:r>
            <w:r>
              <w:rPr>
                <w:noProof/>
                <w:webHidden/>
              </w:rPr>
              <w:t>100</w:t>
            </w:r>
            <w:r>
              <w:rPr>
                <w:noProof/>
                <w:webHidden/>
              </w:rPr>
              <w:fldChar w:fldCharType="end"/>
            </w:r>
          </w:hyperlink>
        </w:p>
        <w:p w14:paraId="5F5246F4" w14:textId="4E9DB035"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1" w:history="1">
            <w:r w:rsidRPr="002A4F14">
              <w:rPr>
                <w:rStyle w:val="Hyperlink"/>
                <w:noProof/>
              </w:rPr>
              <w:t>SP-25 Priority Needs – 91.315(a)(2)</w:t>
            </w:r>
            <w:r>
              <w:rPr>
                <w:noProof/>
                <w:webHidden/>
              </w:rPr>
              <w:tab/>
            </w:r>
            <w:r>
              <w:rPr>
                <w:noProof/>
                <w:webHidden/>
              </w:rPr>
              <w:fldChar w:fldCharType="begin"/>
            </w:r>
            <w:r>
              <w:rPr>
                <w:noProof/>
                <w:webHidden/>
              </w:rPr>
              <w:instrText xml:space="preserve"> PAGEREF _Toc194673861 \h </w:instrText>
            </w:r>
            <w:r>
              <w:rPr>
                <w:noProof/>
                <w:webHidden/>
              </w:rPr>
            </w:r>
            <w:r>
              <w:rPr>
                <w:noProof/>
                <w:webHidden/>
              </w:rPr>
              <w:fldChar w:fldCharType="separate"/>
            </w:r>
            <w:r>
              <w:rPr>
                <w:noProof/>
                <w:webHidden/>
              </w:rPr>
              <w:t>102</w:t>
            </w:r>
            <w:r>
              <w:rPr>
                <w:noProof/>
                <w:webHidden/>
              </w:rPr>
              <w:fldChar w:fldCharType="end"/>
            </w:r>
          </w:hyperlink>
        </w:p>
        <w:p w14:paraId="7278DE2C" w14:textId="0E288C53"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2" w:history="1">
            <w:r w:rsidRPr="002A4F14">
              <w:rPr>
                <w:rStyle w:val="Hyperlink"/>
                <w:noProof/>
              </w:rPr>
              <w:t>SP-30 Influence of Market Conditions – 91.315(b)</w:t>
            </w:r>
            <w:r>
              <w:rPr>
                <w:noProof/>
                <w:webHidden/>
              </w:rPr>
              <w:tab/>
            </w:r>
            <w:r>
              <w:rPr>
                <w:noProof/>
                <w:webHidden/>
              </w:rPr>
              <w:fldChar w:fldCharType="begin"/>
            </w:r>
            <w:r>
              <w:rPr>
                <w:noProof/>
                <w:webHidden/>
              </w:rPr>
              <w:instrText xml:space="preserve"> PAGEREF _Toc194673862 \h </w:instrText>
            </w:r>
            <w:r>
              <w:rPr>
                <w:noProof/>
                <w:webHidden/>
              </w:rPr>
            </w:r>
            <w:r>
              <w:rPr>
                <w:noProof/>
                <w:webHidden/>
              </w:rPr>
              <w:fldChar w:fldCharType="separate"/>
            </w:r>
            <w:r>
              <w:rPr>
                <w:noProof/>
                <w:webHidden/>
              </w:rPr>
              <w:t>111</w:t>
            </w:r>
            <w:r>
              <w:rPr>
                <w:noProof/>
                <w:webHidden/>
              </w:rPr>
              <w:fldChar w:fldCharType="end"/>
            </w:r>
          </w:hyperlink>
        </w:p>
        <w:p w14:paraId="21F02E87" w14:textId="190D4938"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3" w:history="1">
            <w:r w:rsidRPr="002A4F14">
              <w:rPr>
                <w:rStyle w:val="Hyperlink"/>
                <w:rFonts w:cs="Calibri"/>
                <w:noProof/>
              </w:rPr>
              <w:t>SP-35 Anticipated Resources - 91.215(a)(4), 91.220(c)(1,2)</w:t>
            </w:r>
            <w:r>
              <w:rPr>
                <w:noProof/>
                <w:webHidden/>
              </w:rPr>
              <w:tab/>
            </w:r>
            <w:r>
              <w:rPr>
                <w:noProof/>
                <w:webHidden/>
              </w:rPr>
              <w:fldChar w:fldCharType="begin"/>
            </w:r>
            <w:r>
              <w:rPr>
                <w:noProof/>
                <w:webHidden/>
              </w:rPr>
              <w:instrText xml:space="preserve"> PAGEREF _Toc194673863 \h </w:instrText>
            </w:r>
            <w:r>
              <w:rPr>
                <w:noProof/>
                <w:webHidden/>
              </w:rPr>
            </w:r>
            <w:r>
              <w:rPr>
                <w:noProof/>
                <w:webHidden/>
              </w:rPr>
              <w:fldChar w:fldCharType="separate"/>
            </w:r>
            <w:r>
              <w:rPr>
                <w:noProof/>
                <w:webHidden/>
              </w:rPr>
              <w:t>113</w:t>
            </w:r>
            <w:r>
              <w:rPr>
                <w:noProof/>
                <w:webHidden/>
              </w:rPr>
              <w:fldChar w:fldCharType="end"/>
            </w:r>
          </w:hyperlink>
        </w:p>
        <w:p w14:paraId="1635C44B" w14:textId="306CFC67"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4" w:history="1">
            <w:r w:rsidRPr="002A4F14">
              <w:rPr>
                <w:rStyle w:val="Hyperlink"/>
                <w:rFonts w:cs="Calibri"/>
                <w:noProof/>
              </w:rPr>
              <w:t>SP-45 Goals Summary – 91.215(a)(4)</w:t>
            </w:r>
            <w:r>
              <w:rPr>
                <w:noProof/>
                <w:webHidden/>
              </w:rPr>
              <w:tab/>
            </w:r>
            <w:r>
              <w:rPr>
                <w:noProof/>
                <w:webHidden/>
              </w:rPr>
              <w:fldChar w:fldCharType="begin"/>
            </w:r>
            <w:r>
              <w:rPr>
                <w:noProof/>
                <w:webHidden/>
              </w:rPr>
              <w:instrText xml:space="preserve"> PAGEREF _Toc194673864 \h </w:instrText>
            </w:r>
            <w:r>
              <w:rPr>
                <w:noProof/>
                <w:webHidden/>
              </w:rPr>
            </w:r>
            <w:r>
              <w:rPr>
                <w:noProof/>
                <w:webHidden/>
              </w:rPr>
              <w:fldChar w:fldCharType="separate"/>
            </w:r>
            <w:r>
              <w:rPr>
                <w:noProof/>
                <w:webHidden/>
              </w:rPr>
              <w:t>121</w:t>
            </w:r>
            <w:r>
              <w:rPr>
                <w:noProof/>
                <w:webHidden/>
              </w:rPr>
              <w:fldChar w:fldCharType="end"/>
            </w:r>
          </w:hyperlink>
        </w:p>
        <w:p w14:paraId="27B81D28" w14:textId="764C29D5"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5" w:history="1">
            <w:r w:rsidRPr="002A4F14">
              <w:rPr>
                <w:rStyle w:val="Hyperlink"/>
                <w:noProof/>
              </w:rPr>
              <w:t>SP-50 Public Housing Accessibility and Involvement – 91.315(c)</w:t>
            </w:r>
            <w:r>
              <w:rPr>
                <w:noProof/>
                <w:webHidden/>
              </w:rPr>
              <w:tab/>
            </w:r>
            <w:r>
              <w:rPr>
                <w:noProof/>
                <w:webHidden/>
              </w:rPr>
              <w:fldChar w:fldCharType="begin"/>
            </w:r>
            <w:r>
              <w:rPr>
                <w:noProof/>
                <w:webHidden/>
              </w:rPr>
              <w:instrText xml:space="preserve"> PAGEREF _Toc194673865 \h </w:instrText>
            </w:r>
            <w:r>
              <w:rPr>
                <w:noProof/>
                <w:webHidden/>
              </w:rPr>
            </w:r>
            <w:r>
              <w:rPr>
                <w:noProof/>
                <w:webHidden/>
              </w:rPr>
              <w:fldChar w:fldCharType="separate"/>
            </w:r>
            <w:r>
              <w:rPr>
                <w:noProof/>
                <w:webHidden/>
              </w:rPr>
              <w:t>129</w:t>
            </w:r>
            <w:r>
              <w:rPr>
                <w:noProof/>
                <w:webHidden/>
              </w:rPr>
              <w:fldChar w:fldCharType="end"/>
            </w:r>
          </w:hyperlink>
        </w:p>
        <w:p w14:paraId="5D434BF0" w14:textId="240C5055"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6" w:history="1">
            <w:r w:rsidRPr="002A4F14">
              <w:rPr>
                <w:rStyle w:val="Hyperlink"/>
                <w:noProof/>
              </w:rPr>
              <w:t>SP-55 Barriers to affordable housing – 91.315(h)</w:t>
            </w:r>
            <w:r>
              <w:rPr>
                <w:noProof/>
                <w:webHidden/>
              </w:rPr>
              <w:tab/>
            </w:r>
            <w:r>
              <w:rPr>
                <w:noProof/>
                <w:webHidden/>
              </w:rPr>
              <w:fldChar w:fldCharType="begin"/>
            </w:r>
            <w:r>
              <w:rPr>
                <w:noProof/>
                <w:webHidden/>
              </w:rPr>
              <w:instrText xml:space="preserve"> PAGEREF _Toc194673866 \h </w:instrText>
            </w:r>
            <w:r>
              <w:rPr>
                <w:noProof/>
                <w:webHidden/>
              </w:rPr>
            </w:r>
            <w:r>
              <w:rPr>
                <w:noProof/>
                <w:webHidden/>
              </w:rPr>
              <w:fldChar w:fldCharType="separate"/>
            </w:r>
            <w:r>
              <w:rPr>
                <w:noProof/>
                <w:webHidden/>
              </w:rPr>
              <w:t>130</w:t>
            </w:r>
            <w:r>
              <w:rPr>
                <w:noProof/>
                <w:webHidden/>
              </w:rPr>
              <w:fldChar w:fldCharType="end"/>
            </w:r>
          </w:hyperlink>
        </w:p>
        <w:p w14:paraId="79C5302B" w14:textId="618C72FC"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7" w:history="1">
            <w:r w:rsidRPr="002A4F14">
              <w:rPr>
                <w:rStyle w:val="Hyperlink"/>
                <w:noProof/>
              </w:rPr>
              <w:t>SP-60 Homelessness Strategy – 91.315(d)</w:t>
            </w:r>
            <w:r>
              <w:rPr>
                <w:noProof/>
                <w:webHidden/>
              </w:rPr>
              <w:tab/>
            </w:r>
            <w:r>
              <w:rPr>
                <w:noProof/>
                <w:webHidden/>
              </w:rPr>
              <w:fldChar w:fldCharType="begin"/>
            </w:r>
            <w:r>
              <w:rPr>
                <w:noProof/>
                <w:webHidden/>
              </w:rPr>
              <w:instrText xml:space="preserve"> PAGEREF _Toc194673867 \h </w:instrText>
            </w:r>
            <w:r>
              <w:rPr>
                <w:noProof/>
                <w:webHidden/>
              </w:rPr>
            </w:r>
            <w:r>
              <w:rPr>
                <w:noProof/>
                <w:webHidden/>
              </w:rPr>
              <w:fldChar w:fldCharType="separate"/>
            </w:r>
            <w:r>
              <w:rPr>
                <w:noProof/>
                <w:webHidden/>
              </w:rPr>
              <w:t>132</w:t>
            </w:r>
            <w:r>
              <w:rPr>
                <w:noProof/>
                <w:webHidden/>
              </w:rPr>
              <w:fldChar w:fldCharType="end"/>
            </w:r>
          </w:hyperlink>
        </w:p>
        <w:p w14:paraId="1CD5D6BD" w14:textId="4BC639D9"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8" w:history="1">
            <w:r w:rsidRPr="002A4F14">
              <w:rPr>
                <w:rStyle w:val="Hyperlink"/>
                <w:noProof/>
              </w:rPr>
              <w:t>SP-65 Lead based paint Hazards – 91.315(i)</w:t>
            </w:r>
            <w:r>
              <w:rPr>
                <w:noProof/>
                <w:webHidden/>
              </w:rPr>
              <w:tab/>
            </w:r>
            <w:r>
              <w:rPr>
                <w:noProof/>
                <w:webHidden/>
              </w:rPr>
              <w:fldChar w:fldCharType="begin"/>
            </w:r>
            <w:r>
              <w:rPr>
                <w:noProof/>
                <w:webHidden/>
              </w:rPr>
              <w:instrText xml:space="preserve"> PAGEREF _Toc194673868 \h </w:instrText>
            </w:r>
            <w:r>
              <w:rPr>
                <w:noProof/>
                <w:webHidden/>
              </w:rPr>
            </w:r>
            <w:r>
              <w:rPr>
                <w:noProof/>
                <w:webHidden/>
              </w:rPr>
              <w:fldChar w:fldCharType="separate"/>
            </w:r>
            <w:r>
              <w:rPr>
                <w:noProof/>
                <w:webHidden/>
              </w:rPr>
              <w:t>136</w:t>
            </w:r>
            <w:r>
              <w:rPr>
                <w:noProof/>
                <w:webHidden/>
              </w:rPr>
              <w:fldChar w:fldCharType="end"/>
            </w:r>
          </w:hyperlink>
        </w:p>
        <w:p w14:paraId="529BC08A" w14:textId="117C3C0E"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69" w:history="1">
            <w:r w:rsidRPr="002A4F14">
              <w:rPr>
                <w:rStyle w:val="Hyperlink"/>
                <w:noProof/>
              </w:rPr>
              <w:t>SP-70 Anti-Poverty Strategy – 91.315(j)</w:t>
            </w:r>
            <w:r>
              <w:rPr>
                <w:noProof/>
                <w:webHidden/>
              </w:rPr>
              <w:tab/>
            </w:r>
            <w:r>
              <w:rPr>
                <w:noProof/>
                <w:webHidden/>
              </w:rPr>
              <w:fldChar w:fldCharType="begin"/>
            </w:r>
            <w:r>
              <w:rPr>
                <w:noProof/>
                <w:webHidden/>
              </w:rPr>
              <w:instrText xml:space="preserve"> PAGEREF _Toc194673869 \h </w:instrText>
            </w:r>
            <w:r>
              <w:rPr>
                <w:noProof/>
                <w:webHidden/>
              </w:rPr>
            </w:r>
            <w:r>
              <w:rPr>
                <w:noProof/>
                <w:webHidden/>
              </w:rPr>
              <w:fldChar w:fldCharType="separate"/>
            </w:r>
            <w:r>
              <w:rPr>
                <w:noProof/>
                <w:webHidden/>
              </w:rPr>
              <w:t>138</w:t>
            </w:r>
            <w:r>
              <w:rPr>
                <w:noProof/>
                <w:webHidden/>
              </w:rPr>
              <w:fldChar w:fldCharType="end"/>
            </w:r>
          </w:hyperlink>
        </w:p>
        <w:p w14:paraId="3C364A98" w14:textId="64CA0683"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70" w:history="1">
            <w:r w:rsidRPr="002A4F14">
              <w:rPr>
                <w:rStyle w:val="Hyperlink"/>
                <w:noProof/>
              </w:rPr>
              <w:t>SP-80 Monitoring – 91.330</w:t>
            </w:r>
            <w:r>
              <w:rPr>
                <w:noProof/>
                <w:webHidden/>
              </w:rPr>
              <w:tab/>
            </w:r>
            <w:r>
              <w:rPr>
                <w:noProof/>
                <w:webHidden/>
              </w:rPr>
              <w:fldChar w:fldCharType="begin"/>
            </w:r>
            <w:r>
              <w:rPr>
                <w:noProof/>
                <w:webHidden/>
              </w:rPr>
              <w:instrText xml:space="preserve"> PAGEREF _Toc194673870 \h </w:instrText>
            </w:r>
            <w:r>
              <w:rPr>
                <w:noProof/>
                <w:webHidden/>
              </w:rPr>
            </w:r>
            <w:r>
              <w:rPr>
                <w:noProof/>
                <w:webHidden/>
              </w:rPr>
              <w:fldChar w:fldCharType="separate"/>
            </w:r>
            <w:r>
              <w:rPr>
                <w:noProof/>
                <w:webHidden/>
              </w:rPr>
              <w:t>142</w:t>
            </w:r>
            <w:r>
              <w:rPr>
                <w:noProof/>
                <w:webHidden/>
              </w:rPr>
              <w:fldChar w:fldCharType="end"/>
            </w:r>
          </w:hyperlink>
        </w:p>
        <w:p w14:paraId="09D8889B" w14:textId="613C5819" w:rsidR="007949A9" w:rsidRDefault="007949A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673871" w:history="1">
            <w:r w:rsidRPr="002A4F14">
              <w:rPr>
                <w:rStyle w:val="Hyperlink"/>
                <w:noProof/>
              </w:rPr>
              <w:t>Expected Resources</w:t>
            </w:r>
            <w:r>
              <w:rPr>
                <w:noProof/>
                <w:webHidden/>
              </w:rPr>
              <w:tab/>
            </w:r>
            <w:r>
              <w:rPr>
                <w:noProof/>
                <w:webHidden/>
              </w:rPr>
              <w:fldChar w:fldCharType="begin"/>
            </w:r>
            <w:r>
              <w:rPr>
                <w:noProof/>
                <w:webHidden/>
              </w:rPr>
              <w:instrText xml:space="preserve"> PAGEREF _Toc194673871 \h </w:instrText>
            </w:r>
            <w:r>
              <w:rPr>
                <w:noProof/>
                <w:webHidden/>
              </w:rPr>
            </w:r>
            <w:r>
              <w:rPr>
                <w:noProof/>
                <w:webHidden/>
              </w:rPr>
              <w:fldChar w:fldCharType="separate"/>
            </w:r>
            <w:r>
              <w:rPr>
                <w:noProof/>
                <w:webHidden/>
              </w:rPr>
              <w:t>149</w:t>
            </w:r>
            <w:r>
              <w:rPr>
                <w:noProof/>
                <w:webHidden/>
              </w:rPr>
              <w:fldChar w:fldCharType="end"/>
            </w:r>
          </w:hyperlink>
        </w:p>
        <w:p w14:paraId="52FD5E8D" w14:textId="1B03E25C"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72" w:history="1">
            <w:r w:rsidRPr="002A4F14">
              <w:rPr>
                <w:rStyle w:val="Hyperlink"/>
                <w:noProof/>
              </w:rPr>
              <w:t>AP-15 Expected Resources – 91.320(c)(1,2)</w:t>
            </w:r>
            <w:r>
              <w:rPr>
                <w:noProof/>
                <w:webHidden/>
              </w:rPr>
              <w:tab/>
            </w:r>
            <w:r>
              <w:rPr>
                <w:noProof/>
                <w:webHidden/>
              </w:rPr>
              <w:fldChar w:fldCharType="begin"/>
            </w:r>
            <w:r>
              <w:rPr>
                <w:noProof/>
                <w:webHidden/>
              </w:rPr>
              <w:instrText xml:space="preserve"> PAGEREF _Toc194673872 \h </w:instrText>
            </w:r>
            <w:r>
              <w:rPr>
                <w:noProof/>
                <w:webHidden/>
              </w:rPr>
            </w:r>
            <w:r>
              <w:rPr>
                <w:noProof/>
                <w:webHidden/>
              </w:rPr>
              <w:fldChar w:fldCharType="separate"/>
            </w:r>
            <w:r>
              <w:rPr>
                <w:noProof/>
                <w:webHidden/>
              </w:rPr>
              <w:t>149</w:t>
            </w:r>
            <w:r>
              <w:rPr>
                <w:noProof/>
                <w:webHidden/>
              </w:rPr>
              <w:fldChar w:fldCharType="end"/>
            </w:r>
          </w:hyperlink>
        </w:p>
        <w:p w14:paraId="5D21228F" w14:textId="3632F170" w:rsidR="007949A9" w:rsidRDefault="007949A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673873" w:history="1">
            <w:r w:rsidRPr="002A4F14">
              <w:rPr>
                <w:rStyle w:val="Hyperlink"/>
                <w:noProof/>
              </w:rPr>
              <w:t>Annual Goals and Objectives</w:t>
            </w:r>
            <w:r>
              <w:rPr>
                <w:noProof/>
                <w:webHidden/>
              </w:rPr>
              <w:tab/>
            </w:r>
            <w:r>
              <w:rPr>
                <w:noProof/>
                <w:webHidden/>
              </w:rPr>
              <w:fldChar w:fldCharType="begin"/>
            </w:r>
            <w:r>
              <w:rPr>
                <w:noProof/>
                <w:webHidden/>
              </w:rPr>
              <w:instrText xml:space="preserve"> PAGEREF _Toc194673873 \h </w:instrText>
            </w:r>
            <w:r>
              <w:rPr>
                <w:noProof/>
                <w:webHidden/>
              </w:rPr>
            </w:r>
            <w:r>
              <w:rPr>
                <w:noProof/>
                <w:webHidden/>
              </w:rPr>
              <w:fldChar w:fldCharType="separate"/>
            </w:r>
            <w:r>
              <w:rPr>
                <w:noProof/>
                <w:webHidden/>
              </w:rPr>
              <w:t>155</w:t>
            </w:r>
            <w:r>
              <w:rPr>
                <w:noProof/>
                <w:webHidden/>
              </w:rPr>
              <w:fldChar w:fldCharType="end"/>
            </w:r>
          </w:hyperlink>
        </w:p>
        <w:p w14:paraId="5B37B1E6" w14:textId="2FE9C68B"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74" w:history="1">
            <w:r w:rsidRPr="002A4F14">
              <w:rPr>
                <w:rStyle w:val="Hyperlink"/>
                <w:noProof/>
              </w:rPr>
              <w:t>AP-20 Annual Goals and Objectives – 91.320(c)(3)&amp;(e)</w:t>
            </w:r>
            <w:r>
              <w:rPr>
                <w:noProof/>
                <w:webHidden/>
              </w:rPr>
              <w:tab/>
            </w:r>
            <w:r>
              <w:rPr>
                <w:noProof/>
                <w:webHidden/>
              </w:rPr>
              <w:fldChar w:fldCharType="begin"/>
            </w:r>
            <w:r>
              <w:rPr>
                <w:noProof/>
                <w:webHidden/>
              </w:rPr>
              <w:instrText xml:space="preserve"> PAGEREF _Toc194673874 \h </w:instrText>
            </w:r>
            <w:r>
              <w:rPr>
                <w:noProof/>
                <w:webHidden/>
              </w:rPr>
            </w:r>
            <w:r>
              <w:rPr>
                <w:noProof/>
                <w:webHidden/>
              </w:rPr>
              <w:fldChar w:fldCharType="separate"/>
            </w:r>
            <w:r>
              <w:rPr>
                <w:noProof/>
                <w:webHidden/>
              </w:rPr>
              <w:t>155</w:t>
            </w:r>
            <w:r>
              <w:rPr>
                <w:noProof/>
                <w:webHidden/>
              </w:rPr>
              <w:fldChar w:fldCharType="end"/>
            </w:r>
          </w:hyperlink>
        </w:p>
        <w:p w14:paraId="02B09841" w14:textId="36E4E1B5"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75" w:history="1">
            <w:r w:rsidRPr="002A4F14">
              <w:rPr>
                <w:rStyle w:val="Hyperlink"/>
                <w:noProof/>
              </w:rPr>
              <w:t>AP-25 Allocation Priorities – 91.320(d)</w:t>
            </w:r>
            <w:r>
              <w:rPr>
                <w:noProof/>
                <w:webHidden/>
              </w:rPr>
              <w:tab/>
            </w:r>
            <w:r>
              <w:rPr>
                <w:noProof/>
                <w:webHidden/>
              </w:rPr>
              <w:fldChar w:fldCharType="begin"/>
            </w:r>
            <w:r>
              <w:rPr>
                <w:noProof/>
                <w:webHidden/>
              </w:rPr>
              <w:instrText xml:space="preserve"> PAGEREF _Toc194673875 \h </w:instrText>
            </w:r>
            <w:r>
              <w:rPr>
                <w:noProof/>
                <w:webHidden/>
              </w:rPr>
            </w:r>
            <w:r>
              <w:rPr>
                <w:noProof/>
                <w:webHidden/>
              </w:rPr>
              <w:fldChar w:fldCharType="separate"/>
            </w:r>
            <w:r>
              <w:rPr>
                <w:noProof/>
                <w:webHidden/>
              </w:rPr>
              <w:t>163</w:t>
            </w:r>
            <w:r>
              <w:rPr>
                <w:noProof/>
                <w:webHidden/>
              </w:rPr>
              <w:fldChar w:fldCharType="end"/>
            </w:r>
          </w:hyperlink>
        </w:p>
        <w:p w14:paraId="4BCDA4F8" w14:textId="70CD41B8"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76" w:history="1">
            <w:r w:rsidRPr="002A4F14">
              <w:rPr>
                <w:rStyle w:val="Hyperlink"/>
                <w:noProof/>
              </w:rPr>
              <w:t>AP-30 Methods of Distribution – 91.320(d)&amp;(k)</w:t>
            </w:r>
            <w:r>
              <w:rPr>
                <w:noProof/>
                <w:webHidden/>
              </w:rPr>
              <w:tab/>
            </w:r>
            <w:r>
              <w:rPr>
                <w:noProof/>
                <w:webHidden/>
              </w:rPr>
              <w:fldChar w:fldCharType="begin"/>
            </w:r>
            <w:r>
              <w:rPr>
                <w:noProof/>
                <w:webHidden/>
              </w:rPr>
              <w:instrText xml:space="preserve"> PAGEREF _Toc194673876 \h </w:instrText>
            </w:r>
            <w:r>
              <w:rPr>
                <w:noProof/>
                <w:webHidden/>
              </w:rPr>
            </w:r>
            <w:r>
              <w:rPr>
                <w:noProof/>
                <w:webHidden/>
              </w:rPr>
              <w:fldChar w:fldCharType="separate"/>
            </w:r>
            <w:r>
              <w:rPr>
                <w:noProof/>
                <w:webHidden/>
              </w:rPr>
              <w:t>165</w:t>
            </w:r>
            <w:r>
              <w:rPr>
                <w:noProof/>
                <w:webHidden/>
              </w:rPr>
              <w:fldChar w:fldCharType="end"/>
            </w:r>
          </w:hyperlink>
        </w:p>
        <w:p w14:paraId="2B3E9025" w14:textId="5122DAAF"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77" w:history="1">
            <w:r w:rsidRPr="002A4F14">
              <w:rPr>
                <w:rStyle w:val="Hyperlink"/>
                <w:noProof/>
              </w:rPr>
              <w:t>AP-35 Projects – (Optional)</w:t>
            </w:r>
            <w:r>
              <w:rPr>
                <w:noProof/>
                <w:webHidden/>
              </w:rPr>
              <w:tab/>
            </w:r>
            <w:r>
              <w:rPr>
                <w:noProof/>
                <w:webHidden/>
              </w:rPr>
              <w:fldChar w:fldCharType="begin"/>
            </w:r>
            <w:r>
              <w:rPr>
                <w:noProof/>
                <w:webHidden/>
              </w:rPr>
              <w:instrText xml:space="preserve"> PAGEREF _Toc194673877 \h </w:instrText>
            </w:r>
            <w:r>
              <w:rPr>
                <w:noProof/>
                <w:webHidden/>
              </w:rPr>
            </w:r>
            <w:r>
              <w:rPr>
                <w:noProof/>
                <w:webHidden/>
              </w:rPr>
              <w:fldChar w:fldCharType="separate"/>
            </w:r>
            <w:r>
              <w:rPr>
                <w:noProof/>
                <w:webHidden/>
              </w:rPr>
              <w:t>177</w:t>
            </w:r>
            <w:r>
              <w:rPr>
                <w:noProof/>
                <w:webHidden/>
              </w:rPr>
              <w:fldChar w:fldCharType="end"/>
            </w:r>
          </w:hyperlink>
        </w:p>
        <w:p w14:paraId="1A2CA1F4" w14:textId="6B21CCBB"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78" w:history="1">
            <w:r w:rsidRPr="002A4F14">
              <w:rPr>
                <w:rStyle w:val="Hyperlink"/>
                <w:noProof/>
              </w:rPr>
              <w:t>AP-38 Project Summary</w:t>
            </w:r>
            <w:r>
              <w:rPr>
                <w:noProof/>
                <w:webHidden/>
              </w:rPr>
              <w:tab/>
            </w:r>
            <w:r>
              <w:rPr>
                <w:noProof/>
                <w:webHidden/>
              </w:rPr>
              <w:fldChar w:fldCharType="begin"/>
            </w:r>
            <w:r>
              <w:rPr>
                <w:noProof/>
                <w:webHidden/>
              </w:rPr>
              <w:instrText xml:space="preserve"> PAGEREF _Toc194673878 \h </w:instrText>
            </w:r>
            <w:r>
              <w:rPr>
                <w:noProof/>
                <w:webHidden/>
              </w:rPr>
            </w:r>
            <w:r>
              <w:rPr>
                <w:noProof/>
                <w:webHidden/>
              </w:rPr>
              <w:fldChar w:fldCharType="separate"/>
            </w:r>
            <w:r>
              <w:rPr>
                <w:noProof/>
                <w:webHidden/>
              </w:rPr>
              <w:t>179</w:t>
            </w:r>
            <w:r>
              <w:rPr>
                <w:noProof/>
                <w:webHidden/>
              </w:rPr>
              <w:fldChar w:fldCharType="end"/>
            </w:r>
          </w:hyperlink>
        </w:p>
        <w:p w14:paraId="3D4DBE32" w14:textId="5179F86B"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79" w:history="1">
            <w:r w:rsidRPr="002A4F14">
              <w:rPr>
                <w:rStyle w:val="Hyperlink"/>
                <w:noProof/>
              </w:rPr>
              <w:t>AP-40 Section 108 Loan Guarantee – 91.320(k)(1)(ii)</w:t>
            </w:r>
            <w:r>
              <w:rPr>
                <w:noProof/>
                <w:webHidden/>
              </w:rPr>
              <w:tab/>
            </w:r>
            <w:r>
              <w:rPr>
                <w:noProof/>
                <w:webHidden/>
              </w:rPr>
              <w:fldChar w:fldCharType="begin"/>
            </w:r>
            <w:r>
              <w:rPr>
                <w:noProof/>
                <w:webHidden/>
              </w:rPr>
              <w:instrText xml:space="preserve"> PAGEREF _Toc194673879 \h </w:instrText>
            </w:r>
            <w:r>
              <w:rPr>
                <w:noProof/>
                <w:webHidden/>
              </w:rPr>
            </w:r>
            <w:r>
              <w:rPr>
                <w:noProof/>
                <w:webHidden/>
              </w:rPr>
              <w:fldChar w:fldCharType="separate"/>
            </w:r>
            <w:r>
              <w:rPr>
                <w:noProof/>
                <w:webHidden/>
              </w:rPr>
              <w:t>186</w:t>
            </w:r>
            <w:r>
              <w:rPr>
                <w:noProof/>
                <w:webHidden/>
              </w:rPr>
              <w:fldChar w:fldCharType="end"/>
            </w:r>
          </w:hyperlink>
        </w:p>
        <w:p w14:paraId="6A86529D" w14:textId="3A44AA20"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80" w:history="1">
            <w:r w:rsidRPr="002A4F14">
              <w:rPr>
                <w:rStyle w:val="Hyperlink"/>
                <w:noProof/>
              </w:rPr>
              <w:t>AP-45 Community Revitalization Strategies – 91.320(k)(1)(ii)</w:t>
            </w:r>
            <w:r>
              <w:rPr>
                <w:noProof/>
                <w:webHidden/>
              </w:rPr>
              <w:tab/>
            </w:r>
            <w:r>
              <w:rPr>
                <w:noProof/>
                <w:webHidden/>
              </w:rPr>
              <w:fldChar w:fldCharType="begin"/>
            </w:r>
            <w:r>
              <w:rPr>
                <w:noProof/>
                <w:webHidden/>
              </w:rPr>
              <w:instrText xml:space="preserve"> PAGEREF _Toc194673880 \h </w:instrText>
            </w:r>
            <w:r>
              <w:rPr>
                <w:noProof/>
                <w:webHidden/>
              </w:rPr>
            </w:r>
            <w:r>
              <w:rPr>
                <w:noProof/>
                <w:webHidden/>
              </w:rPr>
              <w:fldChar w:fldCharType="separate"/>
            </w:r>
            <w:r>
              <w:rPr>
                <w:noProof/>
                <w:webHidden/>
              </w:rPr>
              <w:t>187</w:t>
            </w:r>
            <w:r>
              <w:rPr>
                <w:noProof/>
                <w:webHidden/>
              </w:rPr>
              <w:fldChar w:fldCharType="end"/>
            </w:r>
          </w:hyperlink>
        </w:p>
        <w:p w14:paraId="3E1C31B1" w14:textId="60CC770C"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81" w:history="1">
            <w:r w:rsidRPr="002A4F14">
              <w:rPr>
                <w:rStyle w:val="Hyperlink"/>
                <w:noProof/>
              </w:rPr>
              <w:t>AP-50 Geographic Distribution – 91.320(f)</w:t>
            </w:r>
            <w:r>
              <w:rPr>
                <w:noProof/>
                <w:webHidden/>
              </w:rPr>
              <w:tab/>
            </w:r>
            <w:r>
              <w:rPr>
                <w:noProof/>
                <w:webHidden/>
              </w:rPr>
              <w:fldChar w:fldCharType="begin"/>
            </w:r>
            <w:r>
              <w:rPr>
                <w:noProof/>
                <w:webHidden/>
              </w:rPr>
              <w:instrText xml:space="preserve"> PAGEREF _Toc194673881 \h </w:instrText>
            </w:r>
            <w:r>
              <w:rPr>
                <w:noProof/>
                <w:webHidden/>
              </w:rPr>
            </w:r>
            <w:r>
              <w:rPr>
                <w:noProof/>
                <w:webHidden/>
              </w:rPr>
              <w:fldChar w:fldCharType="separate"/>
            </w:r>
            <w:r>
              <w:rPr>
                <w:noProof/>
                <w:webHidden/>
              </w:rPr>
              <w:t>188</w:t>
            </w:r>
            <w:r>
              <w:rPr>
                <w:noProof/>
                <w:webHidden/>
              </w:rPr>
              <w:fldChar w:fldCharType="end"/>
            </w:r>
          </w:hyperlink>
        </w:p>
        <w:p w14:paraId="5AAB3947" w14:textId="6CB90D0E" w:rsidR="007949A9" w:rsidRDefault="007949A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673882" w:history="1">
            <w:r w:rsidRPr="002A4F14">
              <w:rPr>
                <w:rStyle w:val="Hyperlink"/>
                <w:noProof/>
              </w:rPr>
              <w:t>Affordable Housing</w:t>
            </w:r>
            <w:r>
              <w:rPr>
                <w:noProof/>
                <w:webHidden/>
              </w:rPr>
              <w:tab/>
            </w:r>
            <w:r>
              <w:rPr>
                <w:noProof/>
                <w:webHidden/>
              </w:rPr>
              <w:fldChar w:fldCharType="begin"/>
            </w:r>
            <w:r>
              <w:rPr>
                <w:noProof/>
                <w:webHidden/>
              </w:rPr>
              <w:instrText xml:space="preserve"> PAGEREF _Toc194673882 \h </w:instrText>
            </w:r>
            <w:r>
              <w:rPr>
                <w:noProof/>
                <w:webHidden/>
              </w:rPr>
            </w:r>
            <w:r>
              <w:rPr>
                <w:noProof/>
                <w:webHidden/>
              </w:rPr>
              <w:fldChar w:fldCharType="separate"/>
            </w:r>
            <w:r>
              <w:rPr>
                <w:noProof/>
                <w:webHidden/>
              </w:rPr>
              <w:t>190</w:t>
            </w:r>
            <w:r>
              <w:rPr>
                <w:noProof/>
                <w:webHidden/>
              </w:rPr>
              <w:fldChar w:fldCharType="end"/>
            </w:r>
          </w:hyperlink>
        </w:p>
        <w:p w14:paraId="75C13ACC" w14:textId="4C183680"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83" w:history="1">
            <w:r w:rsidRPr="002A4F14">
              <w:rPr>
                <w:rStyle w:val="Hyperlink"/>
                <w:noProof/>
              </w:rPr>
              <w:t>AP-55 Affordable Housing – 24 CFR 91.320(g)</w:t>
            </w:r>
            <w:r>
              <w:rPr>
                <w:noProof/>
                <w:webHidden/>
              </w:rPr>
              <w:tab/>
            </w:r>
            <w:r>
              <w:rPr>
                <w:noProof/>
                <w:webHidden/>
              </w:rPr>
              <w:fldChar w:fldCharType="begin"/>
            </w:r>
            <w:r>
              <w:rPr>
                <w:noProof/>
                <w:webHidden/>
              </w:rPr>
              <w:instrText xml:space="preserve"> PAGEREF _Toc194673883 \h </w:instrText>
            </w:r>
            <w:r>
              <w:rPr>
                <w:noProof/>
                <w:webHidden/>
              </w:rPr>
            </w:r>
            <w:r>
              <w:rPr>
                <w:noProof/>
                <w:webHidden/>
              </w:rPr>
              <w:fldChar w:fldCharType="separate"/>
            </w:r>
            <w:r>
              <w:rPr>
                <w:noProof/>
                <w:webHidden/>
              </w:rPr>
              <w:t>190</w:t>
            </w:r>
            <w:r>
              <w:rPr>
                <w:noProof/>
                <w:webHidden/>
              </w:rPr>
              <w:fldChar w:fldCharType="end"/>
            </w:r>
          </w:hyperlink>
        </w:p>
        <w:p w14:paraId="10F9946E" w14:textId="6F81876E"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84" w:history="1">
            <w:r w:rsidRPr="002A4F14">
              <w:rPr>
                <w:rStyle w:val="Hyperlink"/>
                <w:noProof/>
              </w:rPr>
              <w:t>AP-60 Public Housing - 24 CFR 91.320(j)</w:t>
            </w:r>
            <w:r>
              <w:rPr>
                <w:noProof/>
                <w:webHidden/>
              </w:rPr>
              <w:tab/>
            </w:r>
            <w:r>
              <w:rPr>
                <w:noProof/>
                <w:webHidden/>
              </w:rPr>
              <w:fldChar w:fldCharType="begin"/>
            </w:r>
            <w:r>
              <w:rPr>
                <w:noProof/>
                <w:webHidden/>
              </w:rPr>
              <w:instrText xml:space="preserve"> PAGEREF _Toc194673884 \h </w:instrText>
            </w:r>
            <w:r>
              <w:rPr>
                <w:noProof/>
                <w:webHidden/>
              </w:rPr>
            </w:r>
            <w:r>
              <w:rPr>
                <w:noProof/>
                <w:webHidden/>
              </w:rPr>
              <w:fldChar w:fldCharType="separate"/>
            </w:r>
            <w:r>
              <w:rPr>
                <w:noProof/>
                <w:webHidden/>
              </w:rPr>
              <w:t>192</w:t>
            </w:r>
            <w:r>
              <w:rPr>
                <w:noProof/>
                <w:webHidden/>
              </w:rPr>
              <w:fldChar w:fldCharType="end"/>
            </w:r>
          </w:hyperlink>
        </w:p>
        <w:p w14:paraId="51BFFE3A" w14:textId="57564C0A"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85" w:history="1">
            <w:r w:rsidRPr="002A4F14">
              <w:rPr>
                <w:rStyle w:val="Hyperlink"/>
                <w:noProof/>
              </w:rPr>
              <w:t>AP-65 Homeless and Other Special Needs Activities – 91.320(h)</w:t>
            </w:r>
            <w:r>
              <w:rPr>
                <w:noProof/>
                <w:webHidden/>
              </w:rPr>
              <w:tab/>
            </w:r>
            <w:r>
              <w:rPr>
                <w:noProof/>
                <w:webHidden/>
              </w:rPr>
              <w:fldChar w:fldCharType="begin"/>
            </w:r>
            <w:r>
              <w:rPr>
                <w:noProof/>
                <w:webHidden/>
              </w:rPr>
              <w:instrText xml:space="preserve"> PAGEREF _Toc194673885 \h </w:instrText>
            </w:r>
            <w:r>
              <w:rPr>
                <w:noProof/>
                <w:webHidden/>
              </w:rPr>
            </w:r>
            <w:r>
              <w:rPr>
                <w:noProof/>
                <w:webHidden/>
              </w:rPr>
              <w:fldChar w:fldCharType="separate"/>
            </w:r>
            <w:r>
              <w:rPr>
                <w:noProof/>
                <w:webHidden/>
              </w:rPr>
              <w:t>194</w:t>
            </w:r>
            <w:r>
              <w:rPr>
                <w:noProof/>
                <w:webHidden/>
              </w:rPr>
              <w:fldChar w:fldCharType="end"/>
            </w:r>
          </w:hyperlink>
        </w:p>
        <w:p w14:paraId="4D88CEBC" w14:textId="3BEFB2D8"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86" w:history="1">
            <w:r w:rsidRPr="002A4F14">
              <w:rPr>
                <w:rStyle w:val="Hyperlink"/>
                <w:noProof/>
              </w:rPr>
              <w:t>AP-75 Barriers to affordable housing – 91.320(i)</w:t>
            </w:r>
            <w:r>
              <w:rPr>
                <w:noProof/>
                <w:webHidden/>
              </w:rPr>
              <w:tab/>
            </w:r>
            <w:r>
              <w:rPr>
                <w:noProof/>
                <w:webHidden/>
              </w:rPr>
              <w:fldChar w:fldCharType="begin"/>
            </w:r>
            <w:r>
              <w:rPr>
                <w:noProof/>
                <w:webHidden/>
              </w:rPr>
              <w:instrText xml:space="preserve"> PAGEREF _Toc194673886 \h </w:instrText>
            </w:r>
            <w:r>
              <w:rPr>
                <w:noProof/>
                <w:webHidden/>
              </w:rPr>
            </w:r>
            <w:r>
              <w:rPr>
                <w:noProof/>
                <w:webHidden/>
              </w:rPr>
              <w:fldChar w:fldCharType="separate"/>
            </w:r>
            <w:r>
              <w:rPr>
                <w:noProof/>
                <w:webHidden/>
              </w:rPr>
              <w:t>199</w:t>
            </w:r>
            <w:r>
              <w:rPr>
                <w:noProof/>
                <w:webHidden/>
              </w:rPr>
              <w:fldChar w:fldCharType="end"/>
            </w:r>
          </w:hyperlink>
        </w:p>
        <w:p w14:paraId="146FF012" w14:textId="6D03A3C5" w:rsidR="007949A9" w:rsidRDefault="007949A9">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4673887" w:history="1">
            <w:r w:rsidRPr="002A4F14">
              <w:rPr>
                <w:rStyle w:val="Hyperlink"/>
                <w:noProof/>
              </w:rPr>
              <w:t>AP-85 Other Actions – 91.320(j)</w:t>
            </w:r>
            <w:r>
              <w:rPr>
                <w:noProof/>
                <w:webHidden/>
              </w:rPr>
              <w:tab/>
            </w:r>
            <w:r>
              <w:rPr>
                <w:noProof/>
                <w:webHidden/>
              </w:rPr>
              <w:fldChar w:fldCharType="begin"/>
            </w:r>
            <w:r>
              <w:rPr>
                <w:noProof/>
                <w:webHidden/>
              </w:rPr>
              <w:instrText xml:space="preserve"> PAGEREF _Toc194673887 \h </w:instrText>
            </w:r>
            <w:r>
              <w:rPr>
                <w:noProof/>
                <w:webHidden/>
              </w:rPr>
            </w:r>
            <w:r>
              <w:rPr>
                <w:noProof/>
                <w:webHidden/>
              </w:rPr>
              <w:fldChar w:fldCharType="separate"/>
            </w:r>
            <w:r>
              <w:rPr>
                <w:noProof/>
                <w:webHidden/>
              </w:rPr>
              <w:t>201</w:t>
            </w:r>
            <w:r>
              <w:rPr>
                <w:noProof/>
                <w:webHidden/>
              </w:rPr>
              <w:fldChar w:fldCharType="end"/>
            </w:r>
          </w:hyperlink>
        </w:p>
        <w:p w14:paraId="255999FD" w14:textId="2B6DF24E" w:rsidR="007949A9" w:rsidRDefault="007949A9">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4673888" w:history="1">
            <w:r w:rsidRPr="002A4F14">
              <w:rPr>
                <w:rStyle w:val="Hyperlink"/>
                <w:noProof/>
              </w:rPr>
              <w:t>Program Specific Requirements</w:t>
            </w:r>
            <w:r>
              <w:rPr>
                <w:noProof/>
                <w:webHidden/>
              </w:rPr>
              <w:tab/>
            </w:r>
            <w:r>
              <w:rPr>
                <w:noProof/>
                <w:webHidden/>
              </w:rPr>
              <w:fldChar w:fldCharType="begin"/>
            </w:r>
            <w:r>
              <w:rPr>
                <w:noProof/>
                <w:webHidden/>
              </w:rPr>
              <w:instrText xml:space="preserve"> PAGEREF _Toc194673888 \h </w:instrText>
            </w:r>
            <w:r>
              <w:rPr>
                <w:noProof/>
                <w:webHidden/>
              </w:rPr>
            </w:r>
            <w:r>
              <w:rPr>
                <w:noProof/>
                <w:webHidden/>
              </w:rPr>
              <w:fldChar w:fldCharType="separate"/>
            </w:r>
            <w:r>
              <w:rPr>
                <w:noProof/>
                <w:webHidden/>
              </w:rPr>
              <w:t>207</w:t>
            </w:r>
            <w:r>
              <w:rPr>
                <w:noProof/>
                <w:webHidden/>
              </w:rPr>
              <w:fldChar w:fldCharType="end"/>
            </w:r>
          </w:hyperlink>
        </w:p>
        <w:p w14:paraId="00B4C4B8" w14:textId="79754244" w:rsidR="00807FFC" w:rsidRDefault="00807FFC">
          <w:r>
            <w:rPr>
              <w:b/>
              <w:bCs/>
              <w:noProof/>
            </w:rPr>
            <w:fldChar w:fldCharType="end"/>
          </w:r>
        </w:p>
      </w:sdtContent>
    </w:sdt>
    <w:p w14:paraId="5A1AEB83" w14:textId="104DB17F" w:rsidR="00320486" w:rsidRDefault="00320486" w:rsidP="00320486"/>
    <w:p w14:paraId="3484C1BE" w14:textId="77777777" w:rsidR="00807FFC" w:rsidRDefault="00807FFC">
      <w:pPr>
        <w:spacing w:after="160" w:line="259" w:lineRule="auto"/>
        <w:rPr>
          <w:rFonts w:eastAsiaTheme="majorEastAsia" w:cstheme="majorBidi"/>
          <w:sz w:val="32"/>
          <w:szCs w:val="32"/>
        </w:rPr>
      </w:pPr>
      <w:r>
        <w:rPr>
          <w:sz w:val="32"/>
          <w:szCs w:val="32"/>
        </w:rPr>
        <w:br w:type="page"/>
      </w:r>
    </w:p>
    <w:p w14:paraId="55C9D3E9" w14:textId="22A87B09" w:rsidR="00320486" w:rsidRDefault="00320486" w:rsidP="00320486">
      <w:pPr>
        <w:pStyle w:val="Heading1"/>
        <w:jc w:val="center"/>
        <w:rPr>
          <w:rFonts w:ascii="Calibri" w:hAnsi="Calibri"/>
          <w:color w:val="auto"/>
          <w:sz w:val="32"/>
          <w:szCs w:val="32"/>
        </w:rPr>
      </w:pPr>
      <w:bookmarkStart w:id="0" w:name="_Toc194673829"/>
      <w:r>
        <w:rPr>
          <w:rFonts w:ascii="Calibri" w:hAnsi="Calibri"/>
          <w:color w:val="auto"/>
          <w:sz w:val="32"/>
          <w:szCs w:val="32"/>
        </w:rPr>
        <w:lastRenderedPageBreak/>
        <w:t>Executive Summary</w:t>
      </w:r>
      <w:bookmarkEnd w:id="0"/>
      <w:r>
        <w:rPr>
          <w:rFonts w:ascii="Calibri" w:hAnsi="Calibri"/>
          <w:color w:val="auto"/>
          <w:sz w:val="32"/>
          <w:szCs w:val="32"/>
        </w:rPr>
        <w:t xml:space="preserve"> </w:t>
      </w:r>
    </w:p>
    <w:p w14:paraId="3AD36AE3" w14:textId="6E01688E" w:rsidR="00320486" w:rsidRDefault="00320486" w:rsidP="00320486">
      <w:pPr>
        <w:pStyle w:val="Heading2"/>
        <w:rPr>
          <w:rFonts w:ascii="Calibri" w:hAnsi="Calibri"/>
          <w:i/>
        </w:rPr>
      </w:pPr>
      <w:bookmarkStart w:id="1" w:name="_Toc194673830"/>
      <w:r>
        <w:rPr>
          <w:rFonts w:ascii="Calibri" w:hAnsi="Calibri"/>
        </w:rPr>
        <w:t>ES-05 Executive Summary - 24 CFR 91.200(c), 91.220(b)</w:t>
      </w:r>
      <w:bookmarkEnd w:id="1"/>
    </w:p>
    <w:p w14:paraId="5BB846C1" w14:textId="663CD8B1" w:rsidR="00320486" w:rsidRDefault="00320486" w:rsidP="787E070B">
      <w:pPr>
        <w:rPr>
          <w:b/>
          <w:bCs/>
          <w:sz w:val="24"/>
          <w:szCs w:val="24"/>
        </w:rPr>
      </w:pPr>
      <w:r w:rsidRPr="787E070B">
        <w:rPr>
          <w:b/>
          <w:bCs/>
          <w:sz w:val="24"/>
          <w:szCs w:val="24"/>
        </w:rPr>
        <w:t>1.</w:t>
      </w:r>
      <w:r>
        <w:tab/>
      </w:r>
      <w:r w:rsidRPr="787E070B">
        <w:rPr>
          <w:b/>
          <w:bCs/>
          <w:sz w:val="24"/>
          <w:szCs w:val="24"/>
        </w:rPr>
        <w:t>Introduction</w:t>
      </w:r>
    </w:p>
    <w:p w14:paraId="1B46E318" w14:textId="5751E85C" w:rsidR="00320486" w:rsidRPr="00C83593" w:rsidRDefault="00320486" w:rsidP="00A41B7E">
      <w:pPr>
        <w:spacing w:beforeAutospacing="1" w:afterAutospacing="1"/>
        <w:jc w:val="both"/>
        <w:rPr>
          <w:rFonts w:cs="Arial"/>
          <w:sz w:val="24"/>
          <w:szCs w:val="24"/>
        </w:rPr>
      </w:pPr>
      <w:r w:rsidRPr="00C83593">
        <w:rPr>
          <w:rFonts w:cs="Arial"/>
          <w:sz w:val="24"/>
          <w:szCs w:val="24"/>
        </w:rPr>
        <w:t>The State of Idaho receives approximately $17 million in block grant funds annually from the U.S. Department of Housing and Urban Development (HUD) for affordable housing and community development programs. T</w:t>
      </w:r>
      <w:r w:rsidR="003D33C3" w:rsidRPr="00C83593">
        <w:rPr>
          <w:rFonts w:cs="Arial"/>
          <w:sz w:val="24"/>
          <w:szCs w:val="24"/>
        </w:rPr>
        <w:t>hese programs include</w:t>
      </w:r>
      <w:r w:rsidRPr="00C83593">
        <w:rPr>
          <w:rFonts w:cs="Arial"/>
          <w:sz w:val="24"/>
          <w:szCs w:val="24"/>
        </w:rPr>
        <w:t xml:space="preserve"> the Community Development Block Grant </w:t>
      </w:r>
      <w:r w:rsidR="59B8DBF4" w:rsidRPr="00C83593">
        <w:rPr>
          <w:rFonts w:cs="Arial"/>
          <w:sz w:val="24"/>
          <w:szCs w:val="24"/>
        </w:rPr>
        <w:t xml:space="preserve">Program </w:t>
      </w:r>
      <w:r w:rsidR="6D237D8A" w:rsidRPr="00C83593">
        <w:rPr>
          <w:rFonts w:cs="Arial"/>
          <w:sz w:val="24"/>
          <w:szCs w:val="24"/>
        </w:rPr>
        <w:t>(</w:t>
      </w:r>
      <w:r w:rsidRPr="00C83593">
        <w:rPr>
          <w:rFonts w:cs="Arial"/>
          <w:sz w:val="24"/>
          <w:szCs w:val="24"/>
        </w:rPr>
        <w:t>CDBG</w:t>
      </w:r>
      <w:r w:rsidR="6D237D8A" w:rsidRPr="00C83593">
        <w:rPr>
          <w:rFonts w:cs="Arial"/>
          <w:sz w:val="24"/>
          <w:szCs w:val="24"/>
        </w:rPr>
        <w:t>),</w:t>
      </w:r>
      <w:r w:rsidRPr="00C83593">
        <w:rPr>
          <w:rFonts w:cs="Arial"/>
          <w:sz w:val="24"/>
          <w:szCs w:val="24"/>
        </w:rPr>
        <w:t xml:space="preserve"> the HOME Investment Partnerships Program (HOME), </w:t>
      </w:r>
      <w:r w:rsidR="003D33C3" w:rsidRPr="00C83593">
        <w:rPr>
          <w:rFonts w:cs="Arial"/>
          <w:sz w:val="24"/>
          <w:szCs w:val="24"/>
        </w:rPr>
        <w:t xml:space="preserve">the Emergency Solutions Grant program (ESG), </w:t>
      </w:r>
      <w:r w:rsidRPr="00C83593">
        <w:rPr>
          <w:rFonts w:cs="Arial"/>
          <w:sz w:val="24"/>
          <w:szCs w:val="24"/>
        </w:rPr>
        <w:t xml:space="preserve">and the Federal Housing Trust Fund (HTF). </w:t>
      </w:r>
    </w:p>
    <w:p w14:paraId="0982C273" w14:textId="02848AF9" w:rsidR="00320486" w:rsidRPr="00C83593" w:rsidRDefault="00320486" w:rsidP="787E070B">
      <w:pPr>
        <w:spacing w:beforeAutospacing="1" w:afterAutospacing="1"/>
        <w:jc w:val="both"/>
        <w:rPr>
          <w:rFonts w:cs="Arial"/>
          <w:sz w:val="24"/>
          <w:szCs w:val="24"/>
        </w:rPr>
      </w:pPr>
      <w:r w:rsidRPr="00C83593">
        <w:rPr>
          <w:rFonts w:cs="Arial"/>
          <w:sz w:val="24"/>
          <w:szCs w:val="24"/>
        </w:rPr>
        <w:t>As State Grantees of these HUD-CPD programs, Idaho Housing and Finance Association</w:t>
      </w:r>
      <w:r w:rsidR="003D33C3" w:rsidRPr="00C83593">
        <w:rPr>
          <w:rFonts w:cs="Arial"/>
          <w:sz w:val="24"/>
          <w:szCs w:val="24"/>
        </w:rPr>
        <w:t xml:space="preserve"> (IHFA) </w:t>
      </w:r>
      <w:r w:rsidRPr="00C83593">
        <w:rPr>
          <w:rFonts w:cs="Arial"/>
          <w:sz w:val="24"/>
          <w:szCs w:val="24"/>
        </w:rPr>
        <w:t>(HOME, HTF</w:t>
      </w:r>
      <w:r w:rsidR="003D33C3" w:rsidRPr="00C83593">
        <w:rPr>
          <w:rFonts w:cs="Arial"/>
          <w:sz w:val="24"/>
          <w:szCs w:val="24"/>
        </w:rPr>
        <w:t>,</w:t>
      </w:r>
      <w:r w:rsidRPr="00C83593">
        <w:rPr>
          <w:rFonts w:cs="Arial"/>
          <w:sz w:val="24"/>
          <w:szCs w:val="24"/>
        </w:rPr>
        <w:t xml:space="preserve"> and ESG) can award funds anywhere in the state, while the Idaho Department of Commerce (IDC) can award CDBG funds anywhere in the state except for local CDBG entitlement areas.  Although IHFA is not a State Agency, it does administer the State's housing programs. HUD refers to IHFA and IDC collectively as the "Stat</w:t>
      </w:r>
      <w:r w:rsidR="27FA2B50" w:rsidRPr="00C83593">
        <w:rPr>
          <w:rFonts w:cs="Arial"/>
          <w:sz w:val="24"/>
          <w:szCs w:val="24"/>
        </w:rPr>
        <w:t>e.”</w:t>
      </w:r>
    </w:p>
    <w:p w14:paraId="786A6820" w14:textId="77777777" w:rsidR="00320486" w:rsidRPr="00C83593" w:rsidRDefault="00320486" w:rsidP="00A41B7E">
      <w:pPr>
        <w:spacing w:beforeAutospacing="1" w:afterAutospacing="1"/>
        <w:jc w:val="both"/>
        <w:rPr>
          <w:rFonts w:cs="Arial"/>
          <w:sz w:val="24"/>
          <w:szCs w:val="24"/>
        </w:rPr>
      </w:pPr>
      <w:r w:rsidRPr="00C83593">
        <w:rPr>
          <w:rFonts w:cs="Arial"/>
          <w:sz w:val="24"/>
          <w:szCs w:val="24"/>
        </w:rPr>
        <w:t xml:space="preserve">State Grantees are required to submit a long-term plan to HUD summarizing the state's housing and community development needs, priorities, goals, and strategies for the next five (5) years. This document is the </w:t>
      </w:r>
      <w:r w:rsidRPr="00C83593">
        <w:rPr>
          <w:rFonts w:cs="Arial"/>
          <w:b/>
          <w:i/>
          <w:sz w:val="24"/>
          <w:szCs w:val="24"/>
        </w:rPr>
        <w:t>Five-Year Consolidated Plan.</w:t>
      </w:r>
      <w:r w:rsidRPr="00C83593">
        <w:rPr>
          <w:rFonts w:cs="Arial"/>
          <w:sz w:val="24"/>
          <w:szCs w:val="24"/>
        </w:rPr>
        <w:t> </w:t>
      </w:r>
    </w:p>
    <w:p w14:paraId="52D56883" w14:textId="37EC8E0A" w:rsidR="00320486" w:rsidRPr="00DA2F97" w:rsidRDefault="00320486" w:rsidP="00A41B7E">
      <w:pPr>
        <w:jc w:val="both"/>
        <w:rPr>
          <w:b/>
          <w:sz w:val="24"/>
          <w:szCs w:val="24"/>
        </w:rPr>
      </w:pPr>
      <w:r w:rsidRPr="00C83593">
        <w:rPr>
          <w:rFonts w:cs="Arial"/>
          <w:sz w:val="24"/>
          <w:szCs w:val="24"/>
        </w:rPr>
        <w:t xml:space="preserve">Each year in the Consolidated Plan is based on a Program Year that begins April 1st and ends March 31st of the subsequent year.  Beginning with the first Program Year of the Consolidated Plan, Grantees draft an </w:t>
      </w:r>
      <w:r w:rsidRPr="00C83593">
        <w:rPr>
          <w:rFonts w:cs="Arial"/>
          <w:b/>
          <w:i/>
          <w:sz w:val="24"/>
          <w:szCs w:val="24"/>
        </w:rPr>
        <w:t>Annual Action Plan</w:t>
      </w:r>
      <w:r w:rsidRPr="00C83593">
        <w:rPr>
          <w:rFonts w:cs="Arial"/>
          <w:sz w:val="24"/>
          <w:szCs w:val="24"/>
        </w:rPr>
        <w:t> to HUD identifying each program's annual allocation, goals, strategies, and outcomes.  The APP is submitted to HUD within 60 days of notification from HUD of allocation amount</w:t>
      </w:r>
      <w:r w:rsidR="003D33C3" w:rsidRPr="00C83593">
        <w:rPr>
          <w:rFonts w:cs="Arial"/>
          <w:sz w:val="24"/>
          <w:szCs w:val="24"/>
        </w:rPr>
        <w:t>s for the CPD programs</w:t>
      </w:r>
      <w:r w:rsidRPr="00C83593">
        <w:rPr>
          <w:rFonts w:cs="Arial"/>
          <w:sz w:val="24"/>
          <w:szCs w:val="24"/>
        </w:rPr>
        <w:t xml:space="preserve">.  Within 90 days of the end of the program year, Grantees are required to submit a report to HUD that evaluates individual program performance during the program year.  This report is the Consolidated Annual </w:t>
      </w:r>
      <w:r w:rsidRPr="00DA2F97">
        <w:rPr>
          <w:rFonts w:cs="Arial"/>
          <w:sz w:val="24"/>
          <w:szCs w:val="24"/>
        </w:rPr>
        <w:t>Performance Evaluation Report</w:t>
      </w:r>
      <w:r w:rsidR="003D33C3" w:rsidRPr="00DA2F97">
        <w:rPr>
          <w:rFonts w:cs="Arial"/>
          <w:sz w:val="24"/>
          <w:szCs w:val="24"/>
        </w:rPr>
        <w:t xml:space="preserve"> </w:t>
      </w:r>
      <w:r w:rsidRPr="00DA2F97">
        <w:rPr>
          <w:rFonts w:cs="Arial"/>
          <w:sz w:val="24"/>
          <w:szCs w:val="24"/>
        </w:rPr>
        <w:t>(CAPER).  </w:t>
      </w:r>
    </w:p>
    <w:p w14:paraId="7518B366" w14:textId="77777777" w:rsidR="00320486" w:rsidRPr="00DA2F97" w:rsidRDefault="00320486" w:rsidP="00320486">
      <w:pPr>
        <w:rPr>
          <w:b/>
          <w:sz w:val="24"/>
          <w:szCs w:val="24"/>
        </w:rPr>
      </w:pPr>
      <w:r w:rsidRPr="00DA2F97">
        <w:rPr>
          <w:b/>
          <w:sz w:val="24"/>
          <w:szCs w:val="24"/>
        </w:rPr>
        <w:t>2.</w:t>
      </w:r>
      <w:r w:rsidRPr="00DA2F97">
        <w:rPr>
          <w:b/>
          <w:sz w:val="24"/>
          <w:szCs w:val="24"/>
        </w:rPr>
        <w:tab/>
        <w:t xml:space="preserve">Summarize the objectives and outcomes identified in the Plan  </w:t>
      </w:r>
    </w:p>
    <w:p w14:paraId="6F49DABA" w14:textId="399546B2" w:rsidR="003753B9" w:rsidRPr="00DA2F97" w:rsidRDefault="003753B9" w:rsidP="00A41B7E">
      <w:pPr>
        <w:jc w:val="both"/>
        <w:rPr>
          <w:bCs/>
          <w:sz w:val="24"/>
          <w:szCs w:val="24"/>
        </w:rPr>
      </w:pPr>
      <w:r w:rsidRPr="00DA2F97">
        <w:rPr>
          <w:bCs/>
          <w:sz w:val="24"/>
          <w:szCs w:val="24"/>
        </w:rPr>
        <w:t xml:space="preserve">The primary objective of the Consolidated Plan is to improve the quality of life of principally low- and moderate-income Idahoans, by creating suitable living environments, improving the availability of affordable housing and enhancing economic opportunities. The Needs Assessment process identified </w:t>
      </w:r>
      <w:proofErr w:type="gramStart"/>
      <w:r w:rsidRPr="00DA2F97">
        <w:rPr>
          <w:bCs/>
          <w:sz w:val="24"/>
          <w:szCs w:val="24"/>
        </w:rPr>
        <w:t>a number of</w:t>
      </w:r>
      <w:proofErr w:type="gramEnd"/>
      <w:r w:rsidRPr="00DA2F97">
        <w:rPr>
          <w:bCs/>
          <w:sz w:val="24"/>
          <w:szCs w:val="24"/>
        </w:rPr>
        <w:t xml:space="preserve"> overarching needs within the community. These formed the basis for the following adopted in the Consolidated Plan, which are:</w:t>
      </w:r>
    </w:p>
    <w:p w14:paraId="73EF2B24" w14:textId="77777777" w:rsidR="00790376" w:rsidRPr="00DA2F97" w:rsidRDefault="00790376" w:rsidP="00351170">
      <w:pPr>
        <w:pStyle w:val="ListParagraph"/>
        <w:numPr>
          <w:ilvl w:val="0"/>
          <w:numId w:val="20"/>
        </w:numPr>
        <w:rPr>
          <w:color w:val="000000"/>
          <w:sz w:val="24"/>
          <w:szCs w:val="24"/>
        </w:rPr>
      </w:pPr>
      <w:bookmarkStart w:id="2" w:name="_Hlk188972240"/>
      <w:r w:rsidRPr="00DA2F97">
        <w:rPr>
          <w:color w:val="000000"/>
          <w:sz w:val="24"/>
          <w:szCs w:val="24"/>
        </w:rPr>
        <w:t>Create and Preserve Affordable Rental Housing</w:t>
      </w:r>
    </w:p>
    <w:p w14:paraId="3956FCF0" w14:textId="062AD3F9" w:rsidR="00790376" w:rsidRPr="00DA2F97" w:rsidRDefault="00790376" w:rsidP="00351170">
      <w:pPr>
        <w:pStyle w:val="ListParagraph"/>
        <w:numPr>
          <w:ilvl w:val="0"/>
          <w:numId w:val="20"/>
        </w:numPr>
        <w:rPr>
          <w:color w:val="000000"/>
          <w:sz w:val="24"/>
          <w:szCs w:val="24"/>
        </w:rPr>
      </w:pPr>
      <w:r w:rsidRPr="00DA2F97">
        <w:rPr>
          <w:color w:val="000000"/>
          <w:sz w:val="24"/>
          <w:szCs w:val="24"/>
        </w:rPr>
        <w:t>Create Affordable Homeownership</w:t>
      </w:r>
      <w:r w:rsidR="00C77057" w:rsidRPr="00DA2F97">
        <w:rPr>
          <w:color w:val="000000"/>
          <w:sz w:val="24"/>
          <w:szCs w:val="24"/>
        </w:rPr>
        <w:t xml:space="preserve"> Opportunities</w:t>
      </w:r>
    </w:p>
    <w:p w14:paraId="59325C93" w14:textId="7A110446" w:rsidR="00790376" w:rsidRPr="00DA2F97" w:rsidRDefault="00790376" w:rsidP="00351170">
      <w:pPr>
        <w:pStyle w:val="ListParagraph"/>
        <w:numPr>
          <w:ilvl w:val="0"/>
          <w:numId w:val="20"/>
        </w:numPr>
        <w:rPr>
          <w:color w:val="000000"/>
          <w:sz w:val="24"/>
          <w:szCs w:val="24"/>
        </w:rPr>
      </w:pPr>
      <w:r w:rsidRPr="00DA2F97">
        <w:rPr>
          <w:color w:val="000000"/>
          <w:sz w:val="24"/>
          <w:szCs w:val="24"/>
        </w:rPr>
        <w:lastRenderedPageBreak/>
        <w:t>Improve Public Facilities</w:t>
      </w:r>
    </w:p>
    <w:p w14:paraId="7C1667FD" w14:textId="2737BC70" w:rsidR="00790376" w:rsidRPr="00DA2F97" w:rsidRDefault="00790376" w:rsidP="00351170">
      <w:pPr>
        <w:pStyle w:val="ListParagraph"/>
        <w:numPr>
          <w:ilvl w:val="0"/>
          <w:numId w:val="20"/>
        </w:numPr>
        <w:rPr>
          <w:color w:val="000000"/>
          <w:sz w:val="24"/>
          <w:szCs w:val="24"/>
        </w:rPr>
      </w:pPr>
      <w:r w:rsidRPr="00DA2F97">
        <w:rPr>
          <w:color w:val="000000"/>
          <w:sz w:val="24"/>
          <w:szCs w:val="24"/>
        </w:rPr>
        <w:t>Improve Public Infrastructure</w:t>
      </w:r>
    </w:p>
    <w:p w14:paraId="02A04708" w14:textId="4D4A3AAF" w:rsidR="00790376" w:rsidRPr="00DA2F97" w:rsidRDefault="00790376" w:rsidP="00351170">
      <w:pPr>
        <w:pStyle w:val="ListParagraph"/>
        <w:numPr>
          <w:ilvl w:val="0"/>
          <w:numId w:val="20"/>
        </w:numPr>
        <w:rPr>
          <w:color w:val="000000"/>
          <w:sz w:val="24"/>
          <w:szCs w:val="24"/>
        </w:rPr>
      </w:pPr>
      <w:r w:rsidRPr="00DA2F97">
        <w:rPr>
          <w:color w:val="000000"/>
          <w:sz w:val="24"/>
          <w:szCs w:val="24"/>
        </w:rPr>
        <w:t>Support Housing-related Activities</w:t>
      </w:r>
    </w:p>
    <w:p w14:paraId="59D1A398" w14:textId="589EEFBB" w:rsidR="00790376" w:rsidRPr="00DA2F97" w:rsidRDefault="00790376" w:rsidP="00351170">
      <w:pPr>
        <w:pStyle w:val="ListParagraph"/>
        <w:numPr>
          <w:ilvl w:val="0"/>
          <w:numId w:val="20"/>
        </w:numPr>
        <w:rPr>
          <w:color w:val="000000"/>
          <w:sz w:val="24"/>
          <w:szCs w:val="24"/>
        </w:rPr>
      </w:pPr>
      <w:r w:rsidRPr="00DA2F97">
        <w:rPr>
          <w:color w:val="000000"/>
          <w:sz w:val="24"/>
          <w:szCs w:val="24"/>
        </w:rPr>
        <w:t>Support Economic Development</w:t>
      </w:r>
    </w:p>
    <w:p w14:paraId="5A7DE612" w14:textId="77777777" w:rsidR="00790376" w:rsidRPr="00DA2F97" w:rsidRDefault="00790376" w:rsidP="00351170">
      <w:pPr>
        <w:pStyle w:val="ListParagraph"/>
        <w:numPr>
          <w:ilvl w:val="0"/>
          <w:numId w:val="20"/>
        </w:numPr>
        <w:rPr>
          <w:color w:val="000000"/>
          <w:sz w:val="24"/>
          <w:szCs w:val="24"/>
        </w:rPr>
      </w:pPr>
      <w:r w:rsidRPr="00DA2F97">
        <w:rPr>
          <w:color w:val="000000"/>
          <w:sz w:val="24"/>
          <w:szCs w:val="24"/>
        </w:rPr>
        <w:t>Cleanup of blighted properties</w:t>
      </w:r>
    </w:p>
    <w:p w14:paraId="2AF027F1" w14:textId="10EAF41E" w:rsidR="00790376" w:rsidRPr="00DA2F97" w:rsidRDefault="00790376" w:rsidP="00351170">
      <w:pPr>
        <w:pStyle w:val="ListParagraph"/>
        <w:numPr>
          <w:ilvl w:val="0"/>
          <w:numId w:val="20"/>
        </w:numPr>
        <w:rPr>
          <w:color w:val="000000"/>
          <w:sz w:val="24"/>
          <w:szCs w:val="24"/>
        </w:rPr>
      </w:pPr>
      <w:r w:rsidRPr="00DA2F97">
        <w:rPr>
          <w:color w:val="000000"/>
          <w:sz w:val="24"/>
          <w:szCs w:val="24"/>
        </w:rPr>
        <w:t>Support Planning Studies</w:t>
      </w:r>
    </w:p>
    <w:p w14:paraId="5A391580" w14:textId="790266D3" w:rsidR="00790376" w:rsidRPr="00DA2F97" w:rsidRDefault="00E56E38" w:rsidP="00351170">
      <w:pPr>
        <w:pStyle w:val="ListParagraph"/>
        <w:numPr>
          <w:ilvl w:val="0"/>
          <w:numId w:val="20"/>
        </w:numPr>
        <w:rPr>
          <w:color w:val="000000"/>
          <w:sz w:val="24"/>
          <w:szCs w:val="24"/>
        </w:rPr>
      </w:pPr>
      <w:r w:rsidRPr="00DA2F97">
        <w:rPr>
          <w:color w:val="000000" w:themeColor="text1"/>
          <w:sz w:val="24"/>
          <w:szCs w:val="24"/>
        </w:rPr>
        <w:t>Homeless Shelter Operations, Homelessness Prevention, and Rapid Rehousing</w:t>
      </w:r>
    </w:p>
    <w:bookmarkEnd w:id="2"/>
    <w:p w14:paraId="63074F5B" w14:textId="27439D00" w:rsidR="003753B9" w:rsidRPr="00DA2F97" w:rsidRDefault="003753B9" w:rsidP="003753B9">
      <w:pPr>
        <w:rPr>
          <w:bCs/>
          <w:sz w:val="24"/>
          <w:szCs w:val="24"/>
        </w:rPr>
      </w:pPr>
      <w:r w:rsidRPr="00DA2F97">
        <w:rPr>
          <w:bCs/>
          <w:sz w:val="24"/>
          <w:szCs w:val="24"/>
        </w:rPr>
        <w:t xml:space="preserve">These priority needs were considered in the development of the goals set forth in this Plan.  The </w:t>
      </w:r>
      <w:r w:rsidR="00790376" w:rsidRPr="00DA2F97">
        <w:rPr>
          <w:bCs/>
          <w:sz w:val="24"/>
          <w:szCs w:val="24"/>
        </w:rPr>
        <w:t>State</w:t>
      </w:r>
      <w:r w:rsidRPr="00DA2F97">
        <w:rPr>
          <w:bCs/>
          <w:sz w:val="24"/>
          <w:szCs w:val="24"/>
        </w:rPr>
        <w:t xml:space="preserve">’s goals for the 2025-2029 Consolidated Plan follow: </w:t>
      </w:r>
    </w:p>
    <w:p w14:paraId="1424291E" w14:textId="77777777" w:rsidR="00790376" w:rsidRPr="00DA2F97" w:rsidRDefault="00790376" w:rsidP="00351170">
      <w:pPr>
        <w:pStyle w:val="ListParagraph"/>
        <w:numPr>
          <w:ilvl w:val="0"/>
          <w:numId w:val="19"/>
        </w:numPr>
        <w:rPr>
          <w:bCs/>
          <w:sz w:val="24"/>
          <w:szCs w:val="24"/>
        </w:rPr>
      </w:pPr>
      <w:r w:rsidRPr="00DA2F97">
        <w:rPr>
          <w:bCs/>
          <w:sz w:val="24"/>
          <w:szCs w:val="24"/>
        </w:rPr>
        <w:t>Public Facilities/Infrastructure-Compliance</w:t>
      </w:r>
    </w:p>
    <w:p w14:paraId="4A4A1DE5" w14:textId="77777777" w:rsidR="00790376" w:rsidRPr="00DA2F97" w:rsidRDefault="00790376" w:rsidP="00351170">
      <w:pPr>
        <w:pStyle w:val="ListParagraph"/>
        <w:numPr>
          <w:ilvl w:val="0"/>
          <w:numId w:val="19"/>
        </w:numPr>
        <w:rPr>
          <w:bCs/>
          <w:sz w:val="24"/>
          <w:szCs w:val="24"/>
        </w:rPr>
      </w:pPr>
      <w:r w:rsidRPr="00DA2F97">
        <w:rPr>
          <w:bCs/>
          <w:sz w:val="24"/>
          <w:szCs w:val="24"/>
        </w:rPr>
        <w:t>Public Facilities/Infrastructure-Rehabilitation</w:t>
      </w:r>
    </w:p>
    <w:p w14:paraId="1869A44C" w14:textId="77777777" w:rsidR="00790376" w:rsidRPr="00DA2F97" w:rsidRDefault="00790376" w:rsidP="00351170">
      <w:pPr>
        <w:pStyle w:val="ListParagraph"/>
        <w:numPr>
          <w:ilvl w:val="0"/>
          <w:numId w:val="19"/>
        </w:numPr>
        <w:rPr>
          <w:bCs/>
          <w:sz w:val="24"/>
          <w:szCs w:val="24"/>
        </w:rPr>
      </w:pPr>
      <w:r w:rsidRPr="00DA2F97">
        <w:rPr>
          <w:bCs/>
          <w:sz w:val="24"/>
          <w:szCs w:val="24"/>
        </w:rPr>
        <w:t>Public Facilities/Infrastructure-New Construction</w:t>
      </w:r>
    </w:p>
    <w:p w14:paraId="27D0C3BD" w14:textId="77777777" w:rsidR="00790376" w:rsidRPr="00DA2F97" w:rsidRDefault="00790376" w:rsidP="00351170">
      <w:pPr>
        <w:pStyle w:val="ListParagraph"/>
        <w:numPr>
          <w:ilvl w:val="0"/>
          <w:numId w:val="19"/>
        </w:numPr>
        <w:rPr>
          <w:bCs/>
          <w:sz w:val="24"/>
          <w:szCs w:val="24"/>
        </w:rPr>
      </w:pPr>
      <w:r w:rsidRPr="00DA2F97">
        <w:rPr>
          <w:bCs/>
          <w:sz w:val="24"/>
          <w:szCs w:val="24"/>
        </w:rPr>
        <w:t>Economic Development-Job Creation</w:t>
      </w:r>
    </w:p>
    <w:p w14:paraId="0EF1F21E" w14:textId="77777777" w:rsidR="00790376" w:rsidRPr="00DA2F97" w:rsidRDefault="00790376" w:rsidP="00351170">
      <w:pPr>
        <w:pStyle w:val="ListParagraph"/>
        <w:numPr>
          <w:ilvl w:val="0"/>
          <w:numId w:val="19"/>
        </w:numPr>
        <w:rPr>
          <w:bCs/>
          <w:sz w:val="24"/>
          <w:szCs w:val="24"/>
        </w:rPr>
      </w:pPr>
      <w:r w:rsidRPr="00DA2F97">
        <w:rPr>
          <w:bCs/>
          <w:sz w:val="24"/>
          <w:szCs w:val="24"/>
        </w:rPr>
        <w:t>Economic Development-Downtown Revitalization</w:t>
      </w:r>
    </w:p>
    <w:p w14:paraId="72E2352C" w14:textId="77777777" w:rsidR="00790376" w:rsidRPr="00DA2F97" w:rsidRDefault="00790376" w:rsidP="00351170">
      <w:pPr>
        <w:pStyle w:val="ListParagraph"/>
        <w:numPr>
          <w:ilvl w:val="0"/>
          <w:numId w:val="19"/>
        </w:numPr>
        <w:rPr>
          <w:bCs/>
          <w:sz w:val="24"/>
          <w:szCs w:val="24"/>
        </w:rPr>
      </w:pPr>
      <w:r w:rsidRPr="00DA2F97">
        <w:rPr>
          <w:bCs/>
          <w:sz w:val="24"/>
          <w:szCs w:val="24"/>
        </w:rPr>
        <w:t>Provide Suitable Living Environment</w:t>
      </w:r>
    </w:p>
    <w:p w14:paraId="7BB94E12" w14:textId="77777777" w:rsidR="00790376" w:rsidRPr="00DA2F97" w:rsidRDefault="00790376" w:rsidP="00351170">
      <w:pPr>
        <w:pStyle w:val="ListParagraph"/>
        <w:numPr>
          <w:ilvl w:val="0"/>
          <w:numId w:val="19"/>
        </w:numPr>
        <w:spacing w:beforeAutospacing="1" w:afterAutospacing="1"/>
        <w:rPr>
          <w:bCs/>
          <w:color w:val="000000"/>
          <w:sz w:val="24"/>
          <w:szCs w:val="24"/>
        </w:rPr>
      </w:pPr>
      <w:r w:rsidRPr="00DA2F97">
        <w:rPr>
          <w:bCs/>
          <w:color w:val="000000"/>
          <w:sz w:val="24"/>
          <w:szCs w:val="24"/>
        </w:rPr>
        <w:t>Provide Decent Affordable Housing</w:t>
      </w:r>
    </w:p>
    <w:p w14:paraId="009625FF" w14:textId="77777777" w:rsidR="00320486" w:rsidRPr="00DA2F97" w:rsidRDefault="00320486" w:rsidP="00320486">
      <w:pPr>
        <w:rPr>
          <w:b/>
          <w:sz w:val="24"/>
          <w:szCs w:val="24"/>
        </w:rPr>
      </w:pPr>
      <w:r w:rsidRPr="00DA2F97">
        <w:rPr>
          <w:b/>
          <w:sz w:val="24"/>
          <w:szCs w:val="24"/>
        </w:rPr>
        <w:t>3.</w:t>
      </w:r>
      <w:r w:rsidRPr="00DA2F97">
        <w:rPr>
          <w:b/>
          <w:sz w:val="24"/>
          <w:szCs w:val="24"/>
        </w:rPr>
        <w:tab/>
        <w:t xml:space="preserve">Evaluation of past performance </w:t>
      </w:r>
    </w:p>
    <w:p w14:paraId="28165CD6" w14:textId="6ACF20EC" w:rsidR="009E61D8" w:rsidRPr="00DA2F97" w:rsidRDefault="009E61D8" w:rsidP="00A41B7E">
      <w:pPr>
        <w:spacing w:beforeAutospacing="1" w:afterAutospacing="1"/>
        <w:jc w:val="both"/>
        <w:rPr>
          <w:rFonts w:cs="Arial"/>
          <w:sz w:val="24"/>
          <w:szCs w:val="24"/>
        </w:rPr>
      </w:pPr>
      <w:r w:rsidRPr="00DA2F97">
        <w:rPr>
          <w:rFonts w:cs="Arial"/>
          <w:sz w:val="24"/>
          <w:szCs w:val="24"/>
        </w:rPr>
        <w:t>The grantees prepare and submit a Consolidated Annual Performance Evaluation Report (CAPER) to HUD 90 days after the start of the next program year. </w:t>
      </w:r>
      <w:r w:rsidR="00DC65EB" w:rsidRPr="00DA2F97">
        <w:rPr>
          <w:rFonts w:cs="Arial"/>
          <w:sz w:val="24"/>
          <w:szCs w:val="24"/>
        </w:rPr>
        <w:t>Due to</w:t>
      </w:r>
      <w:r w:rsidRPr="00DA2F97">
        <w:rPr>
          <w:rFonts w:cs="Arial"/>
          <w:sz w:val="24"/>
          <w:szCs w:val="24"/>
        </w:rPr>
        <w:t xml:space="preserve"> these submission requirements, the evaluation of past performance in this Consolidated Plan will include 4 of the 5 years in the current 2020-2024 Consolidated Plan at the time of submission to HUD.</w:t>
      </w:r>
    </w:p>
    <w:p w14:paraId="0D9EA6D4" w14:textId="06B19A6B" w:rsidR="00835A8D" w:rsidRPr="00C83593" w:rsidRDefault="00831882" w:rsidP="787E070B">
      <w:pPr>
        <w:spacing w:after="150"/>
        <w:rPr>
          <w:rFonts w:asciiTheme="minorHAnsi" w:eastAsiaTheme="minorEastAsia" w:hAnsiTheme="minorHAnsi" w:cstheme="minorBidi"/>
          <w:color w:val="000000" w:themeColor="text1"/>
        </w:rPr>
      </w:pPr>
      <w:r w:rsidRPr="00DA2F97">
        <w:rPr>
          <w:rFonts w:cs="Arial"/>
          <w:sz w:val="24"/>
          <w:szCs w:val="24"/>
        </w:rPr>
        <w:t>A summary of accomplishments can be found in the Unique Appendices.</w:t>
      </w:r>
      <w:r w:rsidR="003C6895" w:rsidRPr="00DA2F97">
        <w:rPr>
          <w:rFonts w:cs="Arial"/>
          <w:sz w:val="24"/>
          <w:szCs w:val="24"/>
        </w:rPr>
        <w:t xml:space="preserve"> </w:t>
      </w:r>
      <w:r w:rsidR="0D057A6C" w:rsidRPr="00DA2F97">
        <w:rPr>
          <w:rFonts w:asciiTheme="minorHAnsi" w:eastAsiaTheme="minorEastAsia" w:hAnsiTheme="minorHAnsi" w:cstheme="minorBidi"/>
          <w:color w:val="000000" w:themeColor="text1"/>
          <w:sz w:val="24"/>
          <w:szCs w:val="24"/>
        </w:rPr>
        <w:t>A chart summarizing the annual allocations for each program is below:</w:t>
      </w:r>
    </w:p>
    <w:tbl>
      <w:tblPr>
        <w:tblW w:w="0" w:type="auto"/>
        <w:tblLayout w:type="fixed"/>
        <w:tblLook w:val="06A0" w:firstRow="1" w:lastRow="0" w:firstColumn="1" w:lastColumn="0" w:noHBand="1" w:noVBand="1"/>
      </w:tblPr>
      <w:tblGrid>
        <w:gridCol w:w="885"/>
        <w:gridCol w:w="1264"/>
        <w:gridCol w:w="1395"/>
        <w:gridCol w:w="1185"/>
        <w:gridCol w:w="1395"/>
      </w:tblGrid>
      <w:tr w:rsidR="787E070B" w:rsidRPr="00C83593" w14:paraId="541D3313" w14:textId="77777777" w:rsidTr="787E070B">
        <w:trPr>
          <w:trHeight w:val="195"/>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0650B86A" w14:textId="12D46428" w:rsidR="787E070B" w:rsidRPr="00C83593" w:rsidRDefault="787E070B" w:rsidP="001865FB">
            <w:pPr>
              <w:spacing w:after="0"/>
              <w:rPr>
                <w:rFonts w:ascii="Helvetica" w:eastAsia="Helvetica" w:hAnsi="Helvetica" w:cs="Helvetica"/>
                <w:b/>
                <w:bCs/>
                <w:color w:val="000000" w:themeColor="text1"/>
                <w:sz w:val="20"/>
                <w:szCs w:val="20"/>
              </w:rPr>
            </w:pPr>
            <w:bookmarkStart w:id="3" w:name="_Hlk194669203"/>
          </w:p>
        </w:tc>
        <w:tc>
          <w:tcPr>
            <w:tcW w:w="126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2CA3F"/>
            <w:tcMar>
              <w:top w:w="60" w:type="dxa"/>
              <w:left w:w="60" w:type="dxa"/>
              <w:bottom w:w="60" w:type="dxa"/>
              <w:right w:w="60" w:type="dxa"/>
            </w:tcMar>
            <w:vAlign w:val="bottom"/>
          </w:tcPr>
          <w:p w14:paraId="78FFBE03" w14:textId="5F96EAAF" w:rsidR="787E070B" w:rsidRPr="00C83593" w:rsidRDefault="787E070B" w:rsidP="001865FB">
            <w:pPr>
              <w:spacing w:after="0"/>
              <w:jc w:val="center"/>
              <w:rPr>
                <w:rFonts w:ascii="Helvetica" w:eastAsia="Helvetica" w:hAnsi="Helvetica" w:cs="Helvetica"/>
                <w:b/>
                <w:bCs/>
                <w:color w:val="000000" w:themeColor="text1"/>
                <w:sz w:val="20"/>
                <w:szCs w:val="20"/>
              </w:rPr>
            </w:pPr>
            <w:r w:rsidRPr="00C83593">
              <w:rPr>
                <w:rFonts w:ascii="Helvetica" w:eastAsia="Helvetica" w:hAnsi="Helvetica" w:cs="Helvetica"/>
                <w:b/>
                <w:bCs/>
                <w:color w:val="000000" w:themeColor="text1"/>
                <w:sz w:val="20"/>
                <w:szCs w:val="20"/>
              </w:rPr>
              <w:t>CDBG</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15B27"/>
            <w:tcMar>
              <w:top w:w="60" w:type="dxa"/>
              <w:left w:w="60" w:type="dxa"/>
              <w:bottom w:w="60" w:type="dxa"/>
              <w:right w:w="60" w:type="dxa"/>
            </w:tcMar>
            <w:vAlign w:val="bottom"/>
          </w:tcPr>
          <w:p w14:paraId="67F25F45" w14:textId="36C065E1" w:rsidR="787E070B" w:rsidRPr="00C83593" w:rsidRDefault="787E070B" w:rsidP="001865FB">
            <w:pPr>
              <w:spacing w:after="0"/>
              <w:jc w:val="center"/>
              <w:rPr>
                <w:rFonts w:ascii="Helvetica" w:eastAsia="Helvetica" w:hAnsi="Helvetica" w:cs="Helvetica"/>
                <w:b/>
                <w:bCs/>
                <w:color w:val="000000" w:themeColor="text1"/>
                <w:sz w:val="20"/>
                <w:szCs w:val="20"/>
              </w:rPr>
            </w:pPr>
            <w:r w:rsidRPr="00C83593">
              <w:rPr>
                <w:rFonts w:ascii="Helvetica" w:eastAsia="Helvetica" w:hAnsi="Helvetica" w:cs="Helvetica"/>
                <w:b/>
                <w:bCs/>
                <w:color w:val="000000" w:themeColor="text1"/>
                <w:sz w:val="20"/>
                <w:szCs w:val="20"/>
              </w:rPr>
              <w:t>HOME</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168BCB"/>
            <w:tcMar>
              <w:top w:w="60" w:type="dxa"/>
              <w:left w:w="60" w:type="dxa"/>
              <w:bottom w:w="60" w:type="dxa"/>
              <w:right w:w="60" w:type="dxa"/>
            </w:tcMar>
            <w:vAlign w:val="bottom"/>
          </w:tcPr>
          <w:p w14:paraId="1FCAB9A1" w14:textId="097D79A7" w:rsidR="787E070B" w:rsidRPr="00C83593" w:rsidRDefault="787E070B" w:rsidP="001865FB">
            <w:pPr>
              <w:spacing w:after="0"/>
              <w:jc w:val="center"/>
              <w:rPr>
                <w:rFonts w:ascii="Helvetica" w:eastAsia="Helvetica" w:hAnsi="Helvetica" w:cs="Helvetica"/>
                <w:b/>
                <w:bCs/>
                <w:color w:val="000000" w:themeColor="text1"/>
                <w:sz w:val="20"/>
                <w:szCs w:val="20"/>
              </w:rPr>
            </w:pPr>
            <w:r w:rsidRPr="00C83593">
              <w:rPr>
                <w:rFonts w:ascii="Helvetica" w:eastAsia="Helvetica" w:hAnsi="Helvetica" w:cs="Helvetica"/>
                <w:b/>
                <w:bCs/>
                <w:color w:val="000000" w:themeColor="text1"/>
                <w:sz w:val="20"/>
                <w:szCs w:val="20"/>
              </w:rPr>
              <w:t>ESG</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1281"/>
            <w:tcMar>
              <w:top w:w="60" w:type="dxa"/>
              <w:left w:w="60" w:type="dxa"/>
              <w:bottom w:w="60" w:type="dxa"/>
              <w:right w:w="60" w:type="dxa"/>
            </w:tcMar>
            <w:vAlign w:val="bottom"/>
          </w:tcPr>
          <w:p w14:paraId="4CE65107" w14:textId="130301E2" w:rsidR="787E070B" w:rsidRPr="00C83593" w:rsidRDefault="787E070B" w:rsidP="001865FB">
            <w:pPr>
              <w:spacing w:after="0"/>
              <w:jc w:val="center"/>
              <w:rPr>
                <w:rFonts w:ascii="Helvetica" w:eastAsia="Helvetica" w:hAnsi="Helvetica" w:cs="Helvetica"/>
                <w:b/>
                <w:bCs/>
                <w:color w:val="000000" w:themeColor="text1"/>
                <w:sz w:val="20"/>
                <w:szCs w:val="20"/>
              </w:rPr>
            </w:pPr>
            <w:r w:rsidRPr="00C83593">
              <w:rPr>
                <w:rFonts w:ascii="Helvetica" w:eastAsia="Helvetica" w:hAnsi="Helvetica" w:cs="Helvetica"/>
                <w:b/>
                <w:bCs/>
                <w:color w:val="000000" w:themeColor="text1"/>
                <w:sz w:val="20"/>
                <w:szCs w:val="20"/>
              </w:rPr>
              <w:t>HTF</w:t>
            </w:r>
          </w:p>
        </w:tc>
      </w:tr>
      <w:tr w:rsidR="787E070B" w:rsidRPr="00C83593" w14:paraId="1079E88E" w14:textId="77777777" w:rsidTr="787E070B">
        <w:trPr>
          <w:trHeight w:val="15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63F81DEE" w14:textId="6F0395BE" w:rsidR="787E070B" w:rsidRPr="00C83593" w:rsidRDefault="787E070B" w:rsidP="001865FB">
            <w:pPr>
              <w:spacing w:after="0"/>
              <w:jc w:val="right"/>
              <w:rPr>
                <w:rFonts w:cs="Calibri"/>
                <w:b/>
                <w:bCs/>
                <w:color w:val="000000" w:themeColor="text1"/>
                <w:sz w:val="20"/>
                <w:szCs w:val="20"/>
              </w:rPr>
            </w:pPr>
            <w:r w:rsidRPr="00C83593">
              <w:rPr>
                <w:rFonts w:cs="Calibri"/>
                <w:b/>
                <w:bCs/>
                <w:color w:val="000000" w:themeColor="text1"/>
                <w:sz w:val="20"/>
                <w:szCs w:val="20"/>
              </w:rPr>
              <w:t>2024</w:t>
            </w:r>
          </w:p>
        </w:tc>
        <w:tc>
          <w:tcPr>
            <w:tcW w:w="1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2EF4D3D6" w14:textId="70481474"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$8,236,180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27FD94DE" w14:textId="2F0A56EB"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$4,987,264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4F674170" w14:textId="0ADC6BA9"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$1,115,776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40093EDB" w14:textId="69304EE2"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$3,144,833 </w:t>
            </w:r>
          </w:p>
        </w:tc>
      </w:tr>
      <w:tr w:rsidR="787E070B" w:rsidRPr="00C83593" w14:paraId="76D38165" w14:textId="77777777" w:rsidTr="787E070B">
        <w:trPr>
          <w:trHeight w:val="15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387D7B2B" w14:textId="509025B7" w:rsidR="787E070B" w:rsidRPr="00C83593" w:rsidRDefault="787E070B" w:rsidP="001865FB">
            <w:pPr>
              <w:spacing w:after="0"/>
              <w:jc w:val="right"/>
              <w:rPr>
                <w:rFonts w:cs="Calibri"/>
                <w:b/>
                <w:bCs/>
                <w:color w:val="000000" w:themeColor="text1"/>
                <w:sz w:val="20"/>
                <w:szCs w:val="20"/>
              </w:rPr>
            </w:pPr>
            <w:r w:rsidRPr="00C83593">
              <w:rPr>
                <w:rFonts w:cs="Calibri"/>
                <w:b/>
                <w:bCs/>
                <w:color w:val="000000" w:themeColor="text1"/>
                <w:sz w:val="20"/>
                <w:szCs w:val="20"/>
              </w:rPr>
              <w:t>2023</w:t>
            </w:r>
          </w:p>
        </w:tc>
        <w:tc>
          <w:tcPr>
            <w:tcW w:w="1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1864270B" w14:textId="6A7FEE5F"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$7,944,686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66A05BB3" w14:textId="199E04D2"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$6,067,311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40760AA0" w14:textId="46EC3AC7"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$1,117,066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1F3C1AA3" w14:textId="1A600608" w:rsidR="787E070B" w:rsidRPr="00C83593" w:rsidRDefault="787E070B" w:rsidP="787E070B">
            <w:pPr>
              <w:spacing w:after="0"/>
              <w:jc w:val="right"/>
              <w:rPr>
                <w:rFonts w:cs="Calibri"/>
                <w:color w:val="000000" w:themeColor="text1"/>
                <w:sz w:val="20"/>
                <w:szCs w:val="20"/>
              </w:rPr>
            </w:pPr>
            <w:r w:rsidRPr="00C83593">
              <w:rPr>
                <w:rFonts w:cs="Calibri"/>
                <w:color w:val="000000" w:themeColor="text1"/>
                <w:sz w:val="20"/>
                <w:szCs w:val="20"/>
              </w:rPr>
              <w:t xml:space="preserve">$3,066,413 </w:t>
            </w:r>
          </w:p>
        </w:tc>
      </w:tr>
      <w:tr w:rsidR="787E070B" w:rsidRPr="00C83593" w14:paraId="58B24C7C" w14:textId="77777777" w:rsidTr="787E070B">
        <w:trPr>
          <w:trHeight w:val="15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11FD4FD2" w14:textId="652D4962" w:rsidR="787E070B" w:rsidRPr="00C83593" w:rsidRDefault="787E070B" w:rsidP="001865FB">
            <w:pPr>
              <w:spacing w:after="0"/>
              <w:jc w:val="right"/>
              <w:rPr>
                <w:rFonts w:cs="Calibri"/>
                <w:b/>
                <w:bCs/>
                <w:color w:val="000000" w:themeColor="text1"/>
                <w:sz w:val="20"/>
                <w:szCs w:val="20"/>
              </w:rPr>
            </w:pPr>
            <w:r w:rsidRPr="00C83593">
              <w:rPr>
                <w:rFonts w:cs="Calibri"/>
                <w:b/>
                <w:bCs/>
                <w:color w:val="000000" w:themeColor="text1"/>
                <w:sz w:val="20"/>
                <w:szCs w:val="20"/>
              </w:rPr>
              <w:t>2022</w:t>
            </w:r>
          </w:p>
        </w:tc>
        <w:tc>
          <w:tcPr>
            <w:tcW w:w="1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555D9E07" w14:textId="57B97684"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$7,641,562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2286C403" w14:textId="61E32BBA"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$5,974,010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5B764977" w14:textId="65606C78"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$1,103,073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6AD07514" w14:textId="377F50D5"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$2,982,433 </w:t>
            </w:r>
          </w:p>
        </w:tc>
      </w:tr>
      <w:tr w:rsidR="787E070B" w:rsidRPr="00C83593" w14:paraId="0D4D7247" w14:textId="77777777" w:rsidTr="787E070B">
        <w:trPr>
          <w:trHeight w:val="15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0D56BC65" w14:textId="28D55A96" w:rsidR="787E070B" w:rsidRPr="00C83593" w:rsidRDefault="787E070B" w:rsidP="001865FB">
            <w:pPr>
              <w:spacing w:after="0"/>
              <w:jc w:val="right"/>
              <w:rPr>
                <w:rFonts w:cs="Calibri"/>
                <w:b/>
                <w:bCs/>
                <w:color w:val="000000" w:themeColor="text1"/>
                <w:sz w:val="20"/>
                <w:szCs w:val="20"/>
              </w:rPr>
            </w:pPr>
            <w:r w:rsidRPr="00C83593">
              <w:rPr>
                <w:rFonts w:cs="Calibri"/>
                <w:b/>
                <w:bCs/>
                <w:color w:val="000000" w:themeColor="text1"/>
                <w:sz w:val="20"/>
                <w:szCs w:val="20"/>
              </w:rPr>
              <w:t>2021</w:t>
            </w:r>
          </w:p>
        </w:tc>
        <w:tc>
          <w:tcPr>
            <w:tcW w:w="1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701353E8" w14:textId="51848467"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$8,008,952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47810F6D" w14:textId="3C32C672"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$5,249,159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36611CC9" w14:textId="1DD69CCB"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$1,099,467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22F6A979" w14:textId="4F919948"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$3,101,884 </w:t>
            </w:r>
          </w:p>
        </w:tc>
      </w:tr>
      <w:tr w:rsidR="787E070B" w:rsidRPr="00C83593" w14:paraId="163EB588" w14:textId="77777777" w:rsidTr="787E070B">
        <w:trPr>
          <w:trHeight w:val="15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4C91E45E" w14:textId="3C6885CA" w:rsidR="787E070B" w:rsidRPr="00C83593" w:rsidRDefault="787E070B" w:rsidP="001865FB">
            <w:pPr>
              <w:spacing w:after="0"/>
              <w:jc w:val="right"/>
              <w:rPr>
                <w:rFonts w:cs="Calibri"/>
                <w:b/>
                <w:bCs/>
                <w:color w:val="000000" w:themeColor="text1"/>
                <w:sz w:val="20"/>
                <w:szCs w:val="20"/>
              </w:rPr>
            </w:pPr>
            <w:r w:rsidRPr="00C83593">
              <w:rPr>
                <w:rFonts w:cs="Calibri"/>
                <w:b/>
                <w:bCs/>
                <w:color w:val="000000" w:themeColor="text1"/>
                <w:sz w:val="20"/>
                <w:szCs w:val="20"/>
              </w:rPr>
              <w:t>2020</w:t>
            </w:r>
          </w:p>
        </w:tc>
        <w:tc>
          <w:tcPr>
            <w:tcW w:w="1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4A40A478" w14:textId="53CD3FAA"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$7,769,225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0BA0245E" w14:textId="4EF770B4"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$5,245,528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51A1E6B4" w14:textId="6E141BBD"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$1,110,270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52AEF4F1" w14:textId="7B186CBC" w:rsidR="787E070B" w:rsidRPr="00C83593" w:rsidRDefault="787E070B" w:rsidP="001865FB">
            <w:pPr>
              <w:spacing w:after="0"/>
              <w:jc w:val="right"/>
              <w:rPr>
                <w:rFonts w:cs="Calibri"/>
                <w:color w:val="000000" w:themeColor="text1"/>
                <w:sz w:val="20"/>
                <w:szCs w:val="20"/>
              </w:rPr>
            </w:pPr>
            <w:r w:rsidRPr="00C83593">
              <w:rPr>
                <w:rFonts w:cs="Calibri"/>
                <w:color w:val="000000" w:themeColor="text1"/>
                <w:sz w:val="20"/>
                <w:szCs w:val="20"/>
              </w:rPr>
              <w:t xml:space="preserve">$3,000,000 </w:t>
            </w:r>
          </w:p>
        </w:tc>
      </w:tr>
      <w:tr w:rsidR="787E070B" w:rsidRPr="00C83593" w14:paraId="57B90A99" w14:textId="77777777" w:rsidTr="00C83593">
        <w:trPr>
          <w:trHeight w:val="24"/>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0A7195D4" w14:textId="13689909" w:rsidR="787E070B" w:rsidRPr="00C83593" w:rsidRDefault="787E070B" w:rsidP="001865FB">
            <w:pPr>
              <w:spacing w:after="0"/>
              <w:rPr>
                <w:rFonts w:ascii="Helvetica" w:eastAsia="Helvetica" w:hAnsi="Helvetica" w:cs="Helvetica"/>
                <w:color w:val="000000" w:themeColor="text1"/>
                <w:sz w:val="20"/>
                <w:szCs w:val="20"/>
              </w:rPr>
            </w:pPr>
            <w:r w:rsidRPr="00C83593">
              <w:rPr>
                <w:rFonts w:ascii="Helvetica" w:eastAsia="Helvetica" w:hAnsi="Helvetica" w:cs="Helvetica"/>
                <w:color w:val="000000" w:themeColor="text1"/>
                <w:sz w:val="20"/>
                <w:szCs w:val="20"/>
              </w:rPr>
              <w:t xml:space="preserve"> </w:t>
            </w:r>
          </w:p>
        </w:tc>
        <w:tc>
          <w:tcPr>
            <w:tcW w:w="1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30CA5548" w14:textId="175A0F1A" w:rsidR="787E070B" w:rsidRPr="00C83593" w:rsidRDefault="787E070B" w:rsidP="001865FB">
            <w:pPr>
              <w:spacing w:after="0"/>
              <w:rPr>
                <w:rFonts w:ascii="Helvetica" w:eastAsia="Helvetica" w:hAnsi="Helvetica" w:cs="Helvetica"/>
                <w:color w:val="000000" w:themeColor="text1"/>
                <w:sz w:val="20"/>
                <w:szCs w:val="20"/>
              </w:rPr>
            </w:pPr>
            <w:r w:rsidRPr="00C83593">
              <w:rPr>
                <w:rFonts w:ascii="Helvetica" w:eastAsia="Helvetica" w:hAnsi="Helvetica" w:cs="Helvetica"/>
                <w:color w:val="000000" w:themeColor="text1"/>
                <w:sz w:val="20"/>
                <w:szCs w:val="20"/>
              </w:rPr>
              <w:t xml:space="preserve">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78A9719C" w14:textId="5658B1A5" w:rsidR="787E070B" w:rsidRPr="00C83593" w:rsidRDefault="787E070B" w:rsidP="001865FB">
            <w:pPr>
              <w:spacing w:after="0"/>
              <w:rPr>
                <w:rFonts w:ascii="Helvetica" w:eastAsia="Helvetica" w:hAnsi="Helvetica" w:cs="Helvetica"/>
                <w:color w:val="000000" w:themeColor="text1"/>
                <w:sz w:val="20"/>
                <w:szCs w:val="20"/>
              </w:rPr>
            </w:pPr>
            <w:r w:rsidRPr="00C83593">
              <w:rPr>
                <w:rFonts w:ascii="Helvetica" w:eastAsia="Helvetica" w:hAnsi="Helvetica" w:cs="Helvetica"/>
                <w:color w:val="000000" w:themeColor="text1"/>
                <w:sz w:val="20"/>
                <w:szCs w:val="20"/>
              </w:rPr>
              <w:t xml:space="preserve">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74386FC7" w14:textId="4198A912" w:rsidR="787E070B" w:rsidRPr="00C83593" w:rsidRDefault="787E070B" w:rsidP="001865FB">
            <w:pPr>
              <w:spacing w:after="0"/>
              <w:rPr>
                <w:rFonts w:ascii="Helvetica" w:eastAsia="Helvetica" w:hAnsi="Helvetica" w:cs="Helvetica"/>
                <w:color w:val="000000" w:themeColor="text1"/>
                <w:sz w:val="20"/>
                <w:szCs w:val="20"/>
              </w:rPr>
            </w:pPr>
            <w:r w:rsidRPr="00C83593">
              <w:rPr>
                <w:rFonts w:ascii="Helvetica" w:eastAsia="Helvetica" w:hAnsi="Helvetica" w:cs="Helvetica"/>
                <w:color w:val="000000" w:themeColor="text1"/>
                <w:sz w:val="20"/>
                <w:szCs w:val="20"/>
              </w:rPr>
              <w:t xml:space="preserve">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3E94901F" w14:textId="2B44BB15" w:rsidR="787E070B" w:rsidRPr="00C83593" w:rsidRDefault="787E070B" w:rsidP="001865FB">
            <w:pPr>
              <w:spacing w:after="0"/>
              <w:rPr>
                <w:rFonts w:ascii="Helvetica" w:eastAsia="Helvetica" w:hAnsi="Helvetica" w:cs="Helvetica"/>
                <w:color w:val="000000" w:themeColor="text1"/>
                <w:sz w:val="20"/>
                <w:szCs w:val="20"/>
              </w:rPr>
            </w:pPr>
            <w:r w:rsidRPr="00C83593">
              <w:rPr>
                <w:rFonts w:ascii="Helvetica" w:eastAsia="Helvetica" w:hAnsi="Helvetica" w:cs="Helvetica"/>
                <w:color w:val="000000" w:themeColor="text1"/>
                <w:sz w:val="20"/>
                <w:szCs w:val="20"/>
              </w:rPr>
              <w:t xml:space="preserve"> </w:t>
            </w:r>
          </w:p>
        </w:tc>
      </w:tr>
      <w:tr w:rsidR="787E070B" w:rsidRPr="00C83593" w14:paraId="5862CD34" w14:textId="77777777" w:rsidTr="787E070B">
        <w:trPr>
          <w:trHeight w:val="390"/>
        </w:trPr>
        <w:tc>
          <w:tcPr>
            <w:tcW w:w="8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3A6143D1" w14:textId="28F082E7" w:rsidR="787E070B" w:rsidRPr="00C83593" w:rsidRDefault="787E070B" w:rsidP="001865FB">
            <w:pPr>
              <w:spacing w:after="0"/>
              <w:jc w:val="right"/>
              <w:rPr>
                <w:rFonts w:ascii="Helvetica" w:eastAsia="Helvetica" w:hAnsi="Helvetica" w:cs="Helvetica"/>
                <w:b/>
                <w:bCs/>
                <w:color w:val="000000" w:themeColor="text1"/>
                <w:sz w:val="20"/>
                <w:szCs w:val="20"/>
              </w:rPr>
            </w:pPr>
            <w:r w:rsidRPr="00C83593">
              <w:rPr>
                <w:rFonts w:ascii="Helvetica" w:eastAsia="Helvetica" w:hAnsi="Helvetica" w:cs="Helvetica"/>
                <w:b/>
                <w:bCs/>
                <w:color w:val="000000" w:themeColor="text1"/>
                <w:sz w:val="20"/>
                <w:szCs w:val="20"/>
              </w:rPr>
              <w:t>TOTAL</w:t>
            </w:r>
          </w:p>
        </w:tc>
        <w:tc>
          <w:tcPr>
            <w:tcW w:w="126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04961FF0" w14:textId="553A7220" w:rsidR="787E070B" w:rsidRPr="00C83593" w:rsidRDefault="787E070B" w:rsidP="001865FB">
            <w:pPr>
              <w:spacing w:after="0"/>
              <w:jc w:val="right"/>
              <w:rPr>
                <w:rFonts w:ascii="Helvetica" w:eastAsia="Helvetica" w:hAnsi="Helvetica" w:cs="Helvetica"/>
                <w:b/>
                <w:bCs/>
                <w:color w:val="000000" w:themeColor="text1"/>
                <w:sz w:val="20"/>
                <w:szCs w:val="20"/>
              </w:rPr>
            </w:pPr>
            <w:r w:rsidRPr="00C83593">
              <w:rPr>
                <w:rFonts w:ascii="Helvetica" w:eastAsia="Helvetica" w:hAnsi="Helvetica" w:cs="Helvetica"/>
                <w:b/>
                <w:bCs/>
                <w:color w:val="000000" w:themeColor="text1"/>
                <w:sz w:val="20"/>
                <w:szCs w:val="20"/>
              </w:rPr>
              <w:t xml:space="preserve">$39,600,605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4987472F" w14:textId="37D68A74" w:rsidR="787E070B" w:rsidRPr="00C83593" w:rsidRDefault="787E070B" w:rsidP="001865FB">
            <w:pPr>
              <w:spacing w:after="0"/>
              <w:jc w:val="right"/>
              <w:rPr>
                <w:rFonts w:ascii="Helvetica" w:eastAsia="Helvetica" w:hAnsi="Helvetica" w:cs="Helvetica"/>
                <w:b/>
                <w:bCs/>
                <w:color w:val="000000" w:themeColor="text1"/>
                <w:sz w:val="20"/>
                <w:szCs w:val="20"/>
              </w:rPr>
            </w:pPr>
            <w:r w:rsidRPr="00C83593">
              <w:rPr>
                <w:rFonts w:ascii="Helvetica" w:eastAsia="Helvetica" w:hAnsi="Helvetica" w:cs="Helvetica"/>
                <w:b/>
                <w:bCs/>
                <w:color w:val="000000" w:themeColor="text1"/>
                <w:sz w:val="20"/>
                <w:szCs w:val="20"/>
              </w:rPr>
              <w:t xml:space="preserve">$27,523,272 </w:t>
            </w:r>
          </w:p>
        </w:tc>
        <w:tc>
          <w:tcPr>
            <w:tcW w:w="1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404B5142" w14:textId="5CC5626A" w:rsidR="787E070B" w:rsidRPr="00C83593" w:rsidRDefault="787E070B" w:rsidP="001865FB">
            <w:pPr>
              <w:spacing w:after="0"/>
              <w:jc w:val="right"/>
              <w:rPr>
                <w:rFonts w:ascii="Helvetica" w:eastAsia="Helvetica" w:hAnsi="Helvetica" w:cs="Helvetica"/>
                <w:b/>
                <w:bCs/>
                <w:color w:val="000000" w:themeColor="text1"/>
                <w:sz w:val="20"/>
                <w:szCs w:val="20"/>
              </w:rPr>
            </w:pPr>
            <w:r w:rsidRPr="00C83593">
              <w:rPr>
                <w:rFonts w:ascii="Helvetica" w:eastAsia="Helvetica" w:hAnsi="Helvetica" w:cs="Helvetica"/>
                <w:b/>
                <w:bCs/>
                <w:color w:val="000000" w:themeColor="text1"/>
                <w:sz w:val="20"/>
                <w:szCs w:val="20"/>
              </w:rPr>
              <w:t xml:space="preserve">$5,545,652 </w:t>
            </w:r>
          </w:p>
        </w:tc>
        <w:tc>
          <w:tcPr>
            <w:tcW w:w="13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bottom"/>
          </w:tcPr>
          <w:p w14:paraId="6DD18291" w14:textId="58BF957A" w:rsidR="787E070B" w:rsidRPr="00C83593" w:rsidRDefault="787E070B" w:rsidP="001865FB">
            <w:pPr>
              <w:spacing w:after="0"/>
              <w:jc w:val="right"/>
              <w:rPr>
                <w:rFonts w:ascii="Helvetica" w:eastAsia="Helvetica" w:hAnsi="Helvetica" w:cs="Helvetica"/>
                <w:b/>
                <w:bCs/>
                <w:color w:val="000000" w:themeColor="text1"/>
                <w:sz w:val="20"/>
                <w:szCs w:val="20"/>
              </w:rPr>
            </w:pPr>
            <w:r w:rsidRPr="00C83593">
              <w:rPr>
                <w:rFonts w:ascii="Helvetica" w:eastAsia="Helvetica" w:hAnsi="Helvetica" w:cs="Helvetica"/>
                <w:b/>
                <w:bCs/>
                <w:color w:val="000000" w:themeColor="text1"/>
                <w:sz w:val="20"/>
                <w:szCs w:val="20"/>
              </w:rPr>
              <w:t>$15,295,563</w:t>
            </w:r>
          </w:p>
        </w:tc>
      </w:tr>
      <w:bookmarkEnd w:id="3"/>
    </w:tbl>
    <w:p w14:paraId="15F1E907" w14:textId="26649CF9" w:rsidR="787E070B" w:rsidRPr="003A7226" w:rsidRDefault="787E070B" w:rsidP="787E070B">
      <w:pPr>
        <w:rPr>
          <w:rFonts w:cs="Arial"/>
        </w:rPr>
      </w:pPr>
    </w:p>
    <w:p w14:paraId="3E1F6A18" w14:textId="443DA773" w:rsidR="4C9A218C" w:rsidRPr="00C83593" w:rsidRDefault="4C9A218C" w:rsidP="787E070B">
      <w:pPr>
        <w:spacing w:after="0"/>
        <w:jc w:val="both"/>
        <w:rPr>
          <w:rFonts w:asciiTheme="minorHAnsi" w:eastAsiaTheme="minorEastAsia" w:hAnsiTheme="minorHAnsi" w:cstheme="minorBidi"/>
          <w:color w:val="000000" w:themeColor="text1"/>
          <w:sz w:val="24"/>
          <w:szCs w:val="24"/>
        </w:rPr>
      </w:pPr>
      <w:r w:rsidRPr="00C83593">
        <w:rPr>
          <w:rFonts w:asciiTheme="minorHAnsi" w:eastAsiaTheme="minorEastAsia" w:hAnsiTheme="minorHAnsi" w:cstheme="minorBidi"/>
          <w:color w:val="000000" w:themeColor="text1"/>
          <w:sz w:val="24"/>
          <w:szCs w:val="24"/>
        </w:rPr>
        <w:t>Over the last five years the State received $5,545,652 in ESG funding. ESG program funds were to be used for the following eligible activities: shelter, homelessness prevention, and rapid re-housing</w:t>
      </w:r>
      <w:r w:rsidR="46E9FE04" w:rsidRPr="00C83593">
        <w:rPr>
          <w:rFonts w:asciiTheme="minorHAnsi" w:eastAsiaTheme="minorEastAsia" w:hAnsiTheme="minorHAnsi" w:cstheme="minorBidi"/>
          <w:color w:val="000000" w:themeColor="text1"/>
          <w:sz w:val="24"/>
          <w:szCs w:val="24"/>
        </w:rPr>
        <w:t xml:space="preserve">, </w:t>
      </w:r>
      <w:r w:rsidR="00F24BE8" w:rsidRPr="00C83593">
        <w:rPr>
          <w:rFonts w:asciiTheme="minorHAnsi" w:eastAsiaTheme="minorEastAsia" w:hAnsiTheme="minorHAnsi" w:cstheme="minorBidi"/>
          <w:color w:val="000000" w:themeColor="text1"/>
          <w:sz w:val="24"/>
          <w:szCs w:val="24"/>
        </w:rPr>
        <w:t>data collection</w:t>
      </w:r>
      <w:r w:rsidR="46E9FE04" w:rsidRPr="00C83593">
        <w:rPr>
          <w:rFonts w:asciiTheme="minorHAnsi" w:eastAsiaTheme="minorEastAsia" w:hAnsiTheme="minorHAnsi" w:cstheme="minorBidi"/>
          <w:color w:val="000000" w:themeColor="text1"/>
          <w:sz w:val="24"/>
          <w:szCs w:val="24"/>
        </w:rPr>
        <w:t xml:space="preserve">, and </w:t>
      </w:r>
      <w:r w:rsidR="00F24BE8" w:rsidRPr="00C83593">
        <w:rPr>
          <w:rFonts w:asciiTheme="minorHAnsi" w:eastAsiaTheme="minorEastAsia" w:hAnsiTheme="minorHAnsi" w:cstheme="minorBidi"/>
          <w:color w:val="000000" w:themeColor="text1"/>
          <w:sz w:val="24"/>
          <w:szCs w:val="24"/>
        </w:rPr>
        <w:t>administration</w:t>
      </w:r>
      <w:r w:rsidR="46E9FE04" w:rsidRPr="00C83593">
        <w:rPr>
          <w:rFonts w:asciiTheme="minorHAnsi" w:eastAsiaTheme="minorEastAsia" w:hAnsiTheme="minorHAnsi" w:cstheme="minorBidi"/>
          <w:color w:val="000000" w:themeColor="text1"/>
          <w:sz w:val="24"/>
          <w:szCs w:val="24"/>
        </w:rPr>
        <w:t>.</w:t>
      </w:r>
      <w:r w:rsidRPr="00C83593">
        <w:rPr>
          <w:rFonts w:asciiTheme="minorHAnsi" w:eastAsiaTheme="minorEastAsia" w:hAnsiTheme="minorHAnsi" w:cstheme="minorBidi"/>
          <w:color w:val="000000" w:themeColor="text1"/>
          <w:sz w:val="24"/>
          <w:szCs w:val="24"/>
        </w:rPr>
        <w:t xml:space="preserve"> IHFA’s goal was to, through collaboration with and participation in the Balance of State </w:t>
      </w:r>
      <w:r w:rsidR="00EE3624">
        <w:rPr>
          <w:rFonts w:asciiTheme="minorHAnsi" w:eastAsiaTheme="minorEastAsia" w:hAnsiTheme="minorHAnsi" w:cstheme="minorBidi"/>
          <w:color w:val="000000" w:themeColor="text1"/>
          <w:sz w:val="24"/>
          <w:szCs w:val="24"/>
        </w:rPr>
        <w:t>Continuum of Care</w:t>
      </w:r>
      <w:r w:rsidR="00EE3624" w:rsidRPr="00EE3624">
        <w:rPr>
          <w:rFonts w:asciiTheme="minorHAnsi" w:eastAsiaTheme="minorEastAsia" w:hAnsiTheme="minorHAnsi" w:cstheme="minorBidi"/>
          <w:color w:val="000000" w:themeColor="text1"/>
          <w:sz w:val="24"/>
          <w:szCs w:val="24"/>
        </w:rPr>
        <w:t xml:space="preserve"> </w:t>
      </w:r>
      <w:r w:rsidR="00EE3624">
        <w:rPr>
          <w:rFonts w:asciiTheme="minorHAnsi" w:eastAsiaTheme="minorEastAsia" w:hAnsiTheme="minorHAnsi" w:cstheme="minorBidi"/>
          <w:color w:val="000000" w:themeColor="text1"/>
          <w:sz w:val="24"/>
          <w:szCs w:val="24"/>
        </w:rPr>
        <w:t xml:space="preserve">(BoS COC) </w:t>
      </w:r>
      <w:r w:rsidRPr="00C83593">
        <w:rPr>
          <w:rFonts w:asciiTheme="minorHAnsi" w:eastAsiaTheme="minorEastAsia" w:hAnsiTheme="minorHAnsi" w:cstheme="minorBidi"/>
          <w:color w:val="000000" w:themeColor="text1"/>
          <w:sz w:val="24"/>
          <w:szCs w:val="24"/>
        </w:rPr>
        <w:t xml:space="preserve">and Boise City/Ada County </w:t>
      </w:r>
      <w:r w:rsidR="008D5431">
        <w:rPr>
          <w:rFonts w:asciiTheme="minorHAnsi" w:eastAsiaTheme="minorEastAsia" w:hAnsiTheme="minorHAnsi" w:cstheme="minorBidi"/>
          <w:color w:val="000000" w:themeColor="text1"/>
          <w:sz w:val="24"/>
          <w:szCs w:val="24"/>
        </w:rPr>
        <w:t>Continuum of Care</w:t>
      </w:r>
      <w:r w:rsidRPr="00C83593">
        <w:rPr>
          <w:rFonts w:asciiTheme="minorHAnsi" w:eastAsiaTheme="minorEastAsia" w:hAnsiTheme="minorHAnsi" w:cstheme="minorBidi"/>
          <w:color w:val="000000" w:themeColor="text1"/>
          <w:sz w:val="24"/>
          <w:szCs w:val="24"/>
        </w:rPr>
        <w:t>, continually impress a positive impact upon the homeless families and individuals in Idaho.  As data collection evolved through HMIS</w:t>
      </w:r>
      <w:r w:rsidR="67DD1F4B" w:rsidRPr="00C83593">
        <w:rPr>
          <w:rFonts w:asciiTheme="minorHAnsi" w:eastAsiaTheme="minorEastAsia" w:hAnsiTheme="minorHAnsi" w:cstheme="minorBidi"/>
          <w:color w:val="000000" w:themeColor="text1"/>
          <w:sz w:val="24"/>
          <w:szCs w:val="24"/>
        </w:rPr>
        <w:t>/CMIS</w:t>
      </w:r>
      <w:r w:rsidRPr="00C83593">
        <w:rPr>
          <w:rFonts w:asciiTheme="minorHAnsi" w:eastAsiaTheme="minorEastAsia" w:hAnsiTheme="minorHAnsi" w:cstheme="minorBidi"/>
          <w:color w:val="000000" w:themeColor="text1"/>
          <w:sz w:val="24"/>
          <w:szCs w:val="24"/>
        </w:rPr>
        <w:t xml:space="preserve"> and CoC innovations, ESG funds were to be used in a manner that best fits the needs of those seeking the refuge it can offer.</w:t>
      </w:r>
      <w:r w:rsidR="00EE3624">
        <w:rPr>
          <w:rFonts w:asciiTheme="minorHAnsi" w:eastAsiaTheme="minorEastAsia" w:hAnsiTheme="minorHAnsi" w:cstheme="minorBidi"/>
          <w:color w:val="000000" w:themeColor="text1"/>
          <w:sz w:val="24"/>
          <w:szCs w:val="24"/>
        </w:rPr>
        <w:t xml:space="preserve"> </w:t>
      </w:r>
      <w:r w:rsidR="00EE3624">
        <w:rPr>
          <w:rFonts w:cs="Arial"/>
          <w:sz w:val="24"/>
          <w:szCs w:val="24"/>
        </w:rPr>
        <w:t xml:space="preserve">(A COC is </w:t>
      </w:r>
      <w:r w:rsidR="00EE3624" w:rsidRPr="00F95319">
        <w:rPr>
          <w:rFonts w:cs="Arial"/>
          <w:sz w:val="24"/>
          <w:szCs w:val="24"/>
        </w:rPr>
        <w:t>a local or regional planning body that coordinates funding and services for people experiencing homelessness, aiming to end homelessness and provide stable housing and support</w:t>
      </w:r>
      <w:r w:rsidR="00EE3624">
        <w:rPr>
          <w:rFonts w:cs="Arial"/>
          <w:sz w:val="24"/>
          <w:szCs w:val="24"/>
        </w:rPr>
        <w:t xml:space="preserve">. A BoS COC is </w:t>
      </w:r>
      <w:r w:rsidR="00EE3624" w:rsidRPr="00640CD6">
        <w:rPr>
          <w:rFonts w:cs="Arial"/>
          <w:sz w:val="24"/>
          <w:szCs w:val="24"/>
        </w:rPr>
        <w:t>a system, often encompassing rural areas and smaller cities, that addresses homelessness by coordinating efforts to provide housing and services, often in areas not covered by other </w:t>
      </w:r>
      <w:r w:rsidR="00EE3624">
        <w:rPr>
          <w:rFonts w:cs="Arial"/>
          <w:sz w:val="24"/>
          <w:szCs w:val="24"/>
        </w:rPr>
        <w:t>COCs.)</w:t>
      </w:r>
    </w:p>
    <w:p w14:paraId="55DCF133" w14:textId="7DB06ACF" w:rsidR="787E070B" w:rsidRPr="00C83593" w:rsidRDefault="787E070B" w:rsidP="787E070B">
      <w:pPr>
        <w:shd w:val="clear" w:color="auto" w:fill="FFFFFF" w:themeFill="background1"/>
        <w:spacing w:after="0"/>
        <w:rPr>
          <w:rFonts w:asciiTheme="minorHAnsi" w:eastAsiaTheme="minorEastAsia" w:hAnsiTheme="minorHAnsi" w:cstheme="minorBidi"/>
          <w:sz w:val="24"/>
          <w:szCs w:val="24"/>
        </w:rPr>
      </w:pPr>
    </w:p>
    <w:p w14:paraId="2E41EF4B" w14:textId="706FD72C" w:rsidR="00320486" w:rsidRDefault="00320486" w:rsidP="00320486">
      <w:pPr>
        <w:rPr>
          <w:b/>
          <w:sz w:val="24"/>
          <w:szCs w:val="24"/>
        </w:rPr>
      </w:pPr>
      <w:r>
        <w:rPr>
          <w:b/>
          <w:sz w:val="24"/>
          <w:szCs w:val="24"/>
        </w:rPr>
        <w:t>4.</w:t>
      </w:r>
      <w:r>
        <w:rPr>
          <w:b/>
          <w:sz w:val="24"/>
          <w:szCs w:val="24"/>
        </w:rPr>
        <w:tab/>
        <w:t xml:space="preserve">Summary of Citizen Participation Process and consultation process </w:t>
      </w:r>
    </w:p>
    <w:p w14:paraId="1F139712" w14:textId="2B222C21" w:rsidR="00320486" w:rsidRPr="00C83593" w:rsidRDefault="00320486" w:rsidP="787E070B">
      <w:pPr>
        <w:spacing w:beforeAutospacing="1" w:afterAutospacing="1"/>
        <w:jc w:val="both"/>
        <w:rPr>
          <w:rFonts w:cs="Arial"/>
          <w:sz w:val="24"/>
          <w:szCs w:val="24"/>
        </w:rPr>
      </w:pPr>
      <w:r w:rsidRPr="00C83593">
        <w:rPr>
          <w:rFonts w:cs="Arial"/>
          <w:sz w:val="24"/>
          <w:szCs w:val="24"/>
        </w:rPr>
        <w:t xml:space="preserve">IDC and IHFA held </w:t>
      </w:r>
      <w:r w:rsidR="0092462E" w:rsidRPr="00C83593">
        <w:rPr>
          <w:rFonts w:cs="Arial"/>
          <w:sz w:val="24"/>
          <w:szCs w:val="24"/>
        </w:rPr>
        <w:t xml:space="preserve">two public comment periods for this draft Consolidated Plan and First Year Annual Action Plan </w:t>
      </w:r>
      <w:r w:rsidR="00F32032" w:rsidRPr="00C83593">
        <w:rPr>
          <w:rFonts w:cs="Arial"/>
          <w:sz w:val="24"/>
          <w:szCs w:val="24"/>
        </w:rPr>
        <w:t>–</w:t>
      </w:r>
      <w:r w:rsidR="0092462E" w:rsidRPr="00C83593">
        <w:rPr>
          <w:rFonts w:cs="Arial"/>
          <w:sz w:val="24"/>
          <w:szCs w:val="24"/>
        </w:rPr>
        <w:t xml:space="preserve"> </w:t>
      </w:r>
      <w:r w:rsidR="00F32032" w:rsidRPr="00C83593">
        <w:rPr>
          <w:rFonts w:cs="Arial"/>
          <w:sz w:val="24"/>
          <w:szCs w:val="24"/>
        </w:rPr>
        <w:t xml:space="preserve">(1) </w:t>
      </w:r>
      <w:r w:rsidRPr="00C83593">
        <w:rPr>
          <w:rFonts w:cs="Arial"/>
          <w:sz w:val="24"/>
          <w:szCs w:val="24"/>
        </w:rPr>
        <w:t>a pre-drafting 30-day comment period for the public and stakeholders to provide the opportunity for input prior to drafting the Plan</w:t>
      </w:r>
      <w:r w:rsidR="0058685F" w:rsidRPr="00C83593">
        <w:rPr>
          <w:rFonts w:cs="Arial"/>
          <w:sz w:val="24"/>
          <w:szCs w:val="24"/>
        </w:rPr>
        <w:t xml:space="preserve"> </w:t>
      </w:r>
      <w:r w:rsidR="00A2170E" w:rsidRPr="00C83593">
        <w:rPr>
          <w:rFonts w:cs="Arial"/>
          <w:sz w:val="24"/>
          <w:szCs w:val="24"/>
        </w:rPr>
        <w:t xml:space="preserve">was held from </w:t>
      </w:r>
      <w:r w:rsidR="002E1FA6">
        <w:rPr>
          <w:rFonts w:cs="Arial"/>
          <w:sz w:val="24"/>
          <w:szCs w:val="24"/>
        </w:rPr>
        <w:t>December 16</w:t>
      </w:r>
      <w:r w:rsidR="003219BA" w:rsidRPr="00C83593">
        <w:rPr>
          <w:rFonts w:cs="Arial"/>
          <w:sz w:val="24"/>
          <w:szCs w:val="24"/>
        </w:rPr>
        <w:t>, 202</w:t>
      </w:r>
      <w:r w:rsidR="002E1FA6">
        <w:rPr>
          <w:rFonts w:cs="Arial"/>
          <w:sz w:val="24"/>
          <w:szCs w:val="24"/>
        </w:rPr>
        <w:t>4</w:t>
      </w:r>
      <w:r w:rsidR="003219BA" w:rsidRPr="00C83593">
        <w:rPr>
          <w:rFonts w:cs="Arial"/>
          <w:sz w:val="24"/>
          <w:szCs w:val="24"/>
        </w:rPr>
        <w:t xml:space="preserve"> t</w:t>
      </w:r>
      <w:r w:rsidR="00CF087C" w:rsidRPr="00C83593">
        <w:rPr>
          <w:rFonts w:cs="Arial"/>
          <w:sz w:val="24"/>
          <w:szCs w:val="24"/>
        </w:rPr>
        <w:t>hrough</w:t>
      </w:r>
      <w:r w:rsidR="003219BA" w:rsidRPr="00C83593">
        <w:rPr>
          <w:rFonts w:cs="Arial"/>
          <w:sz w:val="24"/>
          <w:szCs w:val="24"/>
        </w:rPr>
        <w:t xml:space="preserve"> </w:t>
      </w:r>
      <w:r w:rsidR="002E1FA6">
        <w:rPr>
          <w:rFonts w:cs="Arial"/>
          <w:sz w:val="24"/>
          <w:szCs w:val="24"/>
        </w:rPr>
        <w:t>January 14</w:t>
      </w:r>
      <w:r w:rsidR="003219BA" w:rsidRPr="00C83593">
        <w:rPr>
          <w:rFonts w:cs="Arial"/>
          <w:sz w:val="24"/>
          <w:szCs w:val="24"/>
        </w:rPr>
        <w:t xml:space="preserve">, 2025 </w:t>
      </w:r>
      <w:r w:rsidR="00A2170E" w:rsidRPr="00C83593">
        <w:rPr>
          <w:rFonts w:cs="Arial"/>
          <w:sz w:val="24"/>
          <w:szCs w:val="24"/>
        </w:rPr>
        <w:t xml:space="preserve">with a public hearing </w:t>
      </w:r>
      <w:r w:rsidR="0058685F" w:rsidRPr="00C83593">
        <w:rPr>
          <w:rFonts w:cs="Arial"/>
          <w:sz w:val="24"/>
          <w:szCs w:val="24"/>
        </w:rPr>
        <w:t>held on January 2</w:t>
      </w:r>
      <w:r w:rsidR="0092462E" w:rsidRPr="00C83593">
        <w:rPr>
          <w:rFonts w:cs="Arial"/>
          <w:sz w:val="24"/>
          <w:szCs w:val="24"/>
        </w:rPr>
        <w:t xml:space="preserve">; and </w:t>
      </w:r>
      <w:r w:rsidR="00F32032" w:rsidRPr="00C83593">
        <w:rPr>
          <w:rFonts w:cs="Arial"/>
          <w:sz w:val="24"/>
          <w:szCs w:val="24"/>
        </w:rPr>
        <w:t xml:space="preserve">(2) </w:t>
      </w:r>
      <w:r w:rsidRPr="00C83593">
        <w:rPr>
          <w:rFonts w:cs="Arial"/>
          <w:sz w:val="24"/>
          <w:szCs w:val="24"/>
        </w:rPr>
        <w:t>a second 30-day public comment period </w:t>
      </w:r>
      <w:r w:rsidR="00F32032" w:rsidRPr="00C83593">
        <w:rPr>
          <w:rFonts w:cs="Arial"/>
          <w:sz w:val="24"/>
          <w:szCs w:val="24"/>
        </w:rPr>
        <w:t xml:space="preserve">on the full draft plan </w:t>
      </w:r>
      <w:r w:rsidR="0058685F" w:rsidRPr="00C83593">
        <w:rPr>
          <w:rFonts w:cs="Arial"/>
          <w:sz w:val="24"/>
          <w:szCs w:val="24"/>
        </w:rPr>
        <w:t xml:space="preserve">was held </w:t>
      </w:r>
      <w:r w:rsidR="00CF087C" w:rsidRPr="00C83593">
        <w:rPr>
          <w:rFonts w:cs="Arial"/>
          <w:sz w:val="24"/>
          <w:szCs w:val="24"/>
        </w:rPr>
        <w:t xml:space="preserve">from April 7, 2025 through May 8, 2025 with a public hearing held on </w:t>
      </w:r>
      <w:r w:rsidR="0058685F" w:rsidRPr="00C83593">
        <w:rPr>
          <w:rFonts w:cs="Arial"/>
          <w:sz w:val="24"/>
          <w:szCs w:val="24"/>
        </w:rPr>
        <w:t xml:space="preserve">April </w:t>
      </w:r>
      <w:r w:rsidR="00A2170E" w:rsidRPr="00C83593">
        <w:rPr>
          <w:rFonts w:cs="Arial"/>
          <w:sz w:val="24"/>
          <w:szCs w:val="24"/>
        </w:rPr>
        <w:t xml:space="preserve">23, 2025 </w:t>
      </w:r>
      <w:r w:rsidR="00F32032" w:rsidRPr="00C83593">
        <w:rPr>
          <w:rFonts w:cs="Arial"/>
          <w:sz w:val="24"/>
          <w:szCs w:val="24"/>
        </w:rPr>
        <w:t>after its publication</w:t>
      </w:r>
      <w:r w:rsidRPr="00C83593">
        <w:rPr>
          <w:rFonts w:cs="Arial"/>
          <w:sz w:val="24"/>
          <w:szCs w:val="24"/>
        </w:rPr>
        <w:t xml:space="preserve">. </w:t>
      </w:r>
      <w:r w:rsidR="00F708E0" w:rsidRPr="00C83593">
        <w:rPr>
          <w:rFonts w:cs="Arial"/>
          <w:sz w:val="24"/>
          <w:szCs w:val="24"/>
        </w:rPr>
        <w:t xml:space="preserve">No comments were </w:t>
      </w:r>
      <w:r w:rsidRPr="00C83593">
        <w:rPr>
          <w:rFonts w:cs="Arial"/>
          <w:sz w:val="24"/>
          <w:szCs w:val="24"/>
        </w:rPr>
        <w:t xml:space="preserve">received during the pre-draft comment period. </w:t>
      </w:r>
      <w:r w:rsidR="002E1FA6">
        <w:rPr>
          <w:rFonts w:cs="Arial"/>
          <w:sz w:val="24"/>
          <w:szCs w:val="24"/>
        </w:rPr>
        <w:t xml:space="preserve">Comments received during the second comment period are to be determined. </w:t>
      </w:r>
    </w:p>
    <w:p w14:paraId="6C167A51" w14:textId="5E88ACAD" w:rsidR="00320486" w:rsidRPr="00C83593" w:rsidRDefault="00320486" w:rsidP="787E070B">
      <w:pPr>
        <w:spacing w:beforeAutospacing="1" w:afterAutospacing="1"/>
        <w:jc w:val="both"/>
        <w:rPr>
          <w:rFonts w:cs="Arial"/>
          <w:sz w:val="24"/>
          <w:szCs w:val="24"/>
        </w:rPr>
      </w:pPr>
      <w:r w:rsidRPr="00C83593">
        <w:rPr>
          <w:rFonts w:cs="Arial"/>
          <w:sz w:val="24"/>
          <w:szCs w:val="24"/>
        </w:rPr>
        <w:t xml:space="preserve">Following the current public participation plan, </w:t>
      </w:r>
      <w:r w:rsidR="00E6149D" w:rsidRPr="00C83593">
        <w:rPr>
          <w:rFonts w:cs="Arial"/>
          <w:sz w:val="24"/>
          <w:szCs w:val="24"/>
        </w:rPr>
        <w:t xml:space="preserve">notification of </w:t>
      </w:r>
      <w:r w:rsidR="00E876B5" w:rsidRPr="00C83593">
        <w:rPr>
          <w:rFonts w:cs="Arial"/>
          <w:sz w:val="24"/>
          <w:szCs w:val="24"/>
        </w:rPr>
        <w:t xml:space="preserve">each </w:t>
      </w:r>
      <w:r w:rsidR="00E6149D" w:rsidRPr="00C83593">
        <w:rPr>
          <w:rFonts w:cs="Arial"/>
          <w:sz w:val="24"/>
          <w:szCs w:val="24"/>
        </w:rPr>
        <w:t>comment period</w:t>
      </w:r>
      <w:r w:rsidR="00E876B5" w:rsidRPr="00C83593">
        <w:rPr>
          <w:rFonts w:cs="Arial"/>
          <w:sz w:val="24"/>
          <w:szCs w:val="24"/>
        </w:rPr>
        <w:t xml:space="preserve"> </w:t>
      </w:r>
      <w:r w:rsidR="00E6149D" w:rsidRPr="00C83593">
        <w:rPr>
          <w:rFonts w:cs="Arial"/>
          <w:sz w:val="24"/>
          <w:szCs w:val="24"/>
        </w:rPr>
        <w:t xml:space="preserve">was published in </w:t>
      </w:r>
      <w:r w:rsidRPr="00C83593">
        <w:rPr>
          <w:rFonts w:cs="Arial"/>
          <w:sz w:val="24"/>
          <w:szCs w:val="24"/>
        </w:rPr>
        <w:t>Idaho's major newspapers</w:t>
      </w:r>
      <w:r w:rsidR="00E876B5" w:rsidRPr="00C83593">
        <w:rPr>
          <w:rFonts w:cs="Arial"/>
          <w:sz w:val="24"/>
          <w:szCs w:val="24"/>
        </w:rPr>
        <w:t xml:space="preserve"> distributed through </w:t>
      </w:r>
      <w:r w:rsidR="00FE111D" w:rsidRPr="00C83593">
        <w:rPr>
          <w:rFonts w:cs="Arial"/>
          <w:sz w:val="24"/>
          <w:szCs w:val="24"/>
        </w:rPr>
        <w:t xml:space="preserve">IHFA and Commerce email distribution </w:t>
      </w:r>
      <w:proofErr w:type="gramStart"/>
      <w:r w:rsidR="00FE111D" w:rsidRPr="00C83593">
        <w:rPr>
          <w:rFonts w:cs="Arial"/>
          <w:sz w:val="24"/>
          <w:szCs w:val="24"/>
        </w:rPr>
        <w:t>lists, and</w:t>
      </w:r>
      <w:proofErr w:type="gramEnd"/>
      <w:r w:rsidR="00FE111D" w:rsidRPr="00C83593">
        <w:rPr>
          <w:rFonts w:cs="Arial"/>
          <w:sz w:val="24"/>
          <w:szCs w:val="24"/>
        </w:rPr>
        <w:t xml:space="preserve"> posted at IHFA branch offices and on the IHFA and Commerce websites.</w:t>
      </w:r>
      <w:r w:rsidRPr="00C83593">
        <w:rPr>
          <w:rFonts w:cs="Arial"/>
          <w:sz w:val="24"/>
          <w:szCs w:val="24"/>
        </w:rPr>
        <w:t xml:space="preserve"> The legal notice included a statement in Spanish directing the reader to the IHFA and IDC websites, where they could find a copy of the notice in Spanish.</w:t>
      </w:r>
      <w:r w:rsidR="00FE111D" w:rsidRPr="00C83593">
        <w:rPr>
          <w:rFonts w:cs="Arial"/>
          <w:sz w:val="24"/>
          <w:szCs w:val="24"/>
        </w:rPr>
        <w:t xml:space="preserve"> The notice directed readers where to request the plan in a form that is accessible to persons with disabilities and persons with limited English proficiency</w:t>
      </w:r>
      <w:r w:rsidR="009326CB" w:rsidRPr="00C83593">
        <w:rPr>
          <w:rFonts w:cs="Arial"/>
          <w:sz w:val="24"/>
          <w:szCs w:val="24"/>
        </w:rPr>
        <w:t xml:space="preserve"> and how to submit comments</w:t>
      </w:r>
      <w:r w:rsidR="00FE111D" w:rsidRPr="00C83593">
        <w:rPr>
          <w:rFonts w:cs="Arial"/>
          <w:sz w:val="24"/>
          <w:szCs w:val="24"/>
        </w:rPr>
        <w:t>.</w:t>
      </w:r>
      <w:r w:rsidR="009326CB" w:rsidRPr="00C83593">
        <w:rPr>
          <w:rFonts w:cs="Arial"/>
          <w:sz w:val="24"/>
          <w:szCs w:val="24"/>
        </w:rPr>
        <w:t xml:space="preserve"> </w:t>
      </w:r>
    </w:p>
    <w:p w14:paraId="355F6C1D" w14:textId="77777777" w:rsidR="00320486" w:rsidRPr="003A7226" w:rsidRDefault="00320486" w:rsidP="00320486">
      <w:pPr>
        <w:rPr>
          <w:b/>
          <w:sz w:val="24"/>
          <w:szCs w:val="24"/>
        </w:rPr>
      </w:pPr>
      <w:r w:rsidRPr="003A7226">
        <w:rPr>
          <w:b/>
          <w:sz w:val="24"/>
          <w:szCs w:val="24"/>
        </w:rPr>
        <w:t>5.</w:t>
      </w:r>
      <w:r w:rsidRPr="003A7226">
        <w:rPr>
          <w:b/>
          <w:sz w:val="24"/>
          <w:szCs w:val="24"/>
        </w:rPr>
        <w:tab/>
        <w:t>Summary of public comments</w:t>
      </w:r>
    </w:p>
    <w:p w14:paraId="6AD03D2B" w14:textId="3A4A7595" w:rsidR="00320486" w:rsidRPr="00C83593" w:rsidRDefault="00320486" w:rsidP="787E070B">
      <w:pPr>
        <w:spacing w:beforeAutospacing="1" w:afterAutospacing="1"/>
        <w:jc w:val="both"/>
        <w:rPr>
          <w:rFonts w:cs="Arial"/>
          <w:sz w:val="24"/>
          <w:szCs w:val="24"/>
        </w:rPr>
      </w:pPr>
      <w:r w:rsidRPr="00C83593">
        <w:rPr>
          <w:rFonts w:cs="Arial"/>
          <w:sz w:val="24"/>
          <w:szCs w:val="24"/>
        </w:rPr>
        <w:t xml:space="preserve">The Public Participation Plan for Idaho's HUD-CPD programs is available on the IHFA website at </w:t>
      </w:r>
      <w:hyperlink r:id="rId11" w:history="1">
        <w:r w:rsidRPr="00C83593">
          <w:rPr>
            <w:rStyle w:val="Hyperlink"/>
            <w:rFonts w:cs="Arial"/>
            <w:sz w:val="24"/>
            <w:szCs w:val="24"/>
          </w:rPr>
          <w:t>https://www.idahohousing.com/federal-programs/legal-notices-plans-and-reports/</w:t>
        </w:r>
      </w:hyperlink>
      <w:r w:rsidR="71ECE423" w:rsidRPr="00C83593">
        <w:rPr>
          <w:rFonts w:cs="Arial"/>
          <w:sz w:val="24"/>
          <w:szCs w:val="24"/>
        </w:rPr>
        <w:t>.</w:t>
      </w:r>
    </w:p>
    <w:p w14:paraId="3AA852FD" w14:textId="78E2471A" w:rsidR="787E070B" w:rsidRPr="00C83593" w:rsidRDefault="787E070B" w:rsidP="787E070B">
      <w:pPr>
        <w:spacing w:beforeAutospacing="1" w:afterAutospacing="1"/>
        <w:jc w:val="both"/>
        <w:rPr>
          <w:rFonts w:cs="Arial"/>
          <w:sz w:val="24"/>
          <w:szCs w:val="24"/>
        </w:rPr>
      </w:pPr>
    </w:p>
    <w:p w14:paraId="51C785FE" w14:textId="77777777" w:rsidR="00320486" w:rsidRPr="003A7226" w:rsidRDefault="00320486" w:rsidP="00320486">
      <w:pPr>
        <w:rPr>
          <w:b/>
          <w:sz w:val="24"/>
          <w:szCs w:val="24"/>
        </w:rPr>
      </w:pPr>
      <w:r w:rsidRPr="003A7226">
        <w:rPr>
          <w:b/>
          <w:sz w:val="24"/>
          <w:szCs w:val="24"/>
        </w:rPr>
        <w:t>6.</w:t>
      </w:r>
      <w:r w:rsidRPr="003A7226">
        <w:rPr>
          <w:b/>
          <w:sz w:val="24"/>
          <w:szCs w:val="24"/>
        </w:rPr>
        <w:tab/>
        <w:t>Summary of comments or views not accepted and the reasons for not accepting them</w:t>
      </w:r>
    </w:p>
    <w:p w14:paraId="6E6C4659" w14:textId="4FE9492C" w:rsidR="00320486" w:rsidRPr="00C83593" w:rsidRDefault="00320486" w:rsidP="787E070B">
      <w:pPr>
        <w:spacing w:beforeAutospacing="1" w:afterAutospacing="1"/>
        <w:rPr>
          <w:rFonts w:cs="Arial"/>
          <w:sz w:val="24"/>
          <w:szCs w:val="24"/>
        </w:rPr>
      </w:pPr>
      <w:r w:rsidRPr="00C83593">
        <w:rPr>
          <w:rFonts w:cs="Arial"/>
          <w:sz w:val="24"/>
          <w:szCs w:val="24"/>
        </w:rPr>
        <w:t>See attachment titled "Citizen Participation comments</w:t>
      </w:r>
      <w:r w:rsidR="003C6895" w:rsidRPr="00C83593">
        <w:rPr>
          <w:rFonts w:cs="Arial"/>
          <w:sz w:val="24"/>
          <w:szCs w:val="24"/>
        </w:rPr>
        <w:t>.</w:t>
      </w:r>
      <w:r w:rsidRPr="00C83593">
        <w:rPr>
          <w:rFonts w:cs="Arial"/>
          <w:sz w:val="24"/>
          <w:szCs w:val="24"/>
        </w:rPr>
        <w:t>"</w:t>
      </w:r>
    </w:p>
    <w:p w14:paraId="4AD3C5CF" w14:textId="77777777" w:rsidR="00320486" w:rsidRPr="003A7226" w:rsidRDefault="00320486" w:rsidP="00320486">
      <w:pPr>
        <w:rPr>
          <w:b/>
          <w:sz w:val="24"/>
          <w:szCs w:val="24"/>
        </w:rPr>
      </w:pPr>
      <w:r w:rsidRPr="003A7226">
        <w:rPr>
          <w:b/>
          <w:sz w:val="24"/>
          <w:szCs w:val="24"/>
        </w:rPr>
        <w:t>7.</w:t>
      </w:r>
      <w:r w:rsidRPr="003A7226">
        <w:rPr>
          <w:b/>
          <w:sz w:val="24"/>
          <w:szCs w:val="24"/>
        </w:rPr>
        <w:tab/>
        <w:t>Summary</w:t>
      </w:r>
    </w:p>
    <w:p w14:paraId="39586B3E" w14:textId="43A90A14" w:rsidR="00320486" w:rsidRPr="00C83593" w:rsidRDefault="00320486" w:rsidP="00320486">
      <w:pPr>
        <w:spacing w:beforeAutospacing="1" w:afterAutospacing="1"/>
        <w:rPr>
          <w:rFonts w:cs="Arial"/>
          <w:sz w:val="24"/>
          <w:szCs w:val="24"/>
        </w:rPr>
      </w:pPr>
      <w:r w:rsidRPr="00C83593">
        <w:rPr>
          <w:rFonts w:cs="Arial"/>
          <w:sz w:val="24"/>
          <w:szCs w:val="24"/>
        </w:rPr>
        <w:t>See attachment titled "Citizen Participation comments</w:t>
      </w:r>
      <w:r w:rsidR="003C6895" w:rsidRPr="00C83593">
        <w:rPr>
          <w:rFonts w:cs="Arial"/>
          <w:sz w:val="24"/>
          <w:szCs w:val="24"/>
        </w:rPr>
        <w:t>.</w:t>
      </w:r>
      <w:r w:rsidRPr="00C83593">
        <w:rPr>
          <w:rFonts w:cs="Arial"/>
          <w:sz w:val="24"/>
          <w:szCs w:val="24"/>
        </w:rPr>
        <w:t>"</w:t>
      </w:r>
    </w:p>
    <w:p w14:paraId="10170996" w14:textId="77777777" w:rsidR="00320486" w:rsidRDefault="00320486" w:rsidP="00320486">
      <w:pPr>
        <w:pStyle w:val="Heading2"/>
        <w:pageBreakBefore/>
        <w:rPr>
          <w:rFonts w:ascii="Calibri" w:hAnsi="Calibri"/>
          <w:i/>
        </w:rPr>
        <w:sectPr w:rsidR="00320486" w:rsidSect="00320486">
          <w:footerReference w:type="default" r:id="rId12"/>
          <w:pgSz w:w="12240" w:h="15840" w:code="1"/>
          <w:pgMar w:top="1440" w:right="1440" w:bottom="1440" w:left="1440" w:header="720" w:footer="720" w:gutter="0"/>
          <w:cols w:space="720"/>
          <w:docGrid w:linePitch="360"/>
        </w:sectPr>
      </w:pPr>
    </w:p>
    <w:p w14:paraId="5ED76DB9" w14:textId="77777777" w:rsidR="00320486" w:rsidRDefault="00320486" w:rsidP="00320486">
      <w:pPr>
        <w:pStyle w:val="Heading2"/>
        <w:pageBreakBefore/>
        <w:rPr>
          <w:rFonts w:ascii="Calibri" w:hAnsi="Calibri"/>
          <w:i/>
        </w:rPr>
      </w:pPr>
      <w:bookmarkStart w:id="4" w:name="_Toc194673831"/>
      <w:r>
        <w:rPr>
          <w:rFonts w:ascii="Calibri" w:hAnsi="Calibri"/>
        </w:rPr>
        <w:lastRenderedPageBreak/>
        <w:t>PR-05 Lead &amp; Responsible Agencies - 91.300(b)</w:t>
      </w:r>
      <w:bookmarkEnd w:id="4"/>
    </w:p>
    <w:p w14:paraId="09992ED2" w14:textId="77777777" w:rsidR="00320486" w:rsidRDefault="00320486" w:rsidP="00320486">
      <w:pPr>
        <w:keepNext/>
        <w:rPr>
          <w:b/>
          <w:sz w:val="24"/>
          <w:szCs w:val="24"/>
        </w:rPr>
      </w:pPr>
      <w:r>
        <w:rPr>
          <w:b/>
          <w:sz w:val="24"/>
          <w:szCs w:val="24"/>
        </w:rPr>
        <w:t>1.</w:t>
      </w:r>
      <w:r>
        <w:rPr>
          <w:b/>
          <w:sz w:val="24"/>
          <w:szCs w:val="24"/>
        </w:rPr>
        <w:tab/>
        <w:t>Agency/entity responsible for preparing/administering the Consolidated Plan</w:t>
      </w:r>
    </w:p>
    <w:p w14:paraId="54A5F53F" w14:textId="77777777" w:rsidR="00320486" w:rsidRDefault="00320486" w:rsidP="00320486">
      <w:pPr>
        <w:keepNext/>
        <w:rPr>
          <w:sz w:val="24"/>
          <w:szCs w:val="24"/>
        </w:rPr>
      </w:pPr>
      <w:r>
        <w:rPr>
          <w:sz w:val="24"/>
          <w:szCs w:val="24"/>
        </w:rPr>
        <w:t>The following are the agencies/entities responsible for preparing the Consolidated Plan and those responsible for administration of each grant program and funding source.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320486" w14:paraId="2F751786" w14:textId="77777777" w:rsidTr="00AF2857">
        <w:trPr>
          <w:cantSplit/>
          <w:tblHeader/>
        </w:trPr>
        <w:tc>
          <w:tcPr>
            <w:tcW w:w="4316" w:type="dxa"/>
          </w:tcPr>
          <w:p w14:paraId="7DBE4C3F" w14:textId="77777777" w:rsidR="00320486" w:rsidRDefault="00320486" w:rsidP="00E53512">
            <w:pPr>
              <w:keepNext/>
              <w:widowControl w:val="0"/>
              <w:spacing w:after="0" w:line="240" w:lineRule="auto"/>
              <w:jc w:val="center"/>
              <w:rPr>
                <w:b/>
                <w:bCs/>
              </w:rPr>
            </w:pPr>
            <w:r>
              <w:rPr>
                <w:b/>
                <w:bCs/>
              </w:rPr>
              <w:t>Agency Role</w:t>
            </w:r>
          </w:p>
        </w:tc>
        <w:tc>
          <w:tcPr>
            <w:tcW w:w="4317" w:type="dxa"/>
          </w:tcPr>
          <w:p w14:paraId="08800F57" w14:textId="77777777" w:rsidR="00320486" w:rsidRDefault="00320486" w:rsidP="00E53512">
            <w:pPr>
              <w:keepNext/>
              <w:widowControl w:val="0"/>
              <w:spacing w:after="0" w:line="240" w:lineRule="auto"/>
              <w:jc w:val="center"/>
              <w:rPr>
                <w:b/>
                <w:bCs/>
              </w:rPr>
            </w:pPr>
            <w:r>
              <w:rPr>
                <w:b/>
                <w:bCs/>
              </w:rPr>
              <w:t>Name</w:t>
            </w:r>
          </w:p>
        </w:tc>
        <w:tc>
          <w:tcPr>
            <w:tcW w:w="4317" w:type="dxa"/>
          </w:tcPr>
          <w:p w14:paraId="33D93939" w14:textId="77777777" w:rsidR="00320486" w:rsidRDefault="00320486" w:rsidP="00E53512">
            <w:pPr>
              <w:keepNext/>
              <w:widowControl w:val="0"/>
              <w:spacing w:after="0" w:line="240" w:lineRule="auto"/>
              <w:jc w:val="center"/>
              <w:rPr>
                <w:b/>
                <w:bCs/>
              </w:rPr>
            </w:pPr>
            <w:r>
              <w:rPr>
                <w:b/>
                <w:bCs/>
              </w:rPr>
              <w:t>Department/Agency</w:t>
            </w:r>
          </w:p>
        </w:tc>
      </w:tr>
      <w:tr w:rsidR="00AF2857" w14:paraId="60BEC708" w14:textId="77777777" w:rsidTr="00E53512">
        <w:trPr>
          <w:cantSplit/>
        </w:trPr>
        <w:tc>
          <w:tcPr>
            <w:tcW w:w="0" w:type="auto"/>
          </w:tcPr>
          <w:p w14:paraId="3A144506" w14:textId="77777777" w:rsidR="00AF2857" w:rsidRDefault="00AF2857" w:rsidP="00AF2857">
            <w:pPr>
              <w:spacing w:beforeAutospacing="1" w:afterAutospacing="1"/>
            </w:pPr>
            <w:proofErr w:type="gramStart"/>
            <w:r>
              <w:rPr>
                <w:color w:val="000000"/>
              </w:rPr>
              <w:t>Lead  Agency</w:t>
            </w:r>
            <w:proofErr w:type="gramEnd"/>
          </w:p>
        </w:tc>
        <w:tc>
          <w:tcPr>
            <w:tcW w:w="0" w:type="auto"/>
          </w:tcPr>
          <w:p w14:paraId="36A8CCC0" w14:textId="77777777" w:rsidR="00AF2857" w:rsidRDefault="00AF2857" w:rsidP="00AF2857">
            <w:pPr>
              <w:spacing w:beforeAutospacing="1" w:afterAutospacing="1"/>
            </w:pPr>
            <w:r>
              <w:rPr>
                <w:color w:val="000000"/>
              </w:rPr>
              <w:t>IDAHO</w:t>
            </w:r>
          </w:p>
        </w:tc>
        <w:tc>
          <w:tcPr>
            <w:tcW w:w="0" w:type="auto"/>
          </w:tcPr>
          <w:p w14:paraId="04C3A5DD" w14:textId="50954A8E" w:rsidR="00AF2857" w:rsidRDefault="00AF2857" w:rsidP="00AF2857">
            <w:pPr>
              <w:spacing w:beforeAutospacing="1" w:afterAutospacing="1"/>
            </w:pPr>
            <w:r>
              <w:rPr>
                <w:color w:val="000000"/>
              </w:rPr>
              <w:t>HOME Programs Department</w:t>
            </w:r>
          </w:p>
        </w:tc>
      </w:tr>
    </w:tbl>
    <w:p w14:paraId="11E65D25" w14:textId="77777777" w:rsidR="00320486" w:rsidRDefault="00320486" w:rsidP="00320486">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7"/>
        <w:gridCol w:w="4317"/>
      </w:tblGrid>
      <w:tr w:rsidR="00320486" w14:paraId="074C5D34" w14:textId="77777777" w:rsidTr="00E53512">
        <w:trPr>
          <w:cantSplit/>
          <w:tblHeader/>
          <w:hidden/>
        </w:trPr>
        <w:tc>
          <w:tcPr>
            <w:tcW w:w="3192" w:type="dxa"/>
          </w:tcPr>
          <w:p w14:paraId="4D9002BF" w14:textId="77777777" w:rsidR="00320486" w:rsidRDefault="00320486" w:rsidP="00E53512">
            <w:pPr>
              <w:keepNext/>
              <w:widowControl w:val="0"/>
              <w:spacing w:after="0" w:line="240" w:lineRule="auto"/>
              <w:jc w:val="center"/>
              <w:rPr>
                <w:b/>
                <w:bCs/>
                <w:vanish/>
              </w:rPr>
            </w:pPr>
          </w:p>
        </w:tc>
        <w:tc>
          <w:tcPr>
            <w:tcW w:w="3192" w:type="dxa"/>
          </w:tcPr>
          <w:p w14:paraId="28C63CF8" w14:textId="77777777" w:rsidR="00320486" w:rsidRDefault="00320486" w:rsidP="00E53512">
            <w:pPr>
              <w:keepNext/>
              <w:widowControl w:val="0"/>
              <w:spacing w:after="0" w:line="240" w:lineRule="auto"/>
              <w:jc w:val="center"/>
              <w:rPr>
                <w:b/>
                <w:bCs/>
                <w:vanish/>
              </w:rPr>
            </w:pPr>
          </w:p>
        </w:tc>
        <w:tc>
          <w:tcPr>
            <w:tcW w:w="3192" w:type="dxa"/>
          </w:tcPr>
          <w:p w14:paraId="581DB8EE" w14:textId="77777777" w:rsidR="00320486" w:rsidRDefault="00320486" w:rsidP="00E53512">
            <w:pPr>
              <w:keepNext/>
              <w:widowControl w:val="0"/>
              <w:spacing w:after="0" w:line="240" w:lineRule="auto"/>
              <w:jc w:val="center"/>
              <w:rPr>
                <w:b/>
                <w:bCs/>
                <w:vanish/>
              </w:rPr>
            </w:pPr>
          </w:p>
        </w:tc>
      </w:tr>
      <w:tr w:rsidR="00320486" w14:paraId="0678BCFE" w14:textId="77777777" w:rsidTr="00E53512">
        <w:trPr>
          <w:cantSplit/>
        </w:trPr>
        <w:tc>
          <w:tcPr>
            <w:tcW w:w="0" w:type="auto"/>
          </w:tcPr>
          <w:p w14:paraId="17A04618" w14:textId="77777777" w:rsidR="00320486" w:rsidRDefault="00320486" w:rsidP="00E53512">
            <w:pPr>
              <w:spacing w:beforeAutospacing="1" w:afterAutospacing="1"/>
            </w:pPr>
            <w:r>
              <w:rPr>
                <w:color w:val="000000"/>
              </w:rPr>
              <w:t>CDBG Administrator</w:t>
            </w:r>
          </w:p>
        </w:tc>
        <w:tc>
          <w:tcPr>
            <w:tcW w:w="0" w:type="auto"/>
          </w:tcPr>
          <w:p w14:paraId="7AADD504" w14:textId="77777777" w:rsidR="00320486" w:rsidRDefault="00320486" w:rsidP="00E53512">
            <w:pPr>
              <w:spacing w:beforeAutospacing="1" w:afterAutospacing="1"/>
            </w:pPr>
            <w:r>
              <w:rPr>
                <w:color w:val="000000"/>
              </w:rPr>
              <w:t>IDAHO</w:t>
            </w:r>
          </w:p>
        </w:tc>
        <w:tc>
          <w:tcPr>
            <w:tcW w:w="0" w:type="auto"/>
          </w:tcPr>
          <w:p w14:paraId="79D1F389" w14:textId="77777777" w:rsidR="00320486" w:rsidRDefault="00320486" w:rsidP="00E53512">
            <w:pPr>
              <w:spacing w:beforeAutospacing="1" w:afterAutospacing="1"/>
            </w:pPr>
            <w:r>
              <w:rPr>
                <w:color w:val="000000"/>
              </w:rPr>
              <w:t>Idaho Department of Commerce</w:t>
            </w:r>
          </w:p>
        </w:tc>
      </w:tr>
      <w:tr w:rsidR="00320486" w14:paraId="045DDEA2" w14:textId="77777777" w:rsidTr="00E53512">
        <w:trPr>
          <w:cantSplit/>
        </w:trPr>
        <w:tc>
          <w:tcPr>
            <w:tcW w:w="0" w:type="auto"/>
          </w:tcPr>
          <w:p w14:paraId="60F7173E" w14:textId="77777777" w:rsidR="00320486" w:rsidRDefault="00320486" w:rsidP="00E53512">
            <w:pPr>
              <w:spacing w:beforeAutospacing="1" w:afterAutospacing="1"/>
            </w:pPr>
            <w:r>
              <w:rPr>
                <w:color w:val="000000"/>
              </w:rPr>
              <w:t>HOPWA Administrator</w:t>
            </w:r>
          </w:p>
        </w:tc>
        <w:tc>
          <w:tcPr>
            <w:tcW w:w="0" w:type="auto"/>
          </w:tcPr>
          <w:p w14:paraId="02437D7E" w14:textId="77777777" w:rsidR="00320486" w:rsidRDefault="00320486" w:rsidP="00E53512">
            <w:pPr>
              <w:spacing w:beforeAutospacing="1" w:afterAutospacing="1"/>
            </w:pPr>
            <w:r>
              <w:rPr>
                <w:color w:val="000000"/>
              </w:rPr>
              <w:t>IDAHO</w:t>
            </w:r>
          </w:p>
        </w:tc>
        <w:tc>
          <w:tcPr>
            <w:tcW w:w="0" w:type="auto"/>
          </w:tcPr>
          <w:p w14:paraId="723207B0" w14:textId="3C55483B" w:rsidR="00320486" w:rsidRDefault="003A7226" w:rsidP="00E53512">
            <w:pPr>
              <w:spacing w:beforeAutospacing="1" w:afterAutospacing="1"/>
            </w:pPr>
            <w:r>
              <w:rPr>
                <w:color w:val="000000"/>
              </w:rPr>
              <w:t>N/A</w:t>
            </w:r>
          </w:p>
        </w:tc>
      </w:tr>
      <w:tr w:rsidR="00320486" w14:paraId="7600C2EA" w14:textId="77777777" w:rsidTr="00E53512">
        <w:trPr>
          <w:cantSplit/>
        </w:trPr>
        <w:tc>
          <w:tcPr>
            <w:tcW w:w="0" w:type="auto"/>
          </w:tcPr>
          <w:p w14:paraId="2032A26D" w14:textId="77777777" w:rsidR="00320486" w:rsidRDefault="00320486" w:rsidP="00E53512">
            <w:pPr>
              <w:spacing w:beforeAutospacing="1" w:afterAutospacing="1"/>
            </w:pPr>
            <w:r>
              <w:rPr>
                <w:color w:val="000000"/>
              </w:rPr>
              <w:t>HOME Administrator</w:t>
            </w:r>
          </w:p>
        </w:tc>
        <w:tc>
          <w:tcPr>
            <w:tcW w:w="0" w:type="auto"/>
          </w:tcPr>
          <w:p w14:paraId="518E0491" w14:textId="77777777" w:rsidR="00320486" w:rsidRDefault="00320486" w:rsidP="00E53512">
            <w:pPr>
              <w:spacing w:beforeAutospacing="1" w:afterAutospacing="1"/>
            </w:pPr>
            <w:r>
              <w:rPr>
                <w:color w:val="000000"/>
              </w:rPr>
              <w:t>IDAHO</w:t>
            </w:r>
          </w:p>
        </w:tc>
        <w:tc>
          <w:tcPr>
            <w:tcW w:w="0" w:type="auto"/>
          </w:tcPr>
          <w:p w14:paraId="505207C4" w14:textId="77777777" w:rsidR="00320486" w:rsidRDefault="00320486" w:rsidP="00E53512">
            <w:pPr>
              <w:spacing w:beforeAutospacing="1" w:afterAutospacing="1"/>
            </w:pPr>
            <w:r>
              <w:rPr>
                <w:color w:val="000000"/>
              </w:rPr>
              <w:t>HOME Programs Department</w:t>
            </w:r>
          </w:p>
        </w:tc>
      </w:tr>
      <w:tr w:rsidR="00320486" w14:paraId="5F8E9408" w14:textId="77777777" w:rsidTr="00E53512">
        <w:trPr>
          <w:cantSplit/>
        </w:trPr>
        <w:tc>
          <w:tcPr>
            <w:tcW w:w="0" w:type="auto"/>
          </w:tcPr>
          <w:p w14:paraId="16428D9C" w14:textId="77777777" w:rsidR="00320486" w:rsidRDefault="00320486" w:rsidP="00E53512">
            <w:pPr>
              <w:spacing w:beforeAutospacing="1" w:afterAutospacing="1"/>
            </w:pPr>
            <w:r>
              <w:rPr>
                <w:color w:val="000000"/>
              </w:rPr>
              <w:t>ESG Administrator</w:t>
            </w:r>
          </w:p>
        </w:tc>
        <w:tc>
          <w:tcPr>
            <w:tcW w:w="0" w:type="auto"/>
          </w:tcPr>
          <w:p w14:paraId="123F643B" w14:textId="77777777" w:rsidR="00320486" w:rsidRDefault="00320486" w:rsidP="00E53512">
            <w:pPr>
              <w:spacing w:beforeAutospacing="1" w:afterAutospacing="1"/>
            </w:pPr>
            <w:r>
              <w:rPr>
                <w:color w:val="000000"/>
              </w:rPr>
              <w:t>IDAHO</w:t>
            </w:r>
          </w:p>
        </w:tc>
        <w:tc>
          <w:tcPr>
            <w:tcW w:w="0" w:type="auto"/>
          </w:tcPr>
          <w:p w14:paraId="24F4D4A5" w14:textId="77777777" w:rsidR="00320486" w:rsidRDefault="00320486" w:rsidP="00E53512">
            <w:pPr>
              <w:spacing w:beforeAutospacing="1" w:afterAutospacing="1"/>
            </w:pPr>
            <w:r>
              <w:rPr>
                <w:color w:val="000000"/>
              </w:rPr>
              <w:t>Homelessness Programs</w:t>
            </w:r>
          </w:p>
        </w:tc>
      </w:tr>
      <w:tr w:rsidR="00320486" w14:paraId="54688066" w14:textId="77777777" w:rsidTr="00E53512">
        <w:trPr>
          <w:cantSplit/>
        </w:trPr>
        <w:tc>
          <w:tcPr>
            <w:tcW w:w="0" w:type="auto"/>
          </w:tcPr>
          <w:p w14:paraId="7BD1EBCB" w14:textId="77777777" w:rsidR="00320486" w:rsidRDefault="00320486" w:rsidP="00E53512">
            <w:pPr>
              <w:spacing w:beforeAutospacing="1" w:afterAutospacing="1"/>
            </w:pPr>
            <w:r>
              <w:rPr>
                <w:color w:val="000000"/>
              </w:rPr>
              <w:t xml:space="preserve"> </w:t>
            </w:r>
          </w:p>
        </w:tc>
        <w:tc>
          <w:tcPr>
            <w:tcW w:w="0" w:type="auto"/>
          </w:tcPr>
          <w:p w14:paraId="3F4FB25F" w14:textId="77777777" w:rsidR="00320486" w:rsidRDefault="00320486" w:rsidP="00E53512">
            <w:pPr>
              <w:spacing w:beforeAutospacing="1" w:afterAutospacing="1"/>
            </w:pPr>
            <w:r>
              <w:rPr>
                <w:color w:val="000000"/>
              </w:rPr>
              <w:t>IDAHO</w:t>
            </w:r>
          </w:p>
        </w:tc>
        <w:tc>
          <w:tcPr>
            <w:tcW w:w="0" w:type="auto"/>
          </w:tcPr>
          <w:p w14:paraId="6F7AC871" w14:textId="77777777" w:rsidR="00320486" w:rsidRDefault="00320486" w:rsidP="00E53512">
            <w:pPr>
              <w:spacing w:beforeAutospacing="1" w:afterAutospacing="1"/>
            </w:pPr>
            <w:r>
              <w:rPr>
                <w:color w:val="000000"/>
              </w:rPr>
              <w:t>HOME Programs Department</w:t>
            </w:r>
          </w:p>
        </w:tc>
      </w:tr>
    </w:tbl>
    <w:p w14:paraId="4812B1E1" w14:textId="77777777" w:rsidR="00320486" w:rsidRDefault="00320486" w:rsidP="00320486">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Responsible Agencies</w:t>
      </w:r>
    </w:p>
    <w:p w14:paraId="103EE300" w14:textId="77777777" w:rsidR="00320486" w:rsidRDefault="00320486" w:rsidP="00320486">
      <w:pPr>
        <w:spacing w:after="0" w:line="240" w:lineRule="auto"/>
        <w:rPr>
          <w:b/>
          <w:sz w:val="24"/>
          <w:szCs w:val="24"/>
        </w:rPr>
      </w:pPr>
    </w:p>
    <w:p w14:paraId="57973DCE" w14:textId="77777777" w:rsidR="00320486" w:rsidRDefault="00320486" w:rsidP="00320486">
      <w:pPr>
        <w:rPr>
          <w:b/>
          <w:sz w:val="24"/>
          <w:szCs w:val="24"/>
        </w:rPr>
      </w:pPr>
      <w:r>
        <w:rPr>
          <w:b/>
          <w:sz w:val="24"/>
          <w:szCs w:val="24"/>
        </w:rPr>
        <w:t>Narrative</w:t>
      </w:r>
    </w:p>
    <w:p w14:paraId="602AFAA0" w14:textId="6C982FDD" w:rsidR="00320486" w:rsidRPr="00C83593" w:rsidRDefault="00320486" w:rsidP="787E070B">
      <w:pPr>
        <w:spacing w:beforeAutospacing="1" w:afterAutospacing="1"/>
        <w:rPr>
          <w:rFonts w:cs="Arial"/>
          <w:sz w:val="24"/>
          <w:szCs w:val="24"/>
        </w:rPr>
      </w:pPr>
      <w:r w:rsidRPr="00C83593">
        <w:rPr>
          <w:rFonts w:cs="Arial"/>
          <w:sz w:val="24"/>
          <w:szCs w:val="24"/>
        </w:rPr>
        <w:t xml:space="preserve">Idaho Housing and Finance Association </w:t>
      </w:r>
      <w:r w:rsidR="6BA1B8CD" w:rsidRPr="00C83593">
        <w:rPr>
          <w:rFonts w:cs="Arial"/>
          <w:sz w:val="24"/>
          <w:szCs w:val="24"/>
        </w:rPr>
        <w:t xml:space="preserve">(IHFA) </w:t>
      </w:r>
      <w:r w:rsidRPr="00C83593">
        <w:rPr>
          <w:rFonts w:cs="Arial"/>
          <w:sz w:val="24"/>
          <w:szCs w:val="24"/>
        </w:rPr>
        <w:t>is Lead Agency for HUD-CPD reporting.</w:t>
      </w:r>
      <w:r w:rsidRPr="00C83593">
        <w:rPr>
          <w:sz w:val="24"/>
          <w:szCs w:val="24"/>
        </w:rPr>
        <w:br/>
      </w:r>
      <w:r w:rsidRPr="00C83593">
        <w:rPr>
          <w:rFonts w:cs="Arial"/>
          <w:sz w:val="24"/>
          <w:szCs w:val="24"/>
        </w:rPr>
        <w:t>IHFA is the State of Idaho's designated administrator of HUD-funded housing and housing development programs.</w:t>
      </w:r>
    </w:p>
    <w:p w14:paraId="6BDDB074" w14:textId="77777777" w:rsidR="00320486" w:rsidRDefault="00320486" w:rsidP="00320486">
      <w:pPr>
        <w:rPr>
          <w:b/>
          <w:sz w:val="24"/>
          <w:szCs w:val="24"/>
        </w:rPr>
      </w:pPr>
      <w:r>
        <w:rPr>
          <w:b/>
          <w:sz w:val="24"/>
          <w:szCs w:val="24"/>
        </w:rPr>
        <w:t>Consolidated Plan Public Contact Information</w:t>
      </w:r>
    </w:p>
    <w:p w14:paraId="32C7344C" w14:textId="77777777" w:rsidR="00320486" w:rsidRPr="00C83593" w:rsidRDefault="00320486" w:rsidP="00320486">
      <w:pPr>
        <w:spacing w:beforeAutospacing="1" w:afterAutospacing="1"/>
        <w:rPr>
          <w:rFonts w:cs="Arial"/>
          <w:sz w:val="24"/>
          <w:szCs w:val="24"/>
        </w:rPr>
      </w:pPr>
      <w:r w:rsidRPr="00C83593">
        <w:rPr>
          <w:rFonts w:cs="Arial"/>
          <w:sz w:val="24"/>
          <w:szCs w:val="24"/>
        </w:rPr>
        <w:t>CDBG Program - Department of Commerce</w:t>
      </w:r>
    </w:p>
    <w:p w14:paraId="1F2E1FA7" w14:textId="77777777" w:rsidR="00320486" w:rsidRPr="00C83593" w:rsidRDefault="00320486" w:rsidP="00320486">
      <w:pPr>
        <w:spacing w:beforeAutospacing="1" w:afterAutospacing="1"/>
        <w:rPr>
          <w:rFonts w:cs="Arial"/>
          <w:sz w:val="24"/>
          <w:szCs w:val="24"/>
        </w:rPr>
      </w:pPr>
      <w:r w:rsidRPr="00C83593">
        <w:rPr>
          <w:rFonts w:cs="Arial"/>
          <w:sz w:val="24"/>
          <w:szCs w:val="24"/>
        </w:rPr>
        <w:t>HOME - Idaho Housing and Finance Association</w:t>
      </w:r>
    </w:p>
    <w:p w14:paraId="47810D8E" w14:textId="77777777" w:rsidR="00320486" w:rsidRPr="00C83593" w:rsidRDefault="00320486" w:rsidP="00320486">
      <w:pPr>
        <w:spacing w:beforeAutospacing="1" w:afterAutospacing="1"/>
        <w:rPr>
          <w:rFonts w:cs="Arial"/>
          <w:sz w:val="24"/>
          <w:szCs w:val="24"/>
        </w:rPr>
      </w:pPr>
      <w:r w:rsidRPr="00C83593">
        <w:rPr>
          <w:rFonts w:cs="Arial"/>
          <w:sz w:val="24"/>
          <w:szCs w:val="24"/>
        </w:rPr>
        <w:t>HTF - Idaho Housing and Finance Association</w:t>
      </w:r>
    </w:p>
    <w:p w14:paraId="3CF1C9CB" w14:textId="77777777" w:rsidR="00320486" w:rsidRPr="00C83593" w:rsidRDefault="00320486" w:rsidP="00320486">
      <w:pPr>
        <w:spacing w:beforeAutospacing="1" w:afterAutospacing="1"/>
        <w:rPr>
          <w:rFonts w:cs="Arial"/>
          <w:sz w:val="24"/>
          <w:szCs w:val="24"/>
        </w:rPr>
      </w:pPr>
      <w:r w:rsidRPr="00C83593">
        <w:rPr>
          <w:rFonts w:cs="Arial"/>
          <w:sz w:val="24"/>
          <w:szCs w:val="24"/>
        </w:rPr>
        <w:t>ESG - Idaho Housing and Finance Association</w:t>
      </w:r>
    </w:p>
    <w:p w14:paraId="353EB1BB" w14:textId="77777777" w:rsidR="00320486" w:rsidRDefault="00320486" w:rsidP="00320486">
      <w:pPr>
        <w:pStyle w:val="Heading2"/>
        <w:keepNext w:val="0"/>
        <w:pageBreakBefore/>
        <w:widowControl w:val="0"/>
        <w:rPr>
          <w:rFonts w:ascii="Calibri" w:hAnsi="Calibri"/>
          <w:i/>
        </w:rPr>
        <w:sectPr w:rsidR="00320486" w:rsidSect="00320486">
          <w:pgSz w:w="15840" w:h="12240" w:orient="landscape" w:code="1"/>
          <w:pgMar w:top="1440" w:right="1440" w:bottom="1440" w:left="1440" w:header="720" w:footer="720" w:gutter="0"/>
          <w:cols w:space="720"/>
          <w:docGrid w:linePitch="360"/>
        </w:sectPr>
      </w:pPr>
    </w:p>
    <w:p w14:paraId="41351AB7" w14:textId="3DCDB0B1" w:rsidR="00320486" w:rsidRDefault="00E373A5" w:rsidP="00320486">
      <w:pPr>
        <w:pStyle w:val="Heading2"/>
        <w:keepNext w:val="0"/>
        <w:pageBreakBefore/>
        <w:widowControl w:val="0"/>
        <w:rPr>
          <w:rFonts w:ascii="Calibri" w:hAnsi="Calibri"/>
          <w:i/>
        </w:rPr>
      </w:pPr>
      <w:bookmarkStart w:id="5" w:name="_Toc194673832"/>
      <w:r>
        <w:rPr>
          <w:rFonts w:ascii="Calibri" w:hAnsi="Calibri"/>
        </w:rPr>
        <w:lastRenderedPageBreak/>
        <w:t>PR</w:t>
      </w:r>
      <w:r w:rsidR="00320486">
        <w:rPr>
          <w:rFonts w:ascii="Calibri" w:hAnsi="Calibri"/>
        </w:rPr>
        <w:t>-10 Consultation - 91.110, 91.300(b); 91.315(l)</w:t>
      </w:r>
      <w:bookmarkEnd w:id="5"/>
    </w:p>
    <w:p w14:paraId="2D4EB8C5" w14:textId="2EC0E20A" w:rsidR="00320486" w:rsidRPr="00294BD0" w:rsidRDefault="00320486" w:rsidP="00320486">
      <w:pPr>
        <w:rPr>
          <w:b/>
          <w:sz w:val="24"/>
          <w:szCs w:val="24"/>
        </w:rPr>
      </w:pPr>
      <w:r w:rsidRPr="00294BD0">
        <w:rPr>
          <w:b/>
          <w:sz w:val="24"/>
          <w:szCs w:val="24"/>
        </w:rPr>
        <w:t>1.</w:t>
      </w:r>
      <w:r w:rsidRPr="00294BD0">
        <w:rPr>
          <w:b/>
          <w:sz w:val="24"/>
          <w:szCs w:val="24"/>
        </w:rPr>
        <w:tab/>
        <w:t>Introduction</w:t>
      </w:r>
      <w:r w:rsidR="00A30FB4" w:rsidRPr="00294BD0">
        <w:rPr>
          <w:b/>
          <w:sz w:val="24"/>
          <w:szCs w:val="24"/>
        </w:rPr>
        <w:t xml:space="preserve"> </w:t>
      </w:r>
    </w:p>
    <w:p w14:paraId="1415D336" w14:textId="48597708" w:rsidR="00A41B7E" w:rsidRPr="00294BD0" w:rsidRDefault="00A41B7E" w:rsidP="002E1FA6">
      <w:pPr>
        <w:spacing w:beforeAutospacing="1" w:afterAutospacing="1"/>
        <w:jc w:val="both"/>
        <w:rPr>
          <w:rFonts w:cs="Arial"/>
          <w:sz w:val="24"/>
          <w:szCs w:val="24"/>
        </w:rPr>
      </w:pPr>
      <w:r w:rsidRPr="787E070B">
        <w:rPr>
          <w:rFonts w:cs="Arial"/>
          <w:sz w:val="24"/>
          <w:szCs w:val="24"/>
        </w:rPr>
        <w:t>IHFA and Commerce are committed to working with local agencies and service providers to create solutions to best address the needs of residents across the state. This Consolidated Plan and First Year Action Plan is the result of months of collaboration between multiple organizations, agencies and local stakeholders. The entities that have provided input and insight into the final plan are discussed in the following sections.</w:t>
      </w:r>
    </w:p>
    <w:p w14:paraId="2E90FC33" w14:textId="0CE43E2D" w:rsidR="00A30FB4" w:rsidRPr="00294BD0" w:rsidRDefault="00A30FB4" w:rsidP="787E070B">
      <w:pPr>
        <w:rPr>
          <w:b/>
          <w:bCs/>
          <w:sz w:val="24"/>
          <w:szCs w:val="24"/>
        </w:rPr>
      </w:pPr>
      <w:r w:rsidRPr="787E070B">
        <w:rPr>
          <w:b/>
          <w:bCs/>
          <w:sz w:val="24"/>
          <w:szCs w:val="24"/>
        </w:rPr>
        <w:t>Provide a concise summary of the state's activities to enhance coordination between public and assisted housing providers and private and governmental health, mental health and service agencies</w:t>
      </w:r>
      <w:r w:rsidR="38EACF55" w:rsidRPr="787E070B">
        <w:rPr>
          <w:b/>
          <w:bCs/>
          <w:sz w:val="24"/>
          <w:szCs w:val="24"/>
        </w:rPr>
        <w:t>.</w:t>
      </w:r>
    </w:p>
    <w:p w14:paraId="0B27FFBB" w14:textId="4B10380B" w:rsidR="00A30FB4" w:rsidRPr="00294BD0" w:rsidRDefault="00A30FB4" w:rsidP="002E1FA6">
      <w:pPr>
        <w:spacing w:beforeAutospacing="1" w:afterAutospacing="1"/>
        <w:jc w:val="both"/>
        <w:rPr>
          <w:rFonts w:cs="Arial"/>
          <w:sz w:val="24"/>
          <w:szCs w:val="24"/>
        </w:rPr>
      </w:pPr>
      <w:r w:rsidRPr="787E070B">
        <w:rPr>
          <w:rFonts w:cs="Arial"/>
          <w:sz w:val="24"/>
          <w:szCs w:val="24"/>
        </w:rPr>
        <w:t>IHFA hosts a housing coordination round table events each year. The event</w:t>
      </w:r>
      <w:r w:rsidR="3116D3BD" w:rsidRPr="787E070B">
        <w:rPr>
          <w:rFonts w:cs="Arial"/>
          <w:sz w:val="24"/>
          <w:szCs w:val="24"/>
        </w:rPr>
        <w:t>s</w:t>
      </w:r>
      <w:r w:rsidRPr="787E070B">
        <w:rPr>
          <w:rFonts w:cs="Arial"/>
          <w:sz w:val="24"/>
          <w:szCs w:val="24"/>
        </w:rPr>
        <w:t xml:space="preserve"> </w:t>
      </w:r>
      <w:proofErr w:type="gramStart"/>
      <w:r w:rsidRPr="787E070B">
        <w:rPr>
          <w:rFonts w:cs="Arial"/>
          <w:sz w:val="24"/>
          <w:szCs w:val="24"/>
        </w:rPr>
        <w:t>provides</w:t>
      </w:r>
      <w:proofErr w:type="gramEnd"/>
      <w:r w:rsidRPr="787E070B">
        <w:rPr>
          <w:rFonts w:cs="Arial"/>
          <w:sz w:val="24"/>
          <w:szCs w:val="24"/>
        </w:rPr>
        <w:t xml:space="preserve"> a regional forum to discuss current housing issues, promote effective partnerships and enhance ongoing coordination between public and assisted housing providers and local/regional/state service agencies. </w:t>
      </w:r>
      <w:r w:rsidR="028A83BF" w:rsidRPr="787E070B">
        <w:rPr>
          <w:rFonts w:cs="Arial"/>
          <w:sz w:val="24"/>
          <w:szCs w:val="24"/>
        </w:rPr>
        <w:t>They</w:t>
      </w:r>
      <w:r w:rsidRPr="787E070B">
        <w:rPr>
          <w:rFonts w:cs="Arial"/>
          <w:sz w:val="24"/>
          <w:szCs w:val="24"/>
        </w:rPr>
        <w:t xml:space="preserve"> bring local, regional, and state housing advocates, public and private service providers, developers, city/county/state/federal officials, state agencies, elected officials/representatives, lenders, and program administrators together to discuss housing, homelessness, and services regionally. Attendees were asked to participate in the Statewide Housing Survey and provide comment regarding this year's Consolidated Plan. In addition IHFA used email distribution lists to request input regarding the consolidated planning process from Idaho's Public Housing Authorities, Section 8/USDA-RD/LIHTC/HOME property owners and developers, residential lenders, real estate brokers, homeless service providers, CHDOs, CDBG entitlement cities, CDBG non-entitlement jurisdictions, House Idaho Collaborative (HIC – formerly “IHCC”), Idaho Fair Housing Forum, Idaho's disability advocates and centers, Idaho Health &amp;Welfare-Environmental Heath, </w:t>
      </w:r>
      <w:r w:rsidR="191C0F27" w:rsidRPr="787E070B">
        <w:rPr>
          <w:rFonts w:cs="Arial"/>
          <w:sz w:val="24"/>
          <w:szCs w:val="24"/>
        </w:rPr>
        <w:t xml:space="preserve">and </w:t>
      </w:r>
      <w:r w:rsidRPr="787E070B">
        <w:rPr>
          <w:rFonts w:cs="Arial"/>
          <w:sz w:val="24"/>
          <w:szCs w:val="24"/>
        </w:rPr>
        <w:t xml:space="preserve">IDHW-TANF &amp; Employment and Training Program. Additionally, IHFA hosts a housing conference every third year with the intent of encouraging these parties to convene together and have impactful and beneficial learning session and discussions on potential strategies used to increase affordable housing opportunities. Increased collaboration between the Balance of State Continuum of Care </w:t>
      </w:r>
      <w:r w:rsidR="743476AB" w:rsidRPr="787E070B">
        <w:rPr>
          <w:rFonts w:cs="Arial"/>
          <w:sz w:val="24"/>
          <w:szCs w:val="24"/>
        </w:rPr>
        <w:t xml:space="preserve">(aka the House Idaho Collaborative or HIC) </w:t>
      </w:r>
      <w:r w:rsidRPr="787E070B">
        <w:rPr>
          <w:rFonts w:cs="Arial"/>
          <w:sz w:val="24"/>
          <w:szCs w:val="24"/>
        </w:rPr>
        <w:t xml:space="preserve">and the Boise City Ada County Continuum of Care </w:t>
      </w:r>
      <w:r w:rsidR="6B304A97" w:rsidRPr="787E070B">
        <w:rPr>
          <w:rFonts w:cs="Arial"/>
          <w:sz w:val="24"/>
          <w:szCs w:val="24"/>
        </w:rPr>
        <w:t xml:space="preserve">(aka Our Path Home) </w:t>
      </w:r>
      <w:r w:rsidRPr="787E070B">
        <w:rPr>
          <w:rFonts w:cs="Arial"/>
          <w:sz w:val="24"/>
          <w:szCs w:val="24"/>
        </w:rPr>
        <w:t>has also emerged. This encourage</w:t>
      </w:r>
      <w:r w:rsidR="4A222EC6" w:rsidRPr="787E070B">
        <w:rPr>
          <w:rFonts w:cs="Arial"/>
          <w:sz w:val="24"/>
          <w:szCs w:val="24"/>
        </w:rPr>
        <w:t>s</w:t>
      </w:r>
      <w:r w:rsidRPr="787E070B">
        <w:rPr>
          <w:rFonts w:cs="Arial"/>
          <w:sz w:val="24"/>
          <w:szCs w:val="24"/>
        </w:rPr>
        <w:t xml:space="preserve"> greater awareness to the statewide issue of homelessness and</w:t>
      </w:r>
      <w:r w:rsidR="19DAE1B8" w:rsidRPr="787E070B">
        <w:rPr>
          <w:rFonts w:cs="Arial"/>
          <w:sz w:val="24"/>
          <w:szCs w:val="24"/>
        </w:rPr>
        <w:t xml:space="preserve"> provides space</w:t>
      </w:r>
      <w:r w:rsidRPr="787E070B">
        <w:rPr>
          <w:rFonts w:cs="Arial"/>
          <w:sz w:val="24"/>
          <w:szCs w:val="24"/>
        </w:rPr>
        <w:t xml:space="preserve"> for the sharing of best practices and successful models throughout Idaho. The HIC has and continues to invite state agencies to participate in homelessness resolution discussions and HIC board planning sessions and activities. This body creates strategic plans designed to meet the challenges in the </w:t>
      </w:r>
      <w:r w:rsidR="00A959E2">
        <w:rPr>
          <w:rFonts w:cs="Arial"/>
          <w:sz w:val="24"/>
          <w:szCs w:val="24"/>
        </w:rPr>
        <w:t>Balance of State Continuum of Care (BoS COC)</w:t>
      </w:r>
      <w:r w:rsidRPr="787E070B">
        <w:rPr>
          <w:rFonts w:cs="Arial"/>
          <w:sz w:val="24"/>
          <w:szCs w:val="24"/>
        </w:rPr>
        <w:t xml:space="preserve">. </w:t>
      </w:r>
      <w:r w:rsidR="00640CD6">
        <w:rPr>
          <w:rFonts w:cs="Arial"/>
          <w:sz w:val="24"/>
          <w:szCs w:val="24"/>
        </w:rPr>
        <w:t xml:space="preserve">(A </w:t>
      </w:r>
      <w:r w:rsidR="00F95319">
        <w:rPr>
          <w:rFonts w:cs="Arial"/>
          <w:sz w:val="24"/>
          <w:szCs w:val="24"/>
        </w:rPr>
        <w:t xml:space="preserve">COC is </w:t>
      </w:r>
      <w:r w:rsidR="00F95319" w:rsidRPr="00F95319">
        <w:rPr>
          <w:rFonts w:cs="Arial"/>
          <w:sz w:val="24"/>
          <w:szCs w:val="24"/>
        </w:rPr>
        <w:t xml:space="preserve">a local or regional planning body that coordinates funding and services for people experiencing homelessness, </w:t>
      </w:r>
      <w:r w:rsidR="00F95319" w:rsidRPr="00F95319">
        <w:rPr>
          <w:rFonts w:cs="Arial"/>
          <w:sz w:val="24"/>
          <w:szCs w:val="24"/>
        </w:rPr>
        <w:lastRenderedPageBreak/>
        <w:t>aiming to end homelessness and provide stable housing and support</w:t>
      </w:r>
      <w:r w:rsidR="00F95319">
        <w:rPr>
          <w:rFonts w:cs="Arial"/>
          <w:sz w:val="24"/>
          <w:szCs w:val="24"/>
        </w:rPr>
        <w:t xml:space="preserve">. A </w:t>
      </w:r>
      <w:r w:rsidR="00640CD6">
        <w:rPr>
          <w:rFonts w:cs="Arial"/>
          <w:sz w:val="24"/>
          <w:szCs w:val="24"/>
        </w:rPr>
        <w:t xml:space="preserve">BoS COC is </w:t>
      </w:r>
      <w:r w:rsidR="00640CD6" w:rsidRPr="00640CD6">
        <w:rPr>
          <w:rFonts w:cs="Arial"/>
          <w:sz w:val="24"/>
          <w:szCs w:val="24"/>
        </w:rPr>
        <w:t>a system, often encompassing rural areas and smaller cities, that addresses homelessness by coordinating efforts to provide housing and services, often in areas not covered by other </w:t>
      </w:r>
      <w:r w:rsidR="00F95319">
        <w:rPr>
          <w:rFonts w:cs="Arial"/>
          <w:sz w:val="24"/>
          <w:szCs w:val="24"/>
        </w:rPr>
        <w:t xml:space="preserve">COCs.) </w:t>
      </w:r>
      <w:r w:rsidRPr="787E070B">
        <w:rPr>
          <w:rFonts w:cs="Arial"/>
          <w:sz w:val="24"/>
          <w:szCs w:val="24"/>
        </w:rPr>
        <w:t>Resources targeting and leveraging are also discussed to ensure access priorities mirror HUD’s goals for special populations.</w:t>
      </w:r>
    </w:p>
    <w:p w14:paraId="188A5C30" w14:textId="0A5A0141" w:rsidR="00A30FB4" w:rsidRPr="00294BD0" w:rsidRDefault="00A30FB4" w:rsidP="002E1FA6">
      <w:pPr>
        <w:spacing w:beforeAutospacing="1" w:afterAutospacing="1"/>
        <w:jc w:val="both"/>
        <w:rPr>
          <w:rFonts w:cs="Arial"/>
          <w:sz w:val="24"/>
          <w:szCs w:val="24"/>
        </w:rPr>
      </w:pPr>
      <w:r w:rsidRPr="00294BD0">
        <w:rPr>
          <w:rFonts w:cs="Arial"/>
          <w:sz w:val="24"/>
          <w:szCs w:val="24"/>
        </w:rPr>
        <w:t xml:space="preserve">The QAP continues to include language that </w:t>
      </w:r>
      <w:r w:rsidR="00DC65EB">
        <w:rPr>
          <w:rFonts w:cs="Arial"/>
          <w:sz w:val="24"/>
          <w:szCs w:val="24"/>
        </w:rPr>
        <w:t xml:space="preserve">may </w:t>
      </w:r>
      <w:r w:rsidRPr="00294BD0">
        <w:rPr>
          <w:rFonts w:cs="Arial"/>
          <w:sz w:val="24"/>
          <w:szCs w:val="24"/>
        </w:rPr>
        <w:t>allow</w:t>
      </w:r>
      <w:r w:rsidR="00DC65EB">
        <w:rPr>
          <w:rFonts w:cs="Arial"/>
          <w:sz w:val="24"/>
          <w:szCs w:val="24"/>
        </w:rPr>
        <w:t xml:space="preserve"> for</w:t>
      </w:r>
      <w:r w:rsidRPr="00294BD0">
        <w:rPr>
          <w:rFonts w:cs="Arial"/>
          <w:sz w:val="24"/>
          <w:szCs w:val="24"/>
        </w:rPr>
        <w:t xml:space="preserve"> a set aside up to 15% of the annual per capita tax credit amount to address special housing need populations. </w:t>
      </w:r>
    </w:p>
    <w:p w14:paraId="0EFF5A35" w14:textId="32717FCB" w:rsidR="00A30FB4" w:rsidRPr="00294BD0" w:rsidRDefault="00A30FB4" w:rsidP="002E1FA6">
      <w:pPr>
        <w:spacing w:beforeAutospacing="1" w:afterAutospacing="1"/>
        <w:jc w:val="both"/>
        <w:rPr>
          <w:rFonts w:cs="Arial"/>
          <w:sz w:val="24"/>
          <w:szCs w:val="24"/>
        </w:rPr>
      </w:pPr>
      <w:r w:rsidRPr="787E070B">
        <w:rPr>
          <w:rFonts w:cs="Arial"/>
          <w:sz w:val="24"/>
          <w:szCs w:val="24"/>
        </w:rPr>
        <w:t xml:space="preserve">If this set aside is not utilized by the </w:t>
      </w:r>
      <w:r w:rsidR="44047A8B" w:rsidRPr="098FA5AC">
        <w:rPr>
          <w:rFonts w:cs="Arial"/>
          <w:sz w:val="24"/>
          <w:szCs w:val="24"/>
        </w:rPr>
        <w:t>IHFA)</w:t>
      </w:r>
      <w:r w:rsidR="00F95319" w:rsidRPr="098FA5AC" w:rsidDel="00F95319">
        <w:rPr>
          <w:rFonts w:cs="Arial"/>
          <w:sz w:val="24"/>
          <w:szCs w:val="24"/>
        </w:rPr>
        <w:t xml:space="preserve"> </w:t>
      </w:r>
      <w:r w:rsidRPr="787E070B">
        <w:rPr>
          <w:rFonts w:cs="Arial"/>
          <w:sz w:val="24"/>
          <w:szCs w:val="24"/>
        </w:rPr>
        <w:t xml:space="preserve">r if qualified applications are not received, the set-aside will be made available to other qualified non-targeted applications. If utilized, </w:t>
      </w:r>
      <w:r w:rsidR="003A7226">
        <w:rPr>
          <w:rFonts w:cs="Arial"/>
          <w:sz w:val="24"/>
          <w:szCs w:val="24"/>
        </w:rPr>
        <w:t>IHFA</w:t>
      </w:r>
      <w:r w:rsidRPr="787E070B">
        <w:rPr>
          <w:rFonts w:cs="Arial"/>
          <w:sz w:val="24"/>
          <w:szCs w:val="24"/>
        </w:rPr>
        <w:t xml:space="preserve"> will announce specific guidelines that may apply to the application for these funds at least </w:t>
      </w:r>
      <w:r w:rsidR="00DC65EB" w:rsidRPr="787E070B">
        <w:rPr>
          <w:rFonts w:cs="Arial"/>
          <w:sz w:val="24"/>
          <w:szCs w:val="24"/>
        </w:rPr>
        <w:t xml:space="preserve">120 </w:t>
      </w:r>
      <w:r w:rsidRPr="787E070B">
        <w:rPr>
          <w:rFonts w:cs="Arial"/>
          <w:sz w:val="24"/>
          <w:szCs w:val="24"/>
        </w:rPr>
        <w:t xml:space="preserve">days prior to the application round. Specific guidelines will be included in the </w:t>
      </w:r>
      <w:r w:rsidR="446566E1" w:rsidRPr="787E070B">
        <w:rPr>
          <w:rFonts w:cs="Arial"/>
          <w:sz w:val="24"/>
          <w:szCs w:val="24"/>
        </w:rPr>
        <w:t>Notice of Funding Availability (</w:t>
      </w:r>
      <w:r w:rsidRPr="787E070B">
        <w:rPr>
          <w:rFonts w:cs="Arial"/>
          <w:sz w:val="24"/>
          <w:szCs w:val="24"/>
        </w:rPr>
        <w:t>NOFA</w:t>
      </w:r>
      <w:r w:rsidR="52D34330" w:rsidRPr="787E070B">
        <w:rPr>
          <w:rFonts w:cs="Arial"/>
          <w:sz w:val="24"/>
          <w:szCs w:val="24"/>
        </w:rPr>
        <w:t>)</w:t>
      </w:r>
      <w:r w:rsidRPr="787E070B">
        <w:rPr>
          <w:rFonts w:cs="Arial"/>
          <w:sz w:val="24"/>
          <w:szCs w:val="24"/>
        </w:rPr>
        <w:t>.</w:t>
      </w:r>
    </w:p>
    <w:p w14:paraId="753462A4" w14:textId="7C7DB5E7" w:rsidR="00A30FB4" w:rsidRPr="00294BD0" w:rsidRDefault="00A30FB4" w:rsidP="787E070B">
      <w:pPr>
        <w:rPr>
          <w:b/>
          <w:bCs/>
          <w:sz w:val="24"/>
          <w:szCs w:val="24"/>
        </w:rPr>
      </w:pPr>
      <w:r w:rsidRPr="787E070B">
        <w:rPr>
          <w:b/>
          <w:bCs/>
          <w:sz w:val="24"/>
          <w:szCs w:val="24"/>
        </w:rPr>
        <w:t>Describe coordination with the Continuum of Care and efforts to address the needs of homeless persons (particularly chronically homeless individuals and families, families with children, veterans, and unaccompanied youth) and persons at risk of homelessness</w:t>
      </w:r>
      <w:r w:rsidR="13B89DEC" w:rsidRPr="787E070B">
        <w:rPr>
          <w:b/>
          <w:bCs/>
          <w:sz w:val="24"/>
          <w:szCs w:val="24"/>
        </w:rPr>
        <w:t>.</w:t>
      </w:r>
    </w:p>
    <w:p w14:paraId="6139A75B" w14:textId="395CA8F5" w:rsidR="00A30FB4" w:rsidRPr="00294BD0" w:rsidRDefault="00A30FB4" w:rsidP="002E1FA6">
      <w:pPr>
        <w:spacing w:beforeAutospacing="1" w:afterAutospacing="1"/>
        <w:jc w:val="both"/>
        <w:rPr>
          <w:rFonts w:cs="Arial"/>
          <w:sz w:val="24"/>
          <w:szCs w:val="24"/>
        </w:rPr>
      </w:pPr>
      <w:r w:rsidRPr="787E070B">
        <w:rPr>
          <w:rFonts w:cs="Arial"/>
          <w:sz w:val="24"/>
          <w:szCs w:val="24"/>
        </w:rPr>
        <w:t xml:space="preserve">ESG funding from HUD is awarded to the State of Idaho, and it is through the Office of the Governor that IHFA is designated to administer these funds on behalf of the State. As the recipient, IHFA allocates funding across the entire state of Idaho, with the goal of promoting community-wide commitment to prevent and end homelessness. Programs in Idaho work to quickly re-house homeless individuals and families while minimizing the trauma and dislocation they have experienced, promoting access to mainstream resources and programs, and encouraging self-sufficiency. IHFA’s Homelessness Programs team manages statewide efforts to this end, including the administration of Coordinated Entry </w:t>
      </w:r>
      <w:r w:rsidR="61B9C72E" w:rsidRPr="787E070B">
        <w:rPr>
          <w:rFonts w:cs="Arial"/>
          <w:sz w:val="24"/>
          <w:szCs w:val="24"/>
        </w:rPr>
        <w:t xml:space="preserve">(CE) </w:t>
      </w:r>
      <w:r w:rsidRPr="787E070B">
        <w:rPr>
          <w:rFonts w:cs="Arial"/>
          <w:sz w:val="24"/>
          <w:szCs w:val="24"/>
        </w:rPr>
        <w:t xml:space="preserve">and </w:t>
      </w:r>
      <w:r w:rsidR="7813A317" w:rsidRPr="787E070B">
        <w:rPr>
          <w:rFonts w:cs="Arial"/>
          <w:sz w:val="24"/>
          <w:szCs w:val="24"/>
        </w:rPr>
        <w:t>the Homeless Management Information System (</w:t>
      </w:r>
      <w:r w:rsidRPr="787E070B">
        <w:rPr>
          <w:rFonts w:cs="Arial"/>
          <w:sz w:val="24"/>
          <w:szCs w:val="24"/>
        </w:rPr>
        <w:t>HMIS</w:t>
      </w:r>
      <w:r w:rsidR="5D9781EB" w:rsidRPr="787E070B">
        <w:rPr>
          <w:rFonts w:cs="Arial"/>
          <w:sz w:val="24"/>
          <w:szCs w:val="24"/>
        </w:rPr>
        <w:t>)</w:t>
      </w:r>
      <w:r w:rsidRPr="787E070B">
        <w:rPr>
          <w:rFonts w:cs="Arial"/>
          <w:sz w:val="24"/>
          <w:szCs w:val="24"/>
        </w:rPr>
        <w:t xml:space="preserve"> in addition to CoC and ESG</w:t>
      </w:r>
      <w:r w:rsidR="3E90185F" w:rsidRPr="787E070B">
        <w:rPr>
          <w:rFonts w:cs="Arial"/>
          <w:sz w:val="24"/>
          <w:szCs w:val="24"/>
        </w:rPr>
        <w:t xml:space="preserve"> grants</w:t>
      </w:r>
      <w:r w:rsidRPr="787E070B">
        <w:rPr>
          <w:rFonts w:cs="Arial"/>
          <w:sz w:val="24"/>
          <w:szCs w:val="24"/>
        </w:rPr>
        <w:t xml:space="preserve">. </w:t>
      </w:r>
    </w:p>
    <w:p w14:paraId="207A7B1F" w14:textId="15D21048" w:rsidR="00A30FB4" w:rsidRPr="00294BD0" w:rsidRDefault="00A30FB4" w:rsidP="002E1FA6">
      <w:pPr>
        <w:spacing w:beforeAutospacing="1" w:afterAutospacing="1"/>
        <w:jc w:val="both"/>
        <w:rPr>
          <w:rFonts w:cs="Arial"/>
          <w:sz w:val="24"/>
          <w:szCs w:val="24"/>
        </w:rPr>
      </w:pPr>
      <w:r w:rsidRPr="00294BD0">
        <w:rPr>
          <w:rFonts w:cs="Arial"/>
          <w:sz w:val="24"/>
          <w:szCs w:val="24"/>
        </w:rPr>
        <w:t>The recipient hosts biannual housing roundtables to facilitate communication and build strong partnerships among housing stakeholders, including representatives from public and private agencies, as well as business and civic leaders. Input gained in these public forums is utilized when developing policies, performance standards, and program evaluation. Information is also utilized to modify the allocation structure of ESG funding among eligible activities.</w:t>
      </w:r>
    </w:p>
    <w:p w14:paraId="09D4D025" w14:textId="77777777" w:rsidR="002E1FA6" w:rsidRDefault="00A30FB4" w:rsidP="002E1FA6">
      <w:pPr>
        <w:spacing w:beforeAutospacing="1" w:afterAutospacing="1"/>
        <w:jc w:val="both"/>
        <w:rPr>
          <w:rFonts w:cs="Arial"/>
          <w:sz w:val="24"/>
          <w:szCs w:val="24"/>
        </w:rPr>
      </w:pPr>
      <w:r w:rsidRPr="787E070B">
        <w:rPr>
          <w:rFonts w:cs="Arial"/>
          <w:sz w:val="24"/>
          <w:szCs w:val="24"/>
        </w:rPr>
        <w:t xml:space="preserve">To support efforts to address the needs of homeless persons and persons at risk of homelessness, subrecipients that receive ESG and CoC funding are required to use a Coordinated Entry </w:t>
      </w:r>
      <w:r w:rsidR="6332A3FB" w:rsidRPr="787E070B">
        <w:rPr>
          <w:rFonts w:cs="Arial"/>
          <w:sz w:val="24"/>
          <w:szCs w:val="24"/>
        </w:rPr>
        <w:t xml:space="preserve">(CE) </w:t>
      </w:r>
      <w:r w:rsidRPr="787E070B">
        <w:rPr>
          <w:rFonts w:cs="Arial"/>
          <w:sz w:val="24"/>
          <w:szCs w:val="24"/>
        </w:rPr>
        <w:t xml:space="preserve">system for housing prioritization. </w:t>
      </w:r>
      <w:r w:rsidR="4FB34515" w:rsidRPr="787E070B">
        <w:rPr>
          <w:rFonts w:cs="Arial"/>
          <w:sz w:val="24"/>
          <w:szCs w:val="24"/>
        </w:rPr>
        <w:t>CE</w:t>
      </w:r>
      <w:r w:rsidRPr="787E070B">
        <w:rPr>
          <w:rFonts w:cs="Arial"/>
          <w:sz w:val="24"/>
          <w:szCs w:val="24"/>
        </w:rPr>
        <w:t xml:space="preserve"> utilizes Access Points to administer assessments, and it is through this system that individuals and families are prioritized. To address the needs of </w:t>
      </w:r>
      <w:r w:rsidRPr="787E070B">
        <w:rPr>
          <w:rFonts w:cs="Arial"/>
          <w:sz w:val="24"/>
          <w:szCs w:val="24"/>
        </w:rPr>
        <w:lastRenderedPageBreak/>
        <w:t>chronically homeless individuals and families with children, housing prioritization includes length of time homeless and children in the household as prioritization factors. Further refinement includes the prioritizing groups including veterans, survivors of domestic violence, youth, and households with a person age 62+.</w:t>
      </w:r>
    </w:p>
    <w:p w14:paraId="19D150CE" w14:textId="4441E146" w:rsidR="00A30FB4" w:rsidRPr="00294BD0" w:rsidRDefault="00A30FB4" w:rsidP="002E1FA6">
      <w:pPr>
        <w:spacing w:beforeAutospacing="1" w:afterAutospacing="1"/>
        <w:jc w:val="both"/>
        <w:rPr>
          <w:rFonts w:cs="Arial"/>
          <w:sz w:val="24"/>
          <w:szCs w:val="24"/>
        </w:rPr>
      </w:pPr>
      <w:r w:rsidRPr="787E070B">
        <w:rPr>
          <w:rFonts w:cs="Arial"/>
          <w:sz w:val="24"/>
          <w:szCs w:val="24"/>
        </w:rPr>
        <w:t>The</w:t>
      </w:r>
      <w:r w:rsidR="5EA9F997" w:rsidRPr="787E070B">
        <w:rPr>
          <w:rFonts w:cs="Arial"/>
          <w:sz w:val="24"/>
          <w:szCs w:val="24"/>
        </w:rPr>
        <w:t xml:space="preserve"> Housing Idaho Collaborative (HIC) </w:t>
      </w:r>
      <w:r w:rsidRPr="787E070B">
        <w:rPr>
          <w:rFonts w:cs="Arial"/>
          <w:sz w:val="24"/>
          <w:szCs w:val="24"/>
        </w:rPr>
        <w:t>has several committees that help guide work and ensure resources are maximized. The Guiding Idaho Committee develops policies and procedures, which are adopted into th</w:t>
      </w:r>
      <w:r w:rsidR="25D03B86" w:rsidRPr="787E070B">
        <w:rPr>
          <w:rFonts w:cs="Arial"/>
          <w:sz w:val="24"/>
          <w:szCs w:val="24"/>
        </w:rPr>
        <w:t xml:space="preserve">e </w:t>
      </w:r>
      <w:r w:rsidRPr="787E070B">
        <w:rPr>
          <w:rFonts w:cs="Arial"/>
          <w:sz w:val="24"/>
          <w:szCs w:val="24"/>
        </w:rPr>
        <w:t>HIC</w:t>
      </w:r>
      <w:r w:rsidR="696EB309" w:rsidRPr="787E070B">
        <w:rPr>
          <w:rFonts w:cs="Arial"/>
          <w:sz w:val="24"/>
          <w:szCs w:val="24"/>
        </w:rPr>
        <w:t xml:space="preserve">’s </w:t>
      </w:r>
      <w:r w:rsidRPr="787E070B">
        <w:rPr>
          <w:rFonts w:cs="Arial"/>
          <w:sz w:val="24"/>
          <w:szCs w:val="24"/>
        </w:rPr>
        <w:t>Governance Charter. Such work ensures the ESG operates in an effective manner to meet the goals and strategies adopted.</w:t>
      </w:r>
    </w:p>
    <w:p w14:paraId="527C9092" w14:textId="47969625" w:rsidR="00A30FB4" w:rsidRPr="00294BD0" w:rsidRDefault="00A30FB4" w:rsidP="002E1FA6">
      <w:pPr>
        <w:spacing w:beforeAutospacing="1" w:afterAutospacing="1"/>
        <w:jc w:val="both"/>
        <w:rPr>
          <w:rFonts w:cs="Arial"/>
          <w:sz w:val="24"/>
          <w:szCs w:val="24"/>
        </w:rPr>
      </w:pPr>
      <w:r w:rsidRPr="00294BD0">
        <w:rPr>
          <w:rFonts w:cs="Arial"/>
          <w:sz w:val="24"/>
          <w:szCs w:val="24"/>
        </w:rPr>
        <w:t>The Informing Idaho Committee evaluates outcomes of projects and activities assisted by ESG funds. The committee works in conjunction with the recipient, who serves as the HMIS lead agency, on projects involving HMIS and other data sources within the HIC to provide a comprehensive picture of clients, services provided, and unmet needs, and coordinates requirements for the statewide HMIS. Data collection, reporting, and evaluation involves HUD funded programs, other federal partners including Veteran Affairs and Health &amp; Human Services, faith-based organizations and nonprofit agencies not participating in HMIS.</w:t>
      </w:r>
    </w:p>
    <w:p w14:paraId="75B9210A" w14:textId="7D19FB16" w:rsidR="00A30FB4" w:rsidRPr="00294BD0" w:rsidRDefault="00A30FB4" w:rsidP="002E1FA6">
      <w:pPr>
        <w:spacing w:beforeAutospacing="1" w:afterAutospacing="1"/>
        <w:jc w:val="both"/>
        <w:rPr>
          <w:rFonts w:cs="Arial"/>
          <w:sz w:val="24"/>
          <w:szCs w:val="24"/>
        </w:rPr>
      </w:pPr>
      <w:r w:rsidRPr="787E070B">
        <w:rPr>
          <w:rFonts w:cs="Arial"/>
          <w:sz w:val="24"/>
          <w:szCs w:val="24"/>
        </w:rPr>
        <w:t>Six Regional Coalitions from the BoS CoC are comprised of representatives from public and private agencies that address housing, health, social services, victim services, employment, and education needs of low-income, homeless, and special needs populations. These geographically diverse coalitions each have a voting representative on the HIC Board and meet regularly to assess the homeless housing and supportive service gaps in their region, providing for the timely dissemination of information to a diverse set of service providers.</w:t>
      </w:r>
    </w:p>
    <w:p w14:paraId="5A357963" w14:textId="58F68285" w:rsidR="00A30FB4" w:rsidRPr="00294BD0" w:rsidRDefault="00A30FB4" w:rsidP="002E1FA6">
      <w:pPr>
        <w:jc w:val="both"/>
        <w:rPr>
          <w:b/>
          <w:bCs/>
          <w:sz w:val="24"/>
          <w:szCs w:val="24"/>
        </w:rPr>
      </w:pPr>
      <w:r w:rsidRPr="787E070B">
        <w:rPr>
          <w:b/>
          <w:bCs/>
          <w:sz w:val="24"/>
          <w:szCs w:val="24"/>
        </w:rPr>
        <w:t>Describe consultation with the Continuum(s) of Care that serves the State in determining how to allocate ESG funds, develop performance standards for and evaluate outcomes of projects and activities assisted by ESG funds, and develop funding, policies and procedures for the operation and administration of HMIS</w:t>
      </w:r>
      <w:r w:rsidR="47BFB09B" w:rsidRPr="787E070B">
        <w:rPr>
          <w:b/>
          <w:bCs/>
          <w:sz w:val="24"/>
          <w:szCs w:val="24"/>
        </w:rPr>
        <w:t>.</w:t>
      </w:r>
    </w:p>
    <w:p w14:paraId="77313929" w14:textId="3CD53C65" w:rsidR="00A30FB4" w:rsidRPr="00294BD0" w:rsidRDefault="00A30FB4" w:rsidP="002E1FA6">
      <w:pPr>
        <w:spacing w:beforeAutospacing="1" w:afterAutospacing="1"/>
        <w:jc w:val="both"/>
        <w:rPr>
          <w:rFonts w:cs="Arial"/>
          <w:sz w:val="24"/>
          <w:szCs w:val="24"/>
        </w:rPr>
      </w:pPr>
      <w:r w:rsidRPr="787E070B">
        <w:rPr>
          <w:rFonts w:cs="Arial"/>
          <w:sz w:val="24"/>
          <w:szCs w:val="24"/>
        </w:rPr>
        <w:t>The State of Idaho has two Continuum of Care (CoC) organizations: one for Boise City/Ada County, which represents one region, and</w:t>
      </w:r>
      <w:r w:rsidR="6A441E54" w:rsidRPr="787E070B">
        <w:rPr>
          <w:rFonts w:cs="Arial"/>
          <w:sz w:val="24"/>
          <w:szCs w:val="24"/>
        </w:rPr>
        <w:t xml:space="preserve"> is called Our Path Home, and</w:t>
      </w:r>
      <w:r w:rsidRPr="787E070B">
        <w:rPr>
          <w:rFonts w:cs="Arial"/>
          <w:sz w:val="24"/>
          <w:szCs w:val="24"/>
        </w:rPr>
        <w:t xml:space="preserve"> a second for the Balance of State (BoS), which represents six regions</w:t>
      </w:r>
      <w:r w:rsidR="2EBF61A0" w:rsidRPr="787E070B">
        <w:rPr>
          <w:rFonts w:cs="Arial"/>
          <w:sz w:val="24"/>
          <w:szCs w:val="24"/>
        </w:rPr>
        <w:t xml:space="preserve"> and is called </w:t>
      </w:r>
      <w:r w:rsidRPr="787E070B">
        <w:rPr>
          <w:rFonts w:cs="Arial"/>
          <w:sz w:val="24"/>
          <w:szCs w:val="24"/>
        </w:rPr>
        <w:t>The House Idaho Collaborative (HIC)</w:t>
      </w:r>
      <w:r w:rsidR="21259696" w:rsidRPr="787E070B">
        <w:rPr>
          <w:rFonts w:cs="Arial"/>
          <w:sz w:val="24"/>
          <w:szCs w:val="24"/>
        </w:rPr>
        <w:t>. The Guiding Idaho Committee</w:t>
      </w:r>
      <w:r w:rsidRPr="787E070B">
        <w:rPr>
          <w:rFonts w:cs="Arial"/>
          <w:sz w:val="24"/>
          <w:szCs w:val="24"/>
        </w:rPr>
        <w:t xml:space="preserve"> serves as the governing body for the </w:t>
      </w:r>
      <w:r w:rsidR="7CD5B341" w:rsidRPr="098FA5AC">
        <w:rPr>
          <w:rFonts w:cs="Arial"/>
          <w:sz w:val="24"/>
          <w:szCs w:val="24"/>
        </w:rPr>
        <w:t>HI</w:t>
      </w:r>
      <w:r w:rsidR="540A24A8" w:rsidRPr="098FA5AC">
        <w:rPr>
          <w:rFonts w:cs="Arial"/>
          <w:sz w:val="24"/>
          <w:szCs w:val="24"/>
        </w:rPr>
        <w:t>C</w:t>
      </w:r>
      <w:r w:rsidRPr="787E070B">
        <w:rPr>
          <w:rFonts w:cs="Arial"/>
          <w:sz w:val="24"/>
          <w:szCs w:val="24"/>
        </w:rPr>
        <w:t xml:space="preserve">. The chair of the Boise City/Ada County CoC sits on the HIC board, and therefore, has a voice in statewide efforts to address the needs of homeless persons through ESG and CoC funding. The HIC also reserves seats on the board for individuals representing institutions and systems of care that may discharge persons into homelessness, such as healthcare, </w:t>
      </w:r>
      <w:r w:rsidR="4CF4B2EE" w:rsidRPr="787E070B">
        <w:rPr>
          <w:rFonts w:cs="Arial"/>
          <w:sz w:val="24"/>
          <w:szCs w:val="24"/>
        </w:rPr>
        <w:t>veteran affairs,</w:t>
      </w:r>
      <w:r w:rsidRPr="787E070B">
        <w:rPr>
          <w:rFonts w:cs="Arial"/>
          <w:sz w:val="24"/>
          <w:szCs w:val="24"/>
        </w:rPr>
        <w:t xml:space="preserve"> and corrections. Other board </w:t>
      </w:r>
      <w:r w:rsidRPr="787E070B">
        <w:rPr>
          <w:rFonts w:cs="Arial"/>
          <w:sz w:val="24"/>
          <w:szCs w:val="24"/>
        </w:rPr>
        <w:lastRenderedPageBreak/>
        <w:t>seats are reserved for individuals representing education,</w:t>
      </w:r>
      <w:r w:rsidR="58E79D76" w:rsidRPr="787E070B">
        <w:rPr>
          <w:rFonts w:cs="Arial"/>
          <w:sz w:val="24"/>
          <w:szCs w:val="24"/>
        </w:rPr>
        <w:t xml:space="preserve"> medical centers,</w:t>
      </w:r>
      <w:r w:rsidRPr="787E070B">
        <w:rPr>
          <w:rFonts w:cs="Arial"/>
          <w:sz w:val="24"/>
          <w:szCs w:val="24"/>
        </w:rPr>
        <w:t xml:space="preserve"> employment, commerce, and </w:t>
      </w:r>
      <w:r w:rsidR="3E7614B7" w:rsidRPr="787E070B">
        <w:rPr>
          <w:rFonts w:cs="Arial"/>
          <w:sz w:val="24"/>
          <w:szCs w:val="24"/>
        </w:rPr>
        <w:t>lived experience</w:t>
      </w:r>
      <w:r w:rsidRPr="787E070B">
        <w:rPr>
          <w:rFonts w:cs="Arial"/>
          <w:sz w:val="24"/>
          <w:szCs w:val="24"/>
        </w:rPr>
        <w:t xml:space="preserve"> </w:t>
      </w:r>
    </w:p>
    <w:p w14:paraId="3592D9AE" w14:textId="77777777" w:rsidR="00BD3B1F" w:rsidRDefault="00A30FB4" w:rsidP="002E1FA6">
      <w:pPr>
        <w:spacing w:beforeAutospacing="1" w:afterAutospacing="1"/>
        <w:jc w:val="both"/>
        <w:rPr>
          <w:rFonts w:cs="Arial"/>
          <w:sz w:val="24"/>
          <w:szCs w:val="24"/>
        </w:rPr>
      </w:pPr>
      <w:r w:rsidRPr="787E070B">
        <w:rPr>
          <w:rFonts w:cs="Arial"/>
          <w:sz w:val="24"/>
          <w:szCs w:val="24"/>
        </w:rPr>
        <w:t xml:space="preserve">Through the Idaho BoS CoC, </w:t>
      </w:r>
      <w:r w:rsidR="1D14B704" w:rsidRPr="787E070B">
        <w:rPr>
          <w:rFonts w:cs="Arial"/>
          <w:sz w:val="24"/>
          <w:szCs w:val="24"/>
        </w:rPr>
        <w:t>Guiding Idaho</w:t>
      </w:r>
      <w:r w:rsidRPr="787E070B">
        <w:rPr>
          <w:rFonts w:cs="Arial"/>
          <w:sz w:val="24"/>
          <w:szCs w:val="24"/>
        </w:rPr>
        <w:t xml:space="preserve"> and the recipient oversee the allocation of ESG funds, and work collaboratively on the development of policies, performance standards, and program evaluation. Subcommittees including </w:t>
      </w:r>
      <w:r w:rsidR="415398B3" w:rsidRPr="787E070B">
        <w:rPr>
          <w:rFonts w:cs="Arial"/>
          <w:sz w:val="24"/>
          <w:szCs w:val="24"/>
        </w:rPr>
        <w:t xml:space="preserve">Access Point Lived Experience Panel, and Youth Action Board </w:t>
      </w:r>
      <w:r w:rsidRPr="787E070B">
        <w:rPr>
          <w:rFonts w:cs="Arial"/>
          <w:sz w:val="24"/>
          <w:szCs w:val="24"/>
        </w:rPr>
        <w:t xml:space="preserve">support this governing structure, as their input ensures that scarce resources devoted to alleviating homelessness are maximized by filling identified gaps in service in communities throughout Idaho. </w:t>
      </w:r>
    </w:p>
    <w:p w14:paraId="507EB570" w14:textId="5DB5B6F6" w:rsidR="00A30FB4" w:rsidRPr="00294BD0" w:rsidRDefault="00A30FB4" w:rsidP="002E1FA6">
      <w:pPr>
        <w:spacing w:beforeAutospacing="1" w:afterAutospacing="1"/>
        <w:jc w:val="both"/>
        <w:rPr>
          <w:rFonts w:cs="Arial"/>
          <w:sz w:val="24"/>
          <w:szCs w:val="24"/>
        </w:rPr>
      </w:pPr>
      <w:r w:rsidRPr="787E070B">
        <w:rPr>
          <w:rFonts w:cs="Arial"/>
          <w:sz w:val="24"/>
          <w:szCs w:val="24"/>
        </w:rPr>
        <w:t>Using benchmarks derived from the System Performance Measures, the</w:t>
      </w:r>
      <w:r w:rsidR="1E29AD5D" w:rsidRPr="787E070B">
        <w:rPr>
          <w:rFonts w:cs="Arial"/>
          <w:sz w:val="24"/>
          <w:szCs w:val="24"/>
        </w:rPr>
        <w:t xml:space="preserve"> Informing and Housing Idaho</w:t>
      </w:r>
      <w:r w:rsidRPr="787E070B">
        <w:rPr>
          <w:rFonts w:cs="Arial"/>
          <w:sz w:val="24"/>
          <w:szCs w:val="24"/>
        </w:rPr>
        <w:t xml:space="preserve"> Committee</w:t>
      </w:r>
      <w:r w:rsidR="42CDC4B9" w:rsidRPr="787E070B">
        <w:rPr>
          <w:rFonts w:cs="Arial"/>
          <w:sz w:val="24"/>
          <w:szCs w:val="24"/>
        </w:rPr>
        <w:t>s</w:t>
      </w:r>
      <w:r w:rsidRPr="787E070B">
        <w:rPr>
          <w:rFonts w:cs="Arial"/>
          <w:sz w:val="24"/>
          <w:szCs w:val="24"/>
        </w:rPr>
        <w:t xml:space="preserve"> will develop performance standards for ESG-funded projects, helping the BoS determine what small steps can be taken to address homelessness issues throughout the state. T</w:t>
      </w:r>
      <w:r w:rsidR="597946EE" w:rsidRPr="787E070B">
        <w:rPr>
          <w:rFonts w:cs="Arial"/>
          <w:sz w:val="24"/>
          <w:szCs w:val="24"/>
        </w:rPr>
        <w:t>hese</w:t>
      </w:r>
      <w:r w:rsidRPr="787E070B">
        <w:rPr>
          <w:rFonts w:cs="Arial"/>
          <w:sz w:val="24"/>
          <w:szCs w:val="24"/>
        </w:rPr>
        <w:t xml:space="preserve"> committee</w:t>
      </w:r>
      <w:r w:rsidR="74E1CB79" w:rsidRPr="787E070B">
        <w:rPr>
          <w:rFonts w:cs="Arial"/>
          <w:sz w:val="24"/>
          <w:szCs w:val="24"/>
        </w:rPr>
        <w:t>s</w:t>
      </w:r>
      <w:r w:rsidRPr="787E070B">
        <w:rPr>
          <w:rFonts w:cs="Arial"/>
          <w:sz w:val="24"/>
          <w:szCs w:val="24"/>
        </w:rPr>
        <w:t xml:space="preserve"> ha</w:t>
      </w:r>
      <w:r w:rsidR="20ED2BD3" w:rsidRPr="787E070B">
        <w:rPr>
          <w:rFonts w:cs="Arial"/>
          <w:sz w:val="24"/>
          <w:szCs w:val="24"/>
        </w:rPr>
        <w:t>ve</w:t>
      </w:r>
      <w:r w:rsidRPr="787E070B">
        <w:rPr>
          <w:rFonts w:cs="Arial"/>
          <w:sz w:val="24"/>
          <w:szCs w:val="24"/>
        </w:rPr>
        <w:t xml:space="preserve"> established several areas on which to focus their work, including methods for identifying those most at risk for becoming homeless for the first time and developing outreach and engagement strategies to reach those who are not currently connected to the BoS’s system of providers.</w:t>
      </w:r>
    </w:p>
    <w:p w14:paraId="3D8C1520" w14:textId="77777777" w:rsidR="00A41B7E" w:rsidRDefault="00A41B7E" w:rsidP="00A41B7E">
      <w:pPr>
        <w:spacing w:after="0"/>
        <w:rPr>
          <w:rFonts w:cs="Arial"/>
        </w:rPr>
      </w:pPr>
    </w:p>
    <w:p w14:paraId="45882986" w14:textId="222BFBF1" w:rsidR="00320486" w:rsidRDefault="00320486" w:rsidP="00320486">
      <w:pPr>
        <w:rPr>
          <w:rFonts w:cs="Calibri"/>
          <w:b/>
          <w:bCs/>
          <w:color w:val="000000" w:themeColor="text1"/>
          <w:sz w:val="24"/>
          <w:szCs w:val="24"/>
        </w:rPr>
      </w:pPr>
      <w:r w:rsidRPr="787E070B">
        <w:rPr>
          <w:rFonts w:cs="Calibri"/>
          <w:b/>
          <w:bCs/>
          <w:color w:val="000000" w:themeColor="text1"/>
          <w:sz w:val="24"/>
          <w:szCs w:val="24"/>
        </w:rPr>
        <w:t>2.</w:t>
      </w:r>
      <w:r>
        <w:tab/>
      </w:r>
      <w:bookmarkStart w:id="6" w:name="_Hlk194663210"/>
      <w:r w:rsidRPr="787E070B">
        <w:rPr>
          <w:rFonts w:cs="Calibri"/>
          <w:b/>
          <w:bCs/>
          <w:color w:val="000000" w:themeColor="text1"/>
          <w:sz w:val="24"/>
          <w:szCs w:val="24"/>
        </w:rPr>
        <w:t>Describe Agencies, groups, organizations and others who participated in the process and describe the jurisdictions consultations with housing, social service agencies and other entities</w:t>
      </w:r>
      <w:r w:rsidR="5C9E1967" w:rsidRPr="787E070B">
        <w:rPr>
          <w:rFonts w:cs="Calibri"/>
          <w:b/>
          <w:bCs/>
          <w:color w:val="000000" w:themeColor="text1"/>
          <w:sz w:val="24"/>
          <w:szCs w:val="24"/>
        </w:rPr>
        <w:t>.</w:t>
      </w:r>
      <w:bookmarkEnd w:id="6"/>
    </w:p>
    <w:p w14:paraId="139CCF2C" w14:textId="6668DB9D" w:rsidR="0046576F" w:rsidRPr="0046576F" w:rsidRDefault="0046576F" w:rsidP="00320486">
      <w:pPr>
        <w:rPr>
          <w:rFonts w:cs="Calibri"/>
          <w:color w:val="000000" w:themeColor="text1"/>
        </w:rPr>
      </w:pPr>
      <w:r w:rsidRPr="0046576F">
        <w:rPr>
          <w:rFonts w:cs="Calibri"/>
          <w:color w:val="000000" w:themeColor="text1"/>
          <w:sz w:val="24"/>
          <w:szCs w:val="24"/>
        </w:rPr>
        <w:t xml:space="preserve">See Unique Appendices for additional organizations invited to participate in the consultation process. </w:t>
      </w:r>
    </w:p>
    <w:tbl>
      <w:tblPr>
        <w:tblW w:w="9360" w:type="dxa"/>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09"/>
        <w:gridCol w:w="2080"/>
        <w:gridCol w:w="1567"/>
        <w:gridCol w:w="3704"/>
      </w:tblGrid>
      <w:tr w:rsidR="00276A22" w:rsidRPr="00937FD9" w14:paraId="44057C71"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214F0391" w14:textId="77777777" w:rsidR="00276A22" w:rsidRPr="00937FD9" w:rsidRDefault="00276A22" w:rsidP="00A3758B">
            <w:pPr>
              <w:rPr>
                <w:rFonts w:cs="Calibri"/>
              </w:rPr>
            </w:pPr>
            <w:r w:rsidRPr="00937FD9">
              <w:rPr>
                <w:rFonts w:cs="Calibri"/>
                <w:b/>
                <w:bCs/>
              </w:rPr>
              <w:t>Agency/Group/Organization</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6F48A25F" w14:textId="77777777" w:rsidR="00276A22" w:rsidRPr="00937FD9" w:rsidRDefault="00276A22" w:rsidP="00A3758B">
            <w:pPr>
              <w:rPr>
                <w:rFonts w:cs="Calibri"/>
              </w:rPr>
            </w:pPr>
            <w:r w:rsidRPr="00937FD9">
              <w:rPr>
                <w:rFonts w:cs="Calibri"/>
                <w:b/>
                <w:bCs/>
              </w:rPr>
              <w:t>Agency/Group/Organization Type</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508A0867" w14:textId="77777777" w:rsidR="00276A22" w:rsidRPr="00937FD9" w:rsidRDefault="00276A22" w:rsidP="00A3758B">
            <w:pPr>
              <w:rPr>
                <w:rFonts w:cs="Calibri"/>
              </w:rPr>
            </w:pPr>
            <w:r w:rsidRPr="00937FD9">
              <w:rPr>
                <w:rFonts w:cs="Calibri"/>
                <w:b/>
                <w:bCs/>
              </w:rPr>
              <w:t>What section of the Plan was addressed by Consultation?</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5A7134DA" w14:textId="77777777" w:rsidR="00276A22" w:rsidRPr="00937FD9" w:rsidRDefault="00276A22" w:rsidP="00A3758B">
            <w:pPr>
              <w:rPr>
                <w:rFonts w:cs="Calibri"/>
              </w:rPr>
            </w:pPr>
            <w:r w:rsidRPr="00937FD9">
              <w:rPr>
                <w:rFonts w:cs="Calibri"/>
                <w:b/>
                <w:bCs/>
              </w:rPr>
              <w:t>How was the Agency/Group/Organization consulted and what are the anticipated outcomes of the consultation or areas for improved coordination?</w:t>
            </w:r>
          </w:p>
        </w:tc>
      </w:tr>
      <w:tr w:rsidR="00276A22" w:rsidRPr="00937FD9" w14:paraId="2DA5B513"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2183CE73" w14:textId="77777777" w:rsidR="00276A22" w:rsidRPr="00937FD9" w:rsidRDefault="00276A22" w:rsidP="00A3758B">
            <w:pPr>
              <w:spacing w:line="240" w:lineRule="auto"/>
              <w:rPr>
                <w:rFonts w:cs="Calibri"/>
              </w:rPr>
            </w:pPr>
            <w:r w:rsidRPr="00937FD9">
              <w:rPr>
                <w:rFonts w:cs="Calibri"/>
              </w:rPr>
              <w:t>1.Altura (EDD)</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5893CB9F" w14:textId="77777777" w:rsidR="00276A22" w:rsidRPr="00937FD9" w:rsidRDefault="00276A22" w:rsidP="00A3758B">
            <w:pPr>
              <w:spacing w:line="240" w:lineRule="auto"/>
              <w:rPr>
                <w:rFonts w:cs="Calibri"/>
              </w:rPr>
            </w:pPr>
            <w:r w:rsidRPr="00937FD9">
              <w:rPr>
                <w:rFonts w:cs="Calibri"/>
              </w:rPr>
              <w:t xml:space="preserve">Services – </w:t>
            </w:r>
            <w:proofErr w:type="gramStart"/>
            <w:r w:rsidRPr="00937FD9">
              <w:rPr>
                <w:rFonts w:cs="Calibri"/>
              </w:rPr>
              <w:t>Employment;</w:t>
            </w:r>
            <w:proofErr w:type="gramEnd"/>
          </w:p>
          <w:p w14:paraId="38F7754B" w14:textId="77777777" w:rsidR="00276A22" w:rsidRPr="00937FD9" w:rsidRDefault="00276A22" w:rsidP="00A3758B">
            <w:pPr>
              <w:spacing w:line="240" w:lineRule="auto"/>
              <w:rPr>
                <w:rFonts w:cs="Calibri"/>
              </w:rPr>
            </w:pPr>
            <w:r w:rsidRPr="00937FD9">
              <w:rPr>
                <w:rFonts w:cs="Calibri"/>
              </w:rPr>
              <w:t xml:space="preserve">Services – </w:t>
            </w:r>
            <w:proofErr w:type="gramStart"/>
            <w:r w:rsidRPr="00937FD9">
              <w:rPr>
                <w:rFonts w:cs="Calibri"/>
              </w:rPr>
              <w:t>education;</w:t>
            </w:r>
            <w:proofErr w:type="gramEnd"/>
          </w:p>
          <w:p w14:paraId="085B929E" w14:textId="77777777" w:rsidR="00276A22" w:rsidRPr="00937FD9" w:rsidRDefault="00276A22" w:rsidP="00A3758B">
            <w:pPr>
              <w:spacing w:line="240" w:lineRule="auto"/>
              <w:rPr>
                <w:rFonts w:cs="Calibri"/>
              </w:rPr>
            </w:pPr>
            <w:r w:rsidRPr="00937FD9">
              <w:rPr>
                <w:rFonts w:cs="Calibri"/>
              </w:rPr>
              <w:t xml:space="preserve">Business </w:t>
            </w:r>
            <w:proofErr w:type="gramStart"/>
            <w:r w:rsidRPr="00937FD9">
              <w:rPr>
                <w:rFonts w:cs="Calibri"/>
              </w:rPr>
              <w:t>Leaders;</w:t>
            </w:r>
            <w:proofErr w:type="gramEnd"/>
          </w:p>
          <w:p w14:paraId="3C147F1B" w14:textId="77777777" w:rsidR="00276A22" w:rsidRPr="00937FD9" w:rsidRDefault="00276A22" w:rsidP="00A3758B">
            <w:pPr>
              <w:spacing w:line="240" w:lineRule="auto"/>
              <w:rPr>
                <w:rFonts w:cs="Calibri"/>
              </w:rPr>
            </w:pPr>
            <w:r w:rsidRPr="00937FD9">
              <w:rPr>
                <w:rFonts w:cs="Calibri"/>
              </w:rPr>
              <w:t>Civic Leaders</w:t>
            </w:r>
          </w:p>
          <w:p w14:paraId="795D0220" w14:textId="77777777" w:rsidR="00276A22" w:rsidRPr="00937FD9" w:rsidRDefault="00276A22" w:rsidP="00A3758B">
            <w:pPr>
              <w:spacing w:line="240" w:lineRule="auto"/>
              <w:rPr>
                <w:rFonts w:cs="Calibri"/>
              </w:rPr>
            </w:pP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0027853B" w14:textId="77777777" w:rsidR="00276A22" w:rsidRPr="00937FD9" w:rsidRDefault="00276A22" w:rsidP="00A3758B">
            <w:pPr>
              <w:spacing w:line="240" w:lineRule="auto"/>
              <w:rPr>
                <w:rFonts w:cs="Calibri"/>
              </w:rPr>
            </w:pPr>
            <w:r w:rsidRPr="00937FD9">
              <w:rPr>
                <w:rFonts w:cs="Calibri"/>
              </w:rPr>
              <w:lastRenderedPageBreak/>
              <w:t xml:space="preserve">Housing Needs Assessment; Homeless Needs – chronically homeless, families with children; Homelessness </w:t>
            </w:r>
            <w:r w:rsidRPr="00937FD9">
              <w:rPr>
                <w:rFonts w:cs="Calibri"/>
              </w:rPr>
              <w:lastRenderedPageBreak/>
              <w:t>Strategy; Non-homeless special needs; Market Analysis; non-housing community development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072EE8CD" w14:textId="77777777" w:rsidR="00276A22" w:rsidRPr="00937FD9" w:rsidRDefault="00276A22" w:rsidP="00A3758B">
            <w:pPr>
              <w:spacing w:line="240" w:lineRule="auto"/>
              <w:rPr>
                <w:rFonts w:cs="Calibri"/>
              </w:rPr>
            </w:pPr>
            <w:r w:rsidRPr="00937FD9">
              <w:rPr>
                <w:rFonts w:cs="Calibri"/>
              </w:rPr>
              <w:lastRenderedPageBreak/>
              <w:t xml:space="preserve">Participated in targeted stakeholder interview to discuss community development, affordable housing, infrastructure and public transportation needs, workforce needs, and economic development. </w:t>
            </w:r>
          </w:p>
        </w:tc>
      </w:tr>
      <w:tr w:rsidR="00276A22" w:rsidRPr="00937FD9" w14:paraId="27CECED0"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49206F63" w14:textId="77777777" w:rsidR="00276A22" w:rsidRPr="00937FD9" w:rsidRDefault="00276A22" w:rsidP="00A3758B">
            <w:pPr>
              <w:spacing w:line="240" w:lineRule="auto"/>
              <w:rPr>
                <w:rFonts w:cs="Calibri"/>
              </w:rPr>
            </w:pPr>
            <w:r w:rsidRPr="00937FD9">
              <w:rPr>
                <w:rFonts w:cs="Calibri"/>
              </w:rPr>
              <w:t>2.CEDA (EDD)</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7C5DFD38" w14:textId="77777777" w:rsidR="00276A22" w:rsidRPr="00937FD9" w:rsidRDefault="00276A22" w:rsidP="00A3758B">
            <w:pPr>
              <w:spacing w:line="240" w:lineRule="auto"/>
              <w:rPr>
                <w:rFonts w:cs="Calibri"/>
              </w:rPr>
            </w:pPr>
            <w:r w:rsidRPr="00937FD9">
              <w:rPr>
                <w:rFonts w:cs="Calibri"/>
              </w:rPr>
              <w:t xml:space="preserve">Services – Elderly </w:t>
            </w:r>
            <w:proofErr w:type="gramStart"/>
            <w:r w:rsidRPr="00937FD9">
              <w:rPr>
                <w:rFonts w:cs="Calibri"/>
              </w:rPr>
              <w:t>persons;</w:t>
            </w:r>
            <w:proofErr w:type="gramEnd"/>
          </w:p>
          <w:p w14:paraId="3CC8442E" w14:textId="77777777" w:rsidR="00276A22" w:rsidRPr="00937FD9" w:rsidRDefault="00276A22" w:rsidP="00A3758B">
            <w:pPr>
              <w:spacing w:line="240" w:lineRule="auto"/>
              <w:rPr>
                <w:rFonts w:cs="Calibri"/>
              </w:rPr>
            </w:pPr>
            <w:r w:rsidRPr="00937FD9">
              <w:rPr>
                <w:rFonts w:cs="Calibri"/>
              </w:rPr>
              <w:t xml:space="preserve">Services – </w:t>
            </w:r>
            <w:proofErr w:type="gramStart"/>
            <w:r w:rsidRPr="00937FD9">
              <w:rPr>
                <w:rFonts w:cs="Calibri"/>
              </w:rPr>
              <w:t>Education;</w:t>
            </w:r>
            <w:proofErr w:type="gramEnd"/>
          </w:p>
          <w:p w14:paraId="69EC75D8" w14:textId="77777777" w:rsidR="00276A22" w:rsidRPr="00937FD9" w:rsidRDefault="00276A22" w:rsidP="00A3758B">
            <w:pPr>
              <w:spacing w:line="240" w:lineRule="auto"/>
              <w:rPr>
                <w:rFonts w:cs="Calibri"/>
              </w:rPr>
            </w:pPr>
            <w:r w:rsidRPr="00937FD9">
              <w:rPr>
                <w:rFonts w:cs="Calibri"/>
              </w:rPr>
              <w:t xml:space="preserve">Services – </w:t>
            </w:r>
            <w:proofErr w:type="gramStart"/>
            <w:r w:rsidRPr="00937FD9">
              <w:rPr>
                <w:rFonts w:cs="Calibri"/>
              </w:rPr>
              <w:t>employment;</w:t>
            </w:r>
            <w:proofErr w:type="gramEnd"/>
          </w:p>
          <w:p w14:paraId="2F71D735" w14:textId="77777777" w:rsidR="00276A22" w:rsidRPr="00937FD9" w:rsidRDefault="00276A22" w:rsidP="00A3758B">
            <w:pPr>
              <w:spacing w:line="240" w:lineRule="auto"/>
              <w:rPr>
                <w:rFonts w:cs="Calibri"/>
              </w:rPr>
            </w:pPr>
            <w:r w:rsidRPr="00937FD9">
              <w:rPr>
                <w:rFonts w:cs="Calibri"/>
              </w:rPr>
              <w:t>Business Leaders</w:t>
            </w:r>
          </w:p>
          <w:p w14:paraId="3D59C9C5" w14:textId="77777777" w:rsidR="00276A22" w:rsidRPr="00937FD9" w:rsidRDefault="00276A22" w:rsidP="00A3758B">
            <w:pPr>
              <w:spacing w:line="240" w:lineRule="auto"/>
              <w:rPr>
                <w:rFonts w:cs="Calibri"/>
              </w:rPr>
            </w:pPr>
            <w:r w:rsidRPr="00937FD9">
              <w:rPr>
                <w:rFonts w:cs="Calibri"/>
              </w:rPr>
              <w:t>Civic Leaders</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389E6947" w14:textId="77777777" w:rsidR="00276A22" w:rsidRPr="00937FD9" w:rsidRDefault="00276A22" w:rsidP="00A3758B">
            <w:pPr>
              <w:keepNext/>
              <w:widowControl w:val="0"/>
              <w:spacing w:after="0" w:line="240" w:lineRule="auto"/>
              <w:rPr>
                <w:rFonts w:cs="Calibri"/>
              </w:rPr>
            </w:pPr>
            <w:r w:rsidRPr="00937FD9">
              <w:rPr>
                <w:rFonts w:cs="Calibri"/>
              </w:rPr>
              <w:t>Housing Needs Assessment; Non-homeless special needs; non-housing community development strategy; Market Analysis; Public Housing Needs; Anti-poverty strategy</w:t>
            </w:r>
          </w:p>
          <w:p w14:paraId="3039930C" w14:textId="77777777" w:rsidR="00276A22" w:rsidRPr="00937FD9" w:rsidRDefault="00276A22" w:rsidP="00A3758B">
            <w:pPr>
              <w:spacing w:line="240" w:lineRule="auto"/>
              <w:rPr>
                <w:rFonts w:cs="Calibri"/>
              </w:rPr>
            </w:pP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2BCB0D6D" w14:textId="77777777" w:rsidR="00276A22" w:rsidRPr="00937FD9" w:rsidRDefault="00276A22" w:rsidP="00A3758B">
            <w:pPr>
              <w:spacing w:line="240" w:lineRule="auto"/>
              <w:rPr>
                <w:rFonts w:cs="Calibri"/>
              </w:rPr>
            </w:pPr>
            <w:r w:rsidRPr="00937FD9">
              <w:rPr>
                <w:rFonts w:cs="Calibri"/>
              </w:rPr>
              <w:t>Participated in a targeted stakeholder interview to discuss economic development needs, workforce training, housing, and community development needs.</w:t>
            </w:r>
          </w:p>
        </w:tc>
      </w:tr>
      <w:tr w:rsidR="00276A22" w:rsidRPr="00937FD9" w14:paraId="405A065C"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43E0CE97" w14:textId="77777777" w:rsidR="00276A22" w:rsidRPr="00937FD9" w:rsidRDefault="00276A22" w:rsidP="00A3758B">
            <w:pPr>
              <w:spacing w:line="240" w:lineRule="auto"/>
              <w:rPr>
                <w:rFonts w:cs="Calibri"/>
              </w:rPr>
            </w:pPr>
            <w:r w:rsidRPr="00937FD9">
              <w:rPr>
                <w:rFonts w:cs="Calibri"/>
              </w:rPr>
              <w:t>3.City of McCall</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22624635" w14:textId="77777777" w:rsidR="00276A22" w:rsidRPr="00937FD9" w:rsidRDefault="00276A22" w:rsidP="00A3758B">
            <w:pPr>
              <w:spacing w:line="240" w:lineRule="auto"/>
              <w:rPr>
                <w:rFonts w:cs="Calibri"/>
              </w:rPr>
            </w:pPr>
            <w:r w:rsidRPr="00937FD9">
              <w:rPr>
                <w:rFonts w:cs="Calibri"/>
              </w:rPr>
              <w:t>Other govt - local</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2F2C2071" w14:textId="77777777" w:rsidR="00276A22" w:rsidRPr="00937FD9" w:rsidRDefault="00276A22" w:rsidP="00A3758B">
            <w:pPr>
              <w:keepNext/>
              <w:widowControl w:val="0"/>
              <w:spacing w:after="0" w:line="240" w:lineRule="auto"/>
              <w:rPr>
                <w:rFonts w:cs="Calibri"/>
              </w:rPr>
            </w:pPr>
            <w:r w:rsidRPr="00937FD9">
              <w:rPr>
                <w:rFonts w:cs="Calibri"/>
              </w:rPr>
              <w:t>Housing Needs Assessment; Non-homeless special needs; non-housing community development strategy; Public Housing Needs; Anti-poverty strategy; Market Analysis.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4AE569F0" w14:textId="77777777" w:rsidR="00276A22" w:rsidRPr="00937FD9" w:rsidRDefault="00276A22" w:rsidP="00A3758B">
            <w:pPr>
              <w:spacing w:line="240" w:lineRule="auto"/>
              <w:rPr>
                <w:rFonts w:cs="Calibri"/>
              </w:rPr>
            </w:pPr>
            <w:r w:rsidRPr="00937FD9">
              <w:rPr>
                <w:rFonts w:cs="Calibri"/>
              </w:rPr>
              <w:t>Participated in targeted stakeholder interview.</w:t>
            </w:r>
          </w:p>
          <w:p w14:paraId="5E1E02B0" w14:textId="77777777" w:rsidR="00276A22" w:rsidRPr="00937FD9" w:rsidRDefault="00276A22" w:rsidP="00A3758B">
            <w:pPr>
              <w:keepNext/>
              <w:widowControl w:val="0"/>
              <w:spacing w:after="0" w:line="240" w:lineRule="auto"/>
              <w:rPr>
                <w:rFonts w:cs="Calibri"/>
              </w:rPr>
            </w:pPr>
            <w:r w:rsidRPr="00937FD9">
              <w:rPr>
                <w:rFonts w:cs="Calibri"/>
              </w:rPr>
              <w:t xml:space="preserve">Agency was invited to participate in the stakeholder survey and to attend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5AFB9908"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58B2CAE4" w14:textId="77777777" w:rsidR="00276A22" w:rsidRPr="00937FD9" w:rsidRDefault="00276A22" w:rsidP="00A3758B">
            <w:pPr>
              <w:spacing w:line="240" w:lineRule="auto"/>
              <w:rPr>
                <w:rFonts w:cs="Calibri"/>
              </w:rPr>
            </w:pPr>
            <w:r w:rsidRPr="00937FD9">
              <w:rPr>
                <w:rFonts w:cs="Calibri"/>
              </w:rPr>
              <w:t>4.City of Sandpoint</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5E1E7401" w14:textId="77777777" w:rsidR="00276A22" w:rsidRPr="00937FD9" w:rsidRDefault="00276A22" w:rsidP="00A3758B">
            <w:pPr>
              <w:spacing w:line="240" w:lineRule="auto"/>
              <w:rPr>
                <w:rFonts w:cs="Calibri"/>
              </w:rPr>
            </w:pPr>
            <w:r w:rsidRPr="00937FD9">
              <w:rPr>
                <w:rFonts w:cs="Calibri"/>
              </w:rPr>
              <w:t>Other govt - local</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515528C6" w14:textId="77777777" w:rsidR="00276A22" w:rsidRPr="00937FD9" w:rsidRDefault="00276A22" w:rsidP="00A3758B">
            <w:pPr>
              <w:keepNext/>
              <w:widowControl w:val="0"/>
              <w:spacing w:after="0" w:line="240" w:lineRule="auto"/>
              <w:rPr>
                <w:rFonts w:cs="Calibri"/>
              </w:rPr>
            </w:pPr>
            <w:r w:rsidRPr="00937FD9">
              <w:rPr>
                <w:rFonts w:cs="Calibri"/>
              </w:rPr>
              <w:t xml:space="preserve">Housing Needs Assessment; Non-homeless special needs; non-housing community development strategy; </w:t>
            </w:r>
            <w:r w:rsidRPr="00937FD9">
              <w:rPr>
                <w:rFonts w:cs="Calibri"/>
              </w:rPr>
              <w:lastRenderedPageBreak/>
              <w:t>Public Housing Needs; Anti-poverty strategy; Market Analysis.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4B0A08AC" w14:textId="77777777" w:rsidR="00276A22" w:rsidRPr="00937FD9" w:rsidRDefault="00276A22" w:rsidP="00A3758B">
            <w:pPr>
              <w:spacing w:line="240" w:lineRule="auto"/>
              <w:rPr>
                <w:rFonts w:cs="Calibri"/>
              </w:rPr>
            </w:pPr>
            <w:r w:rsidRPr="00937FD9">
              <w:rPr>
                <w:rFonts w:cs="Calibri"/>
              </w:rPr>
              <w:lastRenderedPageBreak/>
              <w:t xml:space="preserve">Participated in targeted stakeholder interview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3F678A17"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012AACFD" w14:textId="77777777" w:rsidR="00276A22" w:rsidRPr="00937FD9" w:rsidRDefault="00276A22" w:rsidP="00A3758B">
            <w:pPr>
              <w:spacing w:line="240" w:lineRule="auto"/>
              <w:rPr>
                <w:rFonts w:cs="Calibri"/>
              </w:rPr>
            </w:pPr>
            <w:r w:rsidRPr="00937FD9">
              <w:rPr>
                <w:rFonts w:cs="Calibri"/>
              </w:rPr>
              <w:t>5.Panhandle Area Council (EDD)</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5D3B1AA9" w14:textId="77777777" w:rsidR="00276A22" w:rsidRPr="00937FD9" w:rsidRDefault="00276A22" w:rsidP="00A3758B">
            <w:pPr>
              <w:spacing w:line="240" w:lineRule="auto"/>
              <w:rPr>
                <w:rFonts w:cs="Calibri"/>
              </w:rPr>
            </w:pPr>
            <w:r w:rsidRPr="00937FD9">
              <w:rPr>
                <w:rFonts w:cs="Calibri"/>
              </w:rPr>
              <w:t xml:space="preserve">Services – </w:t>
            </w:r>
            <w:proofErr w:type="gramStart"/>
            <w:r w:rsidRPr="00937FD9">
              <w:rPr>
                <w:rFonts w:cs="Calibri"/>
              </w:rPr>
              <w:t>Education;</w:t>
            </w:r>
            <w:proofErr w:type="gramEnd"/>
          </w:p>
          <w:p w14:paraId="3F7A9A71" w14:textId="77777777" w:rsidR="00276A22" w:rsidRPr="00937FD9" w:rsidRDefault="00276A22" w:rsidP="00A3758B">
            <w:pPr>
              <w:spacing w:line="240" w:lineRule="auto"/>
              <w:rPr>
                <w:rFonts w:cs="Calibri"/>
              </w:rPr>
            </w:pPr>
            <w:r w:rsidRPr="00937FD9">
              <w:rPr>
                <w:rFonts w:cs="Calibri"/>
              </w:rPr>
              <w:t>Regional Organization</w:t>
            </w:r>
          </w:p>
          <w:p w14:paraId="5D83A635" w14:textId="77777777" w:rsidR="00276A22" w:rsidRPr="00937FD9" w:rsidRDefault="00276A22" w:rsidP="00A3758B">
            <w:pPr>
              <w:spacing w:line="240" w:lineRule="auto"/>
              <w:rPr>
                <w:rFonts w:cs="Calibri"/>
              </w:rPr>
            </w:pPr>
            <w:r w:rsidRPr="00937FD9">
              <w:rPr>
                <w:rFonts w:cs="Calibri"/>
              </w:rPr>
              <w:t>Business Leaders</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1E8C3232" w14:textId="77777777" w:rsidR="00276A22" w:rsidRPr="00937FD9" w:rsidRDefault="00276A22" w:rsidP="00A3758B">
            <w:pPr>
              <w:keepNext/>
              <w:widowControl w:val="0"/>
              <w:spacing w:after="0" w:line="240" w:lineRule="auto"/>
              <w:rPr>
                <w:rFonts w:cs="Calibri"/>
              </w:rPr>
            </w:pPr>
            <w:r w:rsidRPr="00937FD9">
              <w:rPr>
                <w:rFonts w:cs="Calibri"/>
              </w:rPr>
              <w:t>Housing Needs Assessment; Non-homeless special needs; non-housing community development strategy; Market Analysis; Public Housing Needs; Anti-poverty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036E7412" w14:textId="77777777" w:rsidR="00276A22" w:rsidRPr="00937FD9" w:rsidRDefault="00276A22" w:rsidP="00A3758B">
            <w:pPr>
              <w:spacing w:line="240" w:lineRule="auto"/>
              <w:rPr>
                <w:rFonts w:cs="Calibri"/>
              </w:rPr>
            </w:pPr>
            <w:r w:rsidRPr="00937FD9">
              <w:rPr>
                <w:rFonts w:cs="Calibri"/>
              </w:rPr>
              <w:t>Participated in targeted stakeholder interview to discuss housing affordability, infrastructure and economic development needs, and workforce training.</w:t>
            </w:r>
          </w:p>
        </w:tc>
      </w:tr>
      <w:tr w:rsidR="00276A22" w:rsidRPr="00937FD9" w14:paraId="5E7AB439"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02296D00" w14:textId="77777777" w:rsidR="00276A22" w:rsidRPr="00937FD9" w:rsidRDefault="00276A22" w:rsidP="00A3758B">
            <w:pPr>
              <w:spacing w:line="240" w:lineRule="auto"/>
              <w:rPr>
                <w:rFonts w:cs="Calibri"/>
              </w:rPr>
            </w:pPr>
            <w:r w:rsidRPr="00937FD9">
              <w:rPr>
                <w:rFonts w:cs="Calibri"/>
              </w:rPr>
              <w:t>6.RIVDA (EDD)</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0A4747E9" w14:textId="77777777" w:rsidR="00276A22" w:rsidRPr="00937FD9" w:rsidRDefault="00276A22" w:rsidP="00A3758B">
            <w:pPr>
              <w:spacing w:line="240" w:lineRule="auto"/>
              <w:rPr>
                <w:rFonts w:cs="Calibri"/>
              </w:rPr>
            </w:pPr>
            <w:r w:rsidRPr="00937FD9">
              <w:rPr>
                <w:rFonts w:cs="Calibri"/>
              </w:rPr>
              <w:t xml:space="preserve">Services – </w:t>
            </w:r>
            <w:proofErr w:type="gramStart"/>
            <w:r w:rsidRPr="00937FD9">
              <w:rPr>
                <w:rFonts w:cs="Calibri"/>
              </w:rPr>
              <w:t>Education;</w:t>
            </w:r>
            <w:proofErr w:type="gramEnd"/>
          </w:p>
          <w:p w14:paraId="6B9E5DE2" w14:textId="77777777" w:rsidR="00276A22" w:rsidRPr="00937FD9" w:rsidRDefault="00276A22" w:rsidP="00A3758B">
            <w:pPr>
              <w:spacing w:line="240" w:lineRule="auto"/>
              <w:rPr>
                <w:rFonts w:cs="Calibri"/>
              </w:rPr>
            </w:pPr>
            <w:r w:rsidRPr="00937FD9">
              <w:rPr>
                <w:rFonts w:cs="Calibri"/>
              </w:rPr>
              <w:t>Regional Organization</w:t>
            </w:r>
          </w:p>
          <w:p w14:paraId="35848654" w14:textId="77777777" w:rsidR="00276A22" w:rsidRPr="00937FD9" w:rsidRDefault="00276A22" w:rsidP="00A3758B">
            <w:pPr>
              <w:spacing w:line="240" w:lineRule="auto"/>
              <w:rPr>
                <w:rFonts w:cs="Calibri"/>
              </w:rPr>
            </w:pPr>
            <w:r w:rsidRPr="00937FD9">
              <w:rPr>
                <w:rFonts w:cs="Calibri"/>
              </w:rPr>
              <w:t>Business Leaders</w:t>
            </w:r>
          </w:p>
          <w:p w14:paraId="382209FA" w14:textId="77777777" w:rsidR="00276A22" w:rsidRPr="00937FD9" w:rsidRDefault="00276A22" w:rsidP="00A3758B">
            <w:pPr>
              <w:spacing w:line="240" w:lineRule="auto"/>
              <w:rPr>
                <w:rFonts w:cs="Calibri"/>
              </w:rPr>
            </w:pP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0CE57DE9" w14:textId="77777777" w:rsidR="00276A22" w:rsidRPr="00937FD9" w:rsidRDefault="00276A22" w:rsidP="00A3758B">
            <w:pPr>
              <w:keepNext/>
              <w:widowControl w:val="0"/>
              <w:spacing w:after="0" w:line="240" w:lineRule="auto"/>
              <w:rPr>
                <w:rFonts w:cs="Calibri"/>
              </w:rPr>
            </w:pPr>
            <w:r w:rsidRPr="00937FD9">
              <w:rPr>
                <w:rFonts w:cs="Calibri"/>
              </w:rPr>
              <w:t>Housing Needs Assessment; Non-homeless special needs; non-housing community development strategy; Market Analysis; Public Housing Needs; Anti-poverty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5B1C0F10" w14:textId="77777777" w:rsidR="00276A22" w:rsidRPr="00937FD9" w:rsidRDefault="00276A22" w:rsidP="00A3758B">
            <w:pPr>
              <w:spacing w:line="240" w:lineRule="auto"/>
              <w:rPr>
                <w:rFonts w:cs="Calibri"/>
              </w:rPr>
            </w:pPr>
            <w:r w:rsidRPr="00937FD9">
              <w:rPr>
                <w:rFonts w:cs="Calibri"/>
              </w:rPr>
              <w:t xml:space="preserve">Participated in targeted stakeholder interview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468A3AD5"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2460DFA0" w14:textId="77777777" w:rsidR="00276A22" w:rsidRPr="00937FD9" w:rsidRDefault="00276A22" w:rsidP="00A3758B">
            <w:pPr>
              <w:spacing w:line="240" w:lineRule="auto"/>
              <w:rPr>
                <w:rFonts w:cs="Calibri"/>
              </w:rPr>
            </w:pPr>
            <w:r w:rsidRPr="00937FD9">
              <w:rPr>
                <w:rFonts w:cs="Calibri"/>
              </w:rPr>
              <w:t>7.SICOG (EDD)</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336FCCB3" w14:textId="77777777" w:rsidR="00276A22" w:rsidRPr="00937FD9" w:rsidRDefault="00276A22" w:rsidP="00A3758B">
            <w:pPr>
              <w:spacing w:line="240" w:lineRule="auto"/>
              <w:rPr>
                <w:rFonts w:cs="Calibri"/>
              </w:rPr>
            </w:pPr>
            <w:r w:rsidRPr="00937FD9">
              <w:rPr>
                <w:rFonts w:cs="Calibri"/>
              </w:rPr>
              <w:t xml:space="preserve">Services – elderly </w:t>
            </w:r>
            <w:proofErr w:type="gramStart"/>
            <w:r w:rsidRPr="00937FD9">
              <w:rPr>
                <w:rFonts w:cs="Calibri"/>
              </w:rPr>
              <w:t>persons;</w:t>
            </w:r>
            <w:proofErr w:type="gramEnd"/>
            <w:r w:rsidRPr="00937FD9">
              <w:rPr>
                <w:rFonts w:cs="Calibri"/>
              </w:rPr>
              <w:t xml:space="preserve"> </w:t>
            </w:r>
          </w:p>
          <w:p w14:paraId="630CC51E" w14:textId="77777777" w:rsidR="00276A22" w:rsidRPr="00937FD9" w:rsidRDefault="00276A22" w:rsidP="00A3758B">
            <w:pPr>
              <w:spacing w:line="240" w:lineRule="auto"/>
              <w:rPr>
                <w:rFonts w:cs="Calibri"/>
              </w:rPr>
            </w:pPr>
            <w:r w:rsidRPr="00937FD9">
              <w:rPr>
                <w:rFonts w:cs="Calibri"/>
              </w:rPr>
              <w:t>Services – Education</w:t>
            </w:r>
          </w:p>
          <w:p w14:paraId="7BF304C9" w14:textId="77777777" w:rsidR="00276A22" w:rsidRPr="00937FD9" w:rsidRDefault="00276A22" w:rsidP="00A3758B">
            <w:pPr>
              <w:spacing w:line="240" w:lineRule="auto"/>
              <w:rPr>
                <w:rFonts w:cs="Calibri"/>
              </w:rPr>
            </w:pPr>
            <w:r w:rsidRPr="00937FD9">
              <w:rPr>
                <w:rFonts w:cs="Calibri"/>
              </w:rPr>
              <w:t>Services – Employment</w:t>
            </w:r>
          </w:p>
          <w:p w14:paraId="350B7AA5" w14:textId="77777777" w:rsidR="00276A22" w:rsidRPr="00937FD9" w:rsidRDefault="00276A22" w:rsidP="00A3758B">
            <w:pPr>
              <w:spacing w:line="240" w:lineRule="auto"/>
              <w:rPr>
                <w:rFonts w:cs="Calibri"/>
              </w:rPr>
            </w:pPr>
            <w:r w:rsidRPr="00937FD9">
              <w:rPr>
                <w:rFonts w:cs="Calibri"/>
              </w:rPr>
              <w:t>Regional Organization</w:t>
            </w:r>
          </w:p>
          <w:p w14:paraId="146CEDE0" w14:textId="77777777" w:rsidR="00276A22" w:rsidRPr="00937FD9" w:rsidRDefault="00276A22" w:rsidP="00A3758B">
            <w:pPr>
              <w:spacing w:line="240" w:lineRule="auto"/>
              <w:rPr>
                <w:rFonts w:cs="Calibri"/>
              </w:rPr>
            </w:pPr>
            <w:r w:rsidRPr="00937FD9">
              <w:rPr>
                <w:rFonts w:cs="Calibri"/>
              </w:rPr>
              <w:t>Planning Organization</w:t>
            </w:r>
          </w:p>
          <w:p w14:paraId="31EE6D5D" w14:textId="77777777" w:rsidR="00276A22" w:rsidRPr="00937FD9" w:rsidRDefault="00276A22" w:rsidP="00A3758B">
            <w:pPr>
              <w:spacing w:line="240" w:lineRule="auto"/>
              <w:rPr>
                <w:rFonts w:cs="Calibri"/>
              </w:rPr>
            </w:pPr>
            <w:r w:rsidRPr="00937FD9">
              <w:rPr>
                <w:rFonts w:cs="Calibri"/>
              </w:rPr>
              <w:lastRenderedPageBreak/>
              <w:t>Civic Leaders</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22E64B19" w14:textId="797CAEF7" w:rsidR="00276A22" w:rsidRPr="00937FD9" w:rsidRDefault="00276A22" w:rsidP="00A3758B">
            <w:pPr>
              <w:keepNext/>
              <w:widowControl w:val="0"/>
              <w:spacing w:after="0" w:line="240" w:lineRule="auto"/>
              <w:rPr>
                <w:rFonts w:cs="Calibri"/>
              </w:rPr>
            </w:pPr>
            <w:r w:rsidRPr="00937FD9">
              <w:rPr>
                <w:rFonts w:cs="Calibri"/>
              </w:rPr>
              <w:lastRenderedPageBreak/>
              <w:t xml:space="preserve">Housing Needs Assessment; Non-homeless special needs; non-housing community development strategy; Market Analysis; Public Housing Needs; Anti-poverty </w:t>
            </w:r>
            <w:r w:rsidRPr="00937FD9">
              <w:rPr>
                <w:rFonts w:cs="Calibri"/>
              </w:rPr>
              <w:lastRenderedPageBreak/>
              <w:t>strategy; Homelessness ne</w:t>
            </w:r>
            <w:r w:rsidR="0046576F">
              <w:rPr>
                <w:rFonts w:cs="Calibri"/>
              </w:rPr>
              <w:t>e</w:t>
            </w:r>
            <w:r w:rsidRPr="00937FD9">
              <w:rPr>
                <w:rFonts w:cs="Calibri"/>
              </w:rPr>
              <w:t>ds – chronically homeless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77DBCE67" w14:textId="77777777" w:rsidR="00276A22" w:rsidRPr="00937FD9" w:rsidRDefault="00276A22" w:rsidP="00A3758B">
            <w:pPr>
              <w:spacing w:line="240" w:lineRule="auto"/>
              <w:rPr>
                <w:rFonts w:cs="Calibri"/>
              </w:rPr>
            </w:pPr>
            <w:r w:rsidRPr="00937FD9">
              <w:rPr>
                <w:rFonts w:cs="Calibri"/>
              </w:rPr>
              <w:lastRenderedPageBreak/>
              <w:t>Participated in targeted stakeholder interview</w:t>
            </w:r>
          </w:p>
        </w:tc>
      </w:tr>
      <w:tr w:rsidR="00276A22" w:rsidRPr="00937FD9" w14:paraId="01D41F76"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3FFFC922" w14:textId="77777777" w:rsidR="00276A22" w:rsidRPr="00937FD9" w:rsidRDefault="00276A22" w:rsidP="00A3758B">
            <w:pPr>
              <w:spacing w:line="240" w:lineRule="auto"/>
              <w:rPr>
                <w:rFonts w:cs="Calibri"/>
              </w:rPr>
            </w:pPr>
            <w:r w:rsidRPr="00937FD9">
              <w:rPr>
                <w:rFonts w:cs="Calibri"/>
              </w:rPr>
              <w:t>8.Advocates Against Family Violence</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52D3E954" w14:textId="77777777" w:rsidR="00276A22" w:rsidRPr="00937FD9" w:rsidRDefault="00276A22" w:rsidP="00A3758B">
            <w:pPr>
              <w:spacing w:line="240" w:lineRule="auto"/>
              <w:rPr>
                <w:rFonts w:cs="Calibri"/>
              </w:rPr>
            </w:pPr>
            <w:r w:rsidRPr="00937FD9">
              <w:rPr>
                <w:rFonts w:cs="Calibri"/>
              </w:rPr>
              <w:t xml:space="preserve">Services – </w:t>
            </w:r>
            <w:proofErr w:type="gramStart"/>
            <w:r w:rsidRPr="00937FD9">
              <w:rPr>
                <w:rFonts w:cs="Calibri"/>
              </w:rPr>
              <w:t>children;</w:t>
            </w:r>
            <w:proofErr w:type="gramEnd"/>
          </w:p>
          <w:p w14:paraId="26AB1C66" w14:textId="77777777" w:rsidR="00276A22" w:rsidRPr="00937FD9" w:rsidRDefault="00276A22" w:rsidP="00A3758B">
            <w:pPr>
              <w:spacing w:line="240" w:lineRule="auto"/>
              <w:rPr>
                <w:rFonts w:cs="Calibri"/>
              </w:rPr>
            </w:pPr>
            <w:r w:rsidRPr="00937FD9">
              <w:rPr>
                <w:rFonts w:cs="Calibri"/>
              </w:rPr>
              <w:t>Services – victims of domestic violence</w:t>
            </w:r>
          </w:p>
          <w:p w14:paraId="0D6D4994" w14:textId="77777777" w:rsidR="00276A22" w:rsidRPr="00937FD9" w:rsidRDefault="00276A22" w:rsidP="00A3758B">
            <w:pPr>
              <w:spacing w:line="240" w:lineRule="auto"/>
              <w:rPr>
                <w:rFonts w:cs="Calibri"/>
              </w:rPr>
            </w:pPr>
            <w:r w:rsidRPr="00937FD9">
              <w:rPr>
                <w:rFonts w:cs="Calibri"/>
              </w:rPr>
              <w:t>Services – health</w:t>
            </w:r>
          </w:p>
          <w:p w14:paraId="34AC620C" w14:textId="77777777" w:rsidR="00276A22" w:rsidRPr="00937FD9" w:rsidRDefault="00276A22" w:rsidP="00A3758B">
            <w:pPr>
              <w:spacing w:line="240" w:lineRule="auto"/>
              <w:rPr>
                <w:rFonts w:cs="Calibri"/>
              </w:rPr>
            </w:pPr>
            <w:r w:rsidRPr="00937FD9">
              <w:rPr>
                <w:rFonts w:cs="Calibri"/>
              </w:rPr>
              <w:t>Services - education</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543A3170" w14:textId="77777777" w:rsidR="00276A22" w:rsidRPr="00937FD9" w:rsidRDefault="00276A22" w:rsidP="00A3758B">
            <w:pPr>
              <w:spacing w:line="240" w:lineRule="auto"/>
              <w:rPr>
                <w:rFonts w:cs="Calibri"/>
              </w:rPr>
            </w:pPr>
            <w:r w:rsidRPr="00937FD9">
              <w:rPr>
                <w:rFonts w:cs="Calibri"/>
              </w:rPr>
              <w:t>Housing Need Assessment; Homeless needs – families with children; non-homeless special needs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57876FAD" w14:textId="77777777" w:rsidR="00276A22" w:rsidRPr="00937FD9"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409D6472"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41C79CA7" w14:textId="77777777" w:rsidR="00276A22" w:rsidRPr="00937FD9" w:rsidRDefault="00276A22" w:rsidP="00A3758B">
            <w:pPr>
              <w:spacing w:line="240" w:lineRule="auto"/>
              <w:rPr>
                <w:rFonts w:cs="Calibri"/>
              </w:rPr>
            </w:pPr>
            <w:r w:rsidRPr="00937FD9">
              <w:rPr>
                <w:rFonts w:cs="Calibri"/>
              </w:rPr>
              <w:t>9.Aid for Friends</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21D181A6" w14:textId="77777777" w:rsidR="00276A22" w:rsidRPr="00937FD9" w:rsidRDefault="00276A22" w:rsidP="00A3758B">
            <w:pPr>
              <w:spacing w:line="240" w:lineRule="auto"/>
              <w:rPr>
                <w:rFonts w:cs="Calibri"/>
              </w:rPr>
            </w:pPr>
            <w:r w:rsidRPr="00937FD9">
              <w:rPr>
                <w:rFonts w:cs="Calibri"/>
              </w:rPr>
              <w:t>Housing</w:t>
            </w:r>
          </w:p>
          <w:p w14:paraId="7D6772A6" w14:textId="77777777" w:rsidR="00276A22" w:rsidRPr="00937FD9" w:rsidRDefault="00276A22" w:rsidP="00A3758B">
            <w:pPr>
              <w:spacing w:line="240" w:lineRule="auto"/>
              <w:rPr>
                <w:rFonts w:cs="Calibri"/>
              </w:rPr>
            </w:pPr>
            <w:r w:rsidRPr="00937FD9">
              <w:rPr>
                <w:rFonts w:cs="Calibri"/>
              </w:rPr>
              <w:t>Services – children, homeless, education, health</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04A65719" w14:textId="77777777" w:rsidR="00276A22" w:rsidRPr="00937FD9" w:rsidRDefault="00276A22" w:rsidP="00A3758B">
            <w:pPr>
              <w:spacing w:line="240" w:lineRule="auto"/>
              <w:rPr>
                <w:rFonts w:cs="Calibri"/>
              </w:rPr>
            </w:pPr>
            <w:r w:rsidRPr="00937FD9">
              <w:rPr>
                <w:rFonts w:cs="Calibri"/>
              </w:rPr>
              <w:t>Housing needs assessment; public housing needs; homeless needs – chronically homeless, families with children, veterans, unaccompanied youth; homelessness strategy; anti-poverty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7C68193E" w14:textId="77777777" w:rsidR="00276A22" w:rsidRPr="00937FD9" w:rsidRDefault="00276A22" w:rsidP="00A3758B">
            <w:pPr>
              <w:spacing w:line="240" w:lineRule="auto"/>
              <w:rPr>
                <w:rFonts w:cs="Calibri"/>
              </w:rPr>
            </w:pPr>
            <w:r w:rsidRPr="00937FD9">
              <w:rPr>
                <w:rFonts w:cs="Calibri"/>
              </w:rPr>
              <w:t xml:space="preserve">Participated in targeted stakeholder interview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5DF67B11"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71234C3E" w14:textId="77777777" w:rsidR="00276A22" w:rsidRPr="00937FD9" w:rsidRDefault="00276A22" w:rsidP="00A3758B">
            <w:pPr>
              <w:spacing w:line="240" w:lineRule="auto"/>
              <w:rPr>
                <w:rFonts w:cs="Calibri"/>
              </w:rPr>
            </w:pPr>
            <w:r w:rsidRPr="00937FD9">
              <w:rPr>
                <w:rFonts w:cs="Calibri"/>
              </w:rPr>
              <w:t>10.CATCH, Inc.</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7230D6C3" w14:textId="77777777" w:rsidR="00276A22" w:rsidRPr="00937FD9" w:rsidRDefault="00276A22" w:rsidP="00A3758B">
            <w:pPr>
              <w:spacing w:line="240" w:lineRule="auto"/>
              <w:rPr>
                <w:rFonts w:cs="Calibri"/>
              </w:rPr>
            </w:pPr>
            <w:r w:rsidRPr="00937FD9">
              <w:rPr>
                <w:rFonts w:cs="Calibri"/>
              </w:rPr>
              <w:t>Housing</w:t>
            </w:r>
          </w:p>
          <w:p w14:paraId="56ABFAF0" w14:textId="77777777" w:rsidR="00276A22" w:rsidRPr="00937FD9" w:rsidRDefault="00276A22" w:rsidP="00A3758B">
            <w:pPr>
              <w:spacing w:line="240" w:lineRule="auto"/>
              <w:rPr>
                <w:rFonts w:cs="Calibri"/>
              </w:rPr>
            </w:pPr>
            <w:r w:rsidRPr="00937FD9">
              <w:rPr>
                <w:rFonts w:cs="Calibri"/>
              </w:rPr>
              <w:t>Services – Homeless, health, education</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1EC6AC05" w14:textId="77777777" w:rsidR="00276A22" w:rsidRPr="00937FD9" w:rsidRDefault="00276A22" w:rsidP="00A3758B">
            <w:pPr>
              <w:spacing w:line="240" w:lineRule="auto"/>
              <w:rPr>
                <w:rFonts w:cs="Calibri"/>
              </w:rPr>
            </w:pPr>
            <w:r w:rsidRPr="00937FD9">
              <w:rPr>
                <w:rFonts w:cs="Calibri"/>
              </w:rPr>
              <w:t>Housing Needs assessment; Public Housing Needs; Homeless needs – families with children, chronically homeless, veterans, unaccompanied youth; homelessness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46C205B2" w14:textId="77777777" w:rsidR="00276A22" w:rsidRPr="00937FD9" w:rsidRDefault="00276A22" w:rsidP="00A3758B">
            <w:pPr>
              <w:spacing w:line="240" w:lineRule="auto"/>
              <w:rPr>
                <w:rFonts w:cs="Calibri"/>
              </w:rPr>
            </w:pPr>
            <w:r w:rsidRPr="00937FD9">
              <w:rPr>
                <w:rFonts w:cs="Calibri"/>
              </w:rPr>
              <w:t xml:space="preserve">Participated in targeted stakeholder interview to </w:t>
            </w:r>
            <w:r w:rsidRPr="00937FD9">
              <w:rPr>
                <w:rFonts w:cs="Calibri"/>
                <w:color w:val="000000" w:themeColor="text1"/>
              </w:rPr>
              <w:t>provide feedback around community needs, existing resources, and ways to address gaps for the State’s most vulnerable residents using HUD funds.</w:t>
            </w:r>
          </w:p>
          <w:p w14:paraId="1C615B41" w14:textId="77777777" w:rsidR="00276A22" w:rsidRPr="00937FD9" w:rsidRDefault="00276A22" w:rsidP="00A3758B">
            <w:pPr>
              <w:spacing w:line="240" w:lineRule="auto"/>
              <w:rPr>
                <w:rFonts w:cs="Calibri"/>
              </w:rPr>
            </w:pPr>
          </w:p>
        </w:tc>
      </w:tr>
      <w:tr w:rsidR="00276A22" w:rsidRPr="00937FD9" w14:paraId="36186651"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53DC2CB1" w14:textId="77777777" w:rsidR="00276A22" w:rsidRPr="00937FD9" w:rsidRDefault="00276A22" w:rsidP="00A3758B">
            <w:pPr>
              <w:spacing w:line="240" w:lineRule="auto"/>
              <w:rPr>
                <w:rFonts w:cs="Calibri"/>
              </w:rPr>
            </w:pPr>
            <w:r w:rsidRPr="00937FD9">
              <w:rPr>
                <w:rFonts w:cs="Calibri"/>
              </w:rPr>
              <w:lastRenderedPageBreak/>
              <w:t>11.Family Promise of the Palouse</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40AB6342" w14:textId="77777777" w:rsidR="00276A22" w:rsidRPr="00937FD9" w:rsidRDefault="00276A22" w:rsidP="00A3758B">
            <w:pPr>
              <w:spacing w:line="240" w:lineRule="auto"/>
              <w:rPr>
                <w:rFonts w:cs="Calibri"/>
              </w:rPr>
            </w:pPr>
            <w:r w:rsidRPr="00937FD9">
              <w:rPr>
                <w:rFonts w:cs="Calibri"/>
              </w:rPr>
              <w:t>Housing</w:t>
            </w:r>
          </w:p>
          <w:p w14:paraId="0A0BB678" w14:textId="77777777" w:rsidR="00276A22" w:rsidRPr="00937FD9" w:rsidRDefault="00276A22" w:rsidP="00A3758B">
            <w:pPr>
              <w:spacing w:line="240" w:lineRule="auto"/>
              <w:rPr>
                <w:rFonts w:cs="Calibri"/>
              </w:rPr>
            </w:pPr>
            <w:r w:rsidRPr="00937FD9">
              <w:rPr>
                <w:rFonts w:cs="Calibri"/>
              </w:rPr>
              <w:t>Services – children, homeless, health</w:t>
            </w:r>
          </w:p>
          <w:p w14:paraId="7E63C4C0" w14:textId="77777777" w:rsidR="00276A22" w:rsidRPr="00937FD9" w:rsidRDefault="00276A22" w:rsidP="00A3758B">
            <w:pPr>
              <w:spacing w:line="240" w:lineRule="auto"/>
              <w:rPr>
                <w:rFonts w:cs="Calibri"/>
              </w:rPr>
            </w:pP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547FEB91" w14:textId="77777777" w:rsidR="00276A22" w:rsidRPr="00937FD9" w:rsidRDefault="00276A22" w:rsidP="00A3758B">
            <w:pPr>
              <w:keepNext/>
              <w:widowControl w:val="0"/>
              <w:spacing w:after="0" w:line="240" w:lineRule="auto"/>
              <w:rPr>
                <w:rFonts w:cs="Calibri"/>
              </w:rPr>
            </w:pPr>
            <w:r w:rsidRPr="00937FD9">
              <w:rPr>
                <w:rFonts w:cs="Calibri"/>
              </w:rPr>
              <w:t>Housing Needs Assessment; Non-homeless special needs; non-housing community development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4A7CF038" w14:textId="77777777" w:rsidR="00276A22" w:rsidRPr="00937FD9"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04A42A9F"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611A0053" w14:textId="77777777" w:rsidR="00276A22" w:rsidRPr="00937FD9" w:rsidRDefault="00276A22" w:rsidP="00A3758B">
            <w:pPr>
              <w:spacing w:line="240" w:lineRule="auto"/>
              <w:rPr>
                <w:rFonts w:cs="Calibri"/>
              </w:rPr>
            </w:pPr>
            <w:r w:rsidRPr="00937FD9">
              <w:rPr>
                <w:rFonts w:cs="Calibri"/>
              </w:rPr>
              <w:t>12.Jesse Tree</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3D8B5442" w14:textId="77777777" w:rsidR="00276A22" w:rsidRPr="00937FD9" w:rsidRDefault="00276A22" w:rsidP="00A3758B">
            <w:pPr>
              <w:spacing w:line="240" w:lineRule="auto"/>
              <w:rPr>
                <w:rFonts w:cs="Calibri"/>
              </w:rPr>
            </w:pPr>
            <w:r w:rsidRPr="00937FD9">
              <w:rPr>
                <w:rFonts w:cs="Calibri"/>
              </w:rPr>
              <w:t>Housing</w:t>
            </w:r>
          </w:p>
          <w:p w14:paraId="252C353B" w14:textId="77777777" w:rsidR="00276A22" w:rsidRPr="00937FD9" w:rsidRDefault="00276A22" w:rsidP="00A3758B">
            <w:pPr>
              <w:spacing w:line="240" w:lineRule="auto"/>
              <w:rPr>
                <w:rFonts w:cs="Calibri"/>
              </w:rPr>
            </w:pPr>
            <w:r w:rsidRPr="00937FD9">
              <w:rPr>
                <w:rFonts w:cs="Calibri"/>
              </w:rPr>
              <w:t>Services – homeless, Fair Housing, education</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2C02D653" w14:textId="77777777" w:rsidR="00276A22" w:rsidRPr="00937FD9" w:rsidRDefault="00276A22" w:rsidP="00A3758B">
            <w:pPr>
              <w:spacing w:line="240" w:lineRule="auto"/>
              <w:rPr>
                <w:rFonts w:cs="Calibri"/>
              </w:rPr>
            </w:pPr>
            <w:r w:rsidRPr="00937FD9">
              <w:rPr>
                <w:rFonts w:cs="Calibri"/>
              </w:rPr>
              <w:t>Housing Need Assessment; Public Housing Needs; Homelessness strategy; non-homeless special needs; Market Analysis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03E50958" w14:textId="77777777" w:rsidR="00276A22" w:rsidRPr="00937FD9"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5FA94387"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2903CB56" w14:textId="77777777" w:rsidR="00276A22" w:rsidRPr="00937FD9" w:rsidRDefault="00276A22" w:rsidP="00A3758B">
            <w:pPr>
              <w:spacing w:line="240" w:lineRule="auto"/>
              <w:rPr>
                <w:rFonts w:cs="Calibri"/>
              </w:rPr>
            </w:pPr>
            <w:r w:rsidRPr="00937FD9">
              <w:rPr>
                <w:rFonts w:cs="Calibri"/>
              </w:rPr>
              <w:t>13.Safe Passage</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119C7737" w14:textId="77777777" w:rsidR="00276A22" w:rsidRPr="00937FD9" w:rsidRDefault="00276A22" w:rsidP="00A3758B">
            <w:pPr>
              <w:spacing w:line="240" w:lineRule="auto"/>
              <w:rPr>
                <w:rFonts w:cs="Calibri"/>
              </w:rPr>
            </w:pPr>
            <w:r w:rsidRPr="00937FD9">
              <w:rPr>
                <w:rFonts w:cs="Calibri"/>
              </w:rPr>
              <w:t>Housing</w:t>
            </w:r>
          </w:p>
          <w:p w14:paraId="3A962BB5" w14:textId="77777777" w:rsidR="00276A22" w:rsidRPr="00937FD9" w:rsidRDefault="00276A22" w:rsidP="00A3758B">
            <w:pPr>
              <w:spacing w:line="240" w:lineRule="auto"/>
              <w:rPr>
                <w:rFonts w:cs="Calibri"/>
              </w:rPr>
            </w:pPr>
            <w:r w:rsidRPr="00937FD9">
              <w:rPr>
                <w:rFonts w:cs="Calibri"/>
              </w:rPr>
              <w:t>Services – children; victims of domestic violence, health, education</w:t>
            </w:r>
          </w:p>
          <w:p w14:paraId="2E179778" w14:textId="77777777" w:rsidR="00276A22" w:rsidRPr="00937FD9" w:rsidRDefault="00276A22" w:rsidP="00A3758B">
            <w:pPr>
              <w:spacing w:line="240" w:lineRule="auto"/>
              <w:rPr>
                <w:rFonts w:cs="Calibri"/>
              </w:rPr>
            </w:pP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5A1AB2D4" w14:textId="77777777" w:rsidR="00276A22" w:rsidRPr="00937FD9" w:rsidRDefault="00276A22" w:rsidP="00A3758B">
            <w:pPr>
              <w:spacing w:line="240" w:lineRule="auto"/>
              <w:rPr>
                <w:rFonts w:cs="Calibri"/>
              </w:rPr>
            </w:pPr>
            <w:r w:rsidRPr="00937FD9">
              <w:rPr>
                <w:rFonts w:cs="Calibri"/>
              </w:rPr>
              <w:t xml:space="preserve">Housing Needs Assessment; non-homeless special needs; homeless needs – families with children, unaccompanied youth; homelessness strategy </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4D4B5FDB" w14:textId="77777777" w:rsidR="00276A22" w:rsidRPr="00937FD9" w:rsidRDefault="00276A22" w:rsidP="00A3758B">
            <w:pPr>
              <w:spacing w:line="240" w:lineRule="auto"/>
              <w:rPr>
                <w:rFonts w:cs="Calibri"/>
              </w:rPr>
            </w:pPr>
            <w:r w:rsidRPr="00937FD9">
              <w:rPr>
                <w:rFonts w:cs="Calibri"/>
              </w:rPr>
              <w:t>Participated in targeted stakeholder interview to discuss homelessness needs, domestic violence, and service needs in the community.</w:t>
            </w:r>
          </w:p>
        </w:tc>
      </w:tr>
      <w:tr w:rsidR="00276A22" w:rsidRPr="00937FD9" w14:paraId="4951CED0"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7B906C41" w14:textId="77777777" w:rsidR="00276A22" w:rsidRPr="00937FD9" w:rsidRDefault="00276A22" w:rsidP="00A3758B">
            <w:pPr>
              <w:spacing w:line="240" w:lineRule="auto"/>
              <w:rPr>
                <w:rFonts w:cs="Calibri"/>
              </w:rPr>
            </w:pPr>
            <w:r w:rsidRPr="00937FD9">
              <w:rPr>
                <w:rFonts w:cs="Calibri"/>
              </w:rPr>
              <w:t>14.Salvation Army Lewiston</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6E95EE20" w14:textId="77777777" w:rsidR="00276A22" w:rsidRPr="00937FD9" w:rsidRDefault="00276A22" w:rsidP="00A3758B">
            <w:pPr>
              <w:spacing w:line="240" w:lineRule="auto"/>
              <w:rPr>
                <w:rFonts w:cs="Calibri"/>
              </w:rPr>
            </w:pPr>
            <w:r w:rsidRPr="00937FD9">
              <w:rPr>
                <w:rFonts w:cs="Calibri"/>
              </w:rPr>
              <w:t>Services – children, elderly persons, persons with disabilities, homeless, health, education, employment</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08DD2CDA" w14:textId="77777777" w:rsidR="00276A22" w:rsidRPr="00937FD9" w:rsidRDefault="00276A22" w:rsidP="00A3758B">
            <w:pPr>
              <w:spacing w:line="240" w:lineRule="auto"/>
              <w:rPr>
                <w:rFonts w:cs="Calibri"/>
              </w:rPr>
            </w:pPr>
            <w:r w:rsidRPr="00937FD9">
              <w:rPr>
                <w:rFonts w:cs="Calibri"/>
              </w:rPr>
              <w:t>Housing Need Assessment; Public Housing Needs; Homelessness strategy; non-homeless special needs; Market Analysis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280E57FA" w14:textId="77777777" w:rsidR="00276A22" w:rsidRPr="00937FD9"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64EA2006"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6277D5DB" w14:textId="77777777" w:rsidR="00276A22" w:rsidRPr="00937FD9" w:rsidRDefault="00276A22" w:rsidP="00A3758B">
            <w:pPr>
              <w:spacing w:line="240" w:lineRule="auto"/>
              <w:rPr>
                <w:rFonts w:cs="Calibri"/>
              </w:rPr>
            </w:pPr>
            <w:r w:rsidRPr="00937FD9">
              <w:rPr>
                <w:rFonts w:cs="Calibri"/>
              </w:rPr>
              <w:t>15.Sojourners’ Alliance</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2A5419A9" w14:textId="77777777" w:rsidR="00276A22" w:rsidRPr="00937FD9" w:rsidRDefault="00276A22" w:rsidP="00A3758B">
            <w:pPr>
              <w:spacing w:line="240" w:lineRule="auto"/>
              <w:rPr>
                <w:rFonts w:cs="Calibri"/>
              </w:rPr>
            </w:pPr>
            <w:r w:rsidRPr="00937FD9">
              <w:rPr>
                <w:rFonts w:cs="Calibri"/>
              </w:rPr>
              <w:t>Housing</w:t>
            </w:r>
          </w:p>
          <w:p w14:paraId="77693FD5" w14:textId="77777777" w:rsidR="00276A22" w:rsidRPr="00937FD9" w:rsidRDefault="00276A22" w:rsidP="00A3758B">
            <w:pPr>
              <w:spacing w:line="240" w:lineRule="auto"/>
              <w:rPr>
                <w:rFonts w:cs="Calibri"/>
              </w:rPr>
            </w:pPr>
            <w:r w:rsidRPr="00937FD9">
              <w:rPr>
                <w:rFonts w:cs="Calibri"/>
              </w:rPr>
              <w:t>Services - homeless</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1BC2CD9C" w14:textId="77777777" w:rsidR="00276A22" w:rsidRPr="00937FD9" w:rsidRDefault="00276A22" w:rsidP="00A3758B">
            <w:pPr>
              <w:spacing w:line="240" w:lineRule="auto"/>
              <w:rPr>
                <w:rFonts w:cs="Calibri"/>
              </w:rPr>
            </w:pPr>
            <w:r w:rsidRPr="00937FD9">
              <w:rPr>
                <w:rFonts w:cs="Calibri"/>
              </w:rPr>
              <w:t xml:space="preserve">Housing Needs Assessment; public housing needs; homeless </w:t>
            </w:r>
            <w:r w:rsidRPr="00937FD9">
              <w:rPr>
                <w:rFonts w:cs="Calibri"/>
              </w:rPr>
              <w:lastRenderedPageBreak/>
              <w:t>needs – chronically homeless, families with children, veterans, unaccompanied youth; homelessness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1B569DA2" w14:textId="77777777" w:rsidR="00276A22" w:rsidRPr="00937FD9" w:rsidRDefault="00276A22" w:rsidP="00A3758B">
            <w:pPr>
              <w:spacing w:line="240" w:lineRule="auto"/>
              <w:rPr>
                <w:rFonts w:cs="Calibri"/>
              </w:rPr>
            </w:pPr>
            <w:r w:rsidRPr="00937FD9">
              <w:rPr>
                <w:rFonts w:cs="Calibri"/>
              </w:rPr>
              <w:lastRenderedPageBreak/>
              <w:t xml:space="preserve">Participated in targeted stakeholder interview to </w:t>
            </w:r>
            <w:r w:rsidRPr="00937FD9">
              <w:rPr>
                <w:rFonts w:cs="Calibri"/>
                <w:color w:val="000000" w:themeColor="text1"/>
              </w:rPr>
              <w:t xml:space="preserve">provide feedback around community needs, existing resources, and ways to address gaps for the </w:t>
            </w:r>
            <w:r w:rsidRPr="00937FD9">
              <w:rPr>
                <w:rFonts w:cs="Calibri"/>
                <w:color w:val="000000" w:themeColor="text1"/>
              </w:rPr>
              <w:lastRenderedPageBreak/>
              <w:t>State’s most vulnerable residents using HUD funds.</w:t>
            </w:r>
          </w:p>
        </w:tc>
      </w:tr>
      <w:tr w:rsidR="00276A22" w:rsidRPr="00937FD9" w14:paraId="45E9650C"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04DB6DA9" w14:textId="77777777" w:rsidR="00276A22" w:rsidRPr="00937FD9" w:rsidRDefault="00276A22" w:rsidP="00A3758B">
            <w:pPr>
              <w:spacing w:line="240" w:lineRule="auto"/>
              <w:rPr>
                <w:rFonts w:cs="Calibri"/>
              </w:rPr>
            </w:pPr>
            <w:r w:rsidRPr="00937FD9">
              <w:rPr>
                <w:rFonts w:cs="Calibri"/>
              </w:rPr>
              <w:lastRenderedPageBreak/>
              <w:t>16.St. Vincent de Paul</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710A99F3" w14:textId="77777777" w:rsidR="00276A22" w:rsidRPr="00937FD9" w:rsidRDefault="00276A22" w:rsidP="00A3758B">
            <w:pPr>
              <w:spacing w:line="240" w:lineRule="auto"/>
              <w:rPr>
                <w:rFonts w:cs="Calibri"/>
              </w:rPr>
            </w:pPr>
            <w:r w:rsidRPr="00937FD9">
              <w:rPr>
                <w:rFonts w:cs="Calibri"/>
              </w:rPr>
              <w:t>Housing</w:t>
            </w:r>
          </w:p>
          <w:p w14:paraId="3EC0E9E7" w14:textId="77777777" w:rsidR="00276A22" w:rsidRPr="00937FD9" w:rsidRDefault="00276A22" w:rsidP="00A3758B">
            <w:pPr>
              <w:spacing w:line="240" w:lineRule="auto"/>
              <w:rPr>
                <w:rFonts w:cs="Calibri"/>
              </w:rPr>
            </w:pPr>
            <w:r w:rsidRPr="00937FD9">
              <w:rPr>
                <w:rFonts w:cs="Calibri"/>
              </w:rPr>
              <w:t>Services – homeless, health</w:t>
            </w:r>
          </w:p>
          <w:p w14:paraId="09DA08AE" w14:textId="77777777" w:rsidR="00276A22" w:rsidRPr="00937FD9" w:rsidRDefault="00276A22" w:rsidP="00A3758B">
            <w:pPr>
              <w:spacing w:line="240" w:lineRule="auto"/>
              <w:rPr>
                <w:rFonts w:cs="Calibri"/>
              </w:rPr>
            </w:pP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0C8BB2D0" w14:textId="77777777" w:rsidR="00276A22" w:rsidRPr="00937FD9" w:rsidRDefault="00276A22" w:rsidP="00A3758B">
            <w:pPr>
              <w:spacing w:line="240" w:lineRule="auto"/>
              <w:rPr>
                <w:rFonts w:cs="Calibri"/>
              </w:rPr>
            </w:pPr>
            <w:r w:rsidRPr="00937FD9">
              <w:rPr>
                <w:rFonts w:cs="Calibri"/>
              </w:rPr>
              <w:t>Housing Needs Assessment; public housing needs; homeless needs – chronically homeless, families with children, veterans, unaccompanied youth; homelessness strategy; Market Analysis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6657807F" w14:textId="77777777" w:rsidR="00276A22" w:rsidRPr="00937FD9" w:rsidRDefault="00276A22" w:rsidP="00A3758B">
            <w:pPr>
              <w:spacing w:line="240" w:lineRule="auto"/>
              <w:rPr>
                <w:rFonts w:cs="Calibri"/>
              </w:rPr>
            </w:pPr>
            <w:r w:rsidRPr="00937FD9">
              <w:rPr>
                <w:rFonts w:cs="Calibri"/>
              </w:rPr>
              <w:t xml:space="preserve">Participated in targeted stakeholder interview. Agency also 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746D7FFD"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25D66031" w14:textId="77777777" w:rsidR="00276A22" w:rsidRPr="00937FD9" w:rsidRDefault="00276A22" w:rsidP="00A3758B">
            <w:pPr>
              <w:spacing w:line="240" w:lineRule="auto"/>
              <w:rPr>
                <w:rFonts w:cs="Calibri"/>
              </w:rPr>
            </w:pPr>
            <w:r w:rsidRPr="00937FD9">
              <w:rPr>
                <w:rFonts w:cs="Calibri"/>
              </w:rPr>
              <w:t>17.ARCH</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2C3501AE" w14:textId="77777777" w:rsidR="00276A22" w:rsidRPr="00937FD9" w:rsidRDefault="00276A22" w:rsidP="00A3758B">
            <w:pPr>
              <w:spacing w:line="240" w:lineRule="auto"/>
              <w:rPr>
                <w:rFonts w:cs="Calibri"/>
              </w:rPr>
            </w:pPr>
            <w:proofErr w:type="gramStart"/>
            <w:r w:rsidRPr="00937FD9">
              <w:rPr>
                <w:rFonts w:cs="Calibri"/>
              </w:rPr>
              <w:t>Housing;</w:t>
            </w:r>
            <w:proofErr w:type="gramEnd"/>
            <w:r w:rsidRPr="00937FD9">
              <w:rPr>
                <w:rFonts w:cs="Calibri"/>
              </w:rPr>
              <w:t xml:space="preserve"> </w:t>
            </w:r>
          </w:p>
          <w:p w14:paraId="088E4DCD" w14:textId="77777777" w:rsidR="00276A22" w:rsidRPr="00937FD9" w:rsidRDefault="00276A22" w:rsidP="00A3758B">
            <w:pPr>
              <w:spacing w:line="240" w:lineRule="auto"/>
              <w:rPr>
                <w:rFonts w:cs="Calibri"/>
              </w:rPr>
            </w:pPr>
            <w:r w:rsidRPr="00937FD9">
              <w:rPr>
                <w:rFonts w:cs="Calibri"/>
              </w:rPr>
              <w:t>Civic Leaders</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564B5FED" w14:textId="77777777" w:rsidR="00276A22" w:rsidRPr="00937FD9" w:rsidRDefault="00276A22" w:rsidP="00A3758B">
            <w:pPr>
              <w:spacing w:line="240" w:lineRule="auto"/>
              <w:rPr>
                <w:rFonts w:cs="Calibri"/>
              </w:rPr>
            </w:pPr>
            <w:r w:rsidRPr="00937FD9">
              <w:rPr>
                <w:rFonts w:cs="Calibri"/>
              </w:rPr>
              <w:t>Homeless Needs Assessment; Public Housing Needs; Market Analysis; Homeless Needs; Homelessness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24ABF89E" w14:textId="77777777" w:rsidR="00276A22" w:rsidRPr="00937FD9" w:rsidRDefault="00276A22" w:rsidP="00A3758B">
            <w:pPr>
              <w:spacing w:line="240" w:lineRule="auto"/>
              <w:rPr>
                <w:rFonts w:cs="Calibri"/>
              </w:rPr>
            </w:pPr>
            <w:r w:rsidRPr="00937FD9">
              <w:rPr>
                <w:rFonts w:cs="Calibri"/>
              </w:rPr>
              <w:t xml:space="preserve">Participated in targeted stakeholder interview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74F880C4"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27D40EC3" w14:textId="77777777" w:rsidR="00276A22" w:rsidRPr="00937FD9" w:rsidRDefault="00276A22" w:rsidP="00A3758B">
            <w:pPr>
              <w:spacing w:line="240" w:lineRule="auto"/>
              <w:rPr>
                <w:rFonts w:cs="Calibri"/>
              </w:rPr>
            </w:pPr>
            <w:r w:rsidRPr="00937FD9">
              <w:rPr>
                <w:rFonts w:cs="Calibri"/>
              </w:rPr>
              <w:t>18.Moscow Housing Trust</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0D472071" w14:textId="77777777" w:rsidR="00276A22" w:rsidRPr="00937FD9" w:rsidRDefault="00276A22" w:rsidP="00A3758B">
            <w:pPr>
              <w:spacing w:line="240" w:lineRule="auto"/>
              <w:rPr>
                <w:rFonts w:cs="Calibri"/>
              </w:rPr>
            </w:pPr>
            <w:r w:rsidRPr="00937FD9">
              <w:rPr>
                <w:rFonts w:cs="Calibri"/>
              </w:rPr>
              <w:t>Housing</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7CB43B1B" w14:textId="77777777" w:rsidR="00276A22" w:rsidRPr="00937FD9" w:rsidRDefault="00276A22" w:rsidP="00A3758B">
            <w:pPr>
              <w:spacing w:line="240" w:lineRule="auto"/>
              <w:rPr>
                <w:rFonts w:cs="Calibri"/>
              </w:rPr>
            </w:pPr>
            <w:r w:rsidRPr="00937FD9">
              <w:rPr>
                <w:rFonts w:cs="Calibri"/>
              </w:rPr>
              <w:t>Housing Needs Assessment; Market Analysis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294C7385" w14:textId="77777777" w:rsidR="00276A22" w:rsidRPr="00937FD9"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0D2F6471"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7C70DC08" w14:textId="77777777" w:rsidR="00276A22" w:rsidRPr="00937FD9" w:rsidRDefault="00276A22" w:rsidP="00A3758B">
            <w:pPr>
              <w:spacing w:line="240" w:lineRule="auto"/>
              <w:rPr>
                <w:rFonts w:cs="Calibri"/>
              </w:rPr>
            </w:pPr>
            <w:r w:rsidRPr="00937FD9">
              <w:rPr>
                <w:rFonts w:cs="Calibri"/>
              </w:rPr>
              <w:lastRenderedPageBreak/>
              <w:t>19.North Idaho Habitat for Humanity</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10B6106D" w14:textId="77777777" w:rsidR="00276A22" w:rsidRPr="00937FD9" w:rsidRDefault="00276A22" w:rsidP="00A3758B">
            <w:pPr>
              <w:spacing w:line="240" w:lineRule="auto"/>
              <w:rPr>
                <w:rFonts w:cs="Calibri"/>
              </w:rPr>
            </w:pPr>
            <w:r w:rsidRPr="00937FD9">
              <w:rPr>
                <w:rFonts w:cs="Calibri"/>
              </w:rPr>
              <w:t>Housing</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33A0E045" w14:textId="77777777" w:rsidR="00276A22" w:rsidRPr="00937FD9" w:rsidRDefault="00276A22" w:rsidP="00A3758B">
            <w:pPr>
              <w:keepNext/>
              <w:widowControl w:val="0"/>
              <w:spacing w:after="0" w:line="240" w:lineRule="auto"/>
              <w:rPr>
                <w:rFonts w:cs="Calibri"/>
              </w:rPr>
            </w:pPr>
            <w:r w:rsidRPr="00937FD9">
              <w:rPr>
                <w:rFonts w:cs="Calibri"/>
              </w:rPr>
              <w:t>Housing Needs Assessment; Non-homeless special needs; non-housing community development strategy; Market Analysis; Lead-based paint strategy</w:t>
            </w:r>
          </w:p>
          <w:p w14:paraId="3DC87329" w14:textId="77777777" w:rsidR="00276A22" w:rsidRPr="00937FD9" w:rsidRDefault="00276A22" w:rsidP="00A3758B">
            <w:pPr>
              <w:spacing w:line="240" w:lineRule="auto"/>
              <w:rPr>
                <w:rFonts w:cs="Calibri"/>
              </w:rPr>
            </w:pP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4DF6B94C" w14:textId="77777777" w:rsidR="00276A22" w:rsidRPr="00937FD9" w:rsidRDefault="00276A22" w:rsidP="00A3758B">
            <w:pPr>
              <w:spacing w:line="240" w:lineRule="auto"/>
              <w:rPr>
                <w:rFonts w:cs="Calibri"/>
              </w:rPr>
            </w:pPr>
            <w:r w:rsidRPr="00937FD9">
              <w:rPr>
                <w:rFonts w:cs="Calibri"/>
              </w:rPr>
              <w:t>Participated in targeted stakeholder interview to discuss housing, service needs, infrastructure needs, and special needs population needs in the community.</w:t>
            </w:r>
          </w:p>
        </w:tc>
      </w:tr>
      <w:tr w:rsidR="00276A22" w:rsidRPr="00937FD9" w14:paraId="615951E5"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6E2CEFA1" w14:textId="77777777" w:rsidR="00276A22" w:rsidRPr="00937FD9" w:rsidRDefault="00276A22" w:rsidP="00A3758B">
            <w:pPr>
              <w:spacing w:line="240" w:lineRule="auto"/>
              <w:rPr>
                <w:rFonts w:cs="Calibri"/>
              </w:rPr>
            </w:pPr>
            <w:r w:rsidRPr="00937FD9">
              <w:rPr>
                <w:rFonts w:cs="Calibri"/>
              </w:rPr>
              <w:t>20.Department of Commerce, Office of Broadband</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4CF1F69D" w14:textId="77777777" w:rsidR="00276A22" w:rsidRPr="00937FD9" w:rsidRDefault="00276A22" w:rsidP="00A3758B">
            <w:pPr>
              <w:spacing w:line="240" w:lineRule="auto"/>
              <w:rPr>
                <w:rFonts w:cs="Calibri"/>
              </w:rPr>
            </w:pPr>
            <w:r w:rsidRPr="00937FD9">
              <w:rPr>
                <w:rFonts w:cs="Calibri"/>
              </w:rPr>
              <w:t>Other govt - local</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798EBA13" w14:textId="77777777" w:rsidR="00276A22" w:rsidRPr="00937FD9" w:rsidRDefault="00276A22" w:rsidP="00A3758B">
            <w:pPr>
              <w:keepNext/>
              <w:widowControl w:val="0"/>
              <w:spacing w:after="0" w:line="240" w:lineRule="auto"/>
              <w:rPr>
                <w:rFonts w:cs="Calibri"/>
              </w:rPr>
            </w:pPr>
            <w:r w:rsidRPr="00937FD9">
              <w:rPr>
                <w:rFonts w:cs="Calibri"/>
              </w:rPr>
              <w:t>Housing Needs Assessment; Non-homeless special needs; non-housing community development strategy; Market Analysis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73857152" w14:textId="77777777" w:rsidR="00276A22" w:rsidRPr="00937FD9"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030F17E3"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3AA7A8D1" w14:textId="77777777" w:rsidR="00276A22" w:rsidRPr="00937FD9" w:rsidRDefault="00276A22" w:rsidP="00A3758B">
            <w:pPr>
              <w:spacing w:line="240" w:lineRule="auto"/>
              <w:rPr>
                <w:rFonts w:cs="Calibri"/>
              </w:rPr>
            </w:pPr>
            <w:r w:rsidRPr="00937FD9">
              <w:rPr>
                <w:rFonts w:cs="Calibri"/>
              </w:rPr>
              <w:t>21.Idaho Division of Veterans Services</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4D041F9C" w14:textId="77777777" w:rsidR="00276A22" w:rsidRPr="00937FD9" w:rsidRDefault="00276A22" w:rsidP="00A3758B">
            <w:pPr>
              <w:spacing w:line="240" w:lineRule="auto"/>
              <w:rPr>
                <w:rFonts w:cs="Calibri"/>
              </w:rPr>
            </w:pPr>
            <w:r w:rsidRPr="00937FD9">
              <w:rPr>
                <w:rFonts w:cs="Calibri"/>
              </w:rPr>
              <w:t>Other govt - local</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323D7AAA" w14:textId="77777777" w:rsidR="00276A22" w:rsidRPr="00937FD9" w:rsidRDefault="00276A22" w:rsidP="00A3758B">
            <w:pPr>
              <w:keepNext/>
              <w:widowControl w:val="0"/>
              <w:spacing w:after="0" w:line="240" w:lineRule="auto"/>
              <w:rPr>
                <w:rFonts w:cs="Calibri"/>
              </w:rPr>
            </w:pPr>
            <w:r w:rsidRPr="00937FD9">
              <w:rPr>
                <w:rFonts w:cs="Calibri"/>
              </w:rPr>
              <w:t>Housing Needs Assessment; Non-homeless special needs; non-housing community development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7B97A12C" w14:textId="77777777" w:rsidR="00276A22" w:rsidRPr="00937FD9" w:rsidRDefault="00276A22" w:rsidP="00A3758B">
            <w:pPr>
              <w:spacing w:line="240" w:lineRule="auto"/>
              <w:rPr>
                <w:rFonts w:cs="Calibri"/>
              </w:rPr>
            </w:pPr>
            <w:r w:rsidRPr="00937FD9">
              <w:rPr>
                <w:rFonts w:cs="Calibri"/>
              </w:rPr>
              <w:t>Participated in targeted stakeholder interview</w:t>
            </w:r>
          </w:p>
        </w:tc>
      </w:tr>
      <w:tr w:rsidR="00276A22" w:rsidRPr="00937FD9" w14:paraId="3E3B78C5"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75141F87" w14:textId="77777777" w:rsidR="00276A22" w:rsidRPr="00937FD9" w:rsidRDefault="00276A22" w:rsidP="00A3758B">
            <w:pPr>
              <w:spacing w:line="240" w:lineRule="auto"/>
              <w:rPr>
                <w:rFonts w:cs="Calibri"/>
              </w:rPr>
            </w:pPr>
            <w:r w:rsidRPr="00937FD9">
              <w:rPr>
                <w:rFonts w:cs="Calibri"/>
              </w:rPr>
              <w:t>22.HartWest, LLC</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200A6380" w14:textId="77777777" w:rsidR="00276A22" w:rsidRPr="00937FD9" w:rsidRDefault="00276A22" w:rsidP="00A3758B">
            <w:pPr>
              <w:spacing w:line="240" w:lineRule="auto"/>
              <w:rPr>
                <w:rFonts w:cs="Calibri"/>
              </w:rPr>
            </w:pPr>
            <w:r w:rsidRPr="00937FD9">
              <w:rPr>
                <w:rFonts w:cs="Calibri"/>
              </w:rPr>
              <w:t>Housing</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4997EDCE" w14:textId="77777777" w:rsidR="00276A22" w:rsidRPr="00937FD9" w:rsidRDefault="00276A22" w:rsidP="00A3758B">
            <w:pPr>
              <w:spacing w:line="240" w:lineRule="auto"/>
              <w:rPr>
                <w:rFonts w:cs="Calibri"/>
              </w:rPr>
            </w:pPr>
            <w:r w:rsidRPr="00937FD9">
              <w:rPr>
                <w:rFonts w:cs="Calibri"/>
              </w:rPr>
              <w:t>Housing Needs Assessment; Public Housing Needs; Homelessness Strategy; Market Analysis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648ADC8A" w14:textId="77777777" w:rsidR="00276A22" w:rsidRPr="00937FD9" w:rsidRDefault="00276A22" w:rsidP="00A3758B">
            <w:pPr>
              <w:spacing w:line="240" w:lineRule="auto"/>
              <w:rPr>
                <w:rFonts w:cs="Calibri"/>
              </w:rPr>
            </w:pPr>
            <w:r w:rsidRPr="00937FD9">
              <w:rPr>
                <w:rFonts w:cs="Calibri"/>
              </w:rPr>
              <w:t xml:space="preserve">Participated in targeted stakeholder interview. Agency also 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495FE889"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0A94E0DB" w14:textId="77777777" w:rsidR="00276A22" w:rsidRPr="00937FD9" w:rsidRDefault="00276A22" w:rsidP="00A3758B">
            <w:pPr>
              <w:spacing w:line="240" w:lineRule="auto"/>
              <w:rPr>
                <w:rFonts w:cs="Calibri"/>
              </w:rPr>
            </w:pPr>
            <w:r w:rsidRPr="00937FD9">
              <w:rPr>
                <w:rFonts w:cs="Calibri"/>
              </w:rPr>
              <w:t>23.Family Medicine Health Center</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0C82E962" w14:textId="77777777" w:rsidR="00276A22" w:rsidRPr="00937FD9" w:rsidRDefault="00276A22" w:rsidP="00A3758B">
            <w:pPr>
              <w:spacing w:line="240" w:lineRule="auto"/>
              <w:rPr>
                <w:rFonts w:cs="Calibri"/>
              </w:rPr>
            </w:pPr>
            <w:r w:rsidRPr="00937FD9">
              <w:rPr>
                <w:rFonts w:cs="Calibri"/>
              </w:rPr>
              <w:t>Services – Health; education</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15401472" w14:textId="77777777" w:rsidR="00276A22" w:rsidRPr="00937FD9" w:rsidRDefault="00276A22" w:rsidP="00A3758B">
            <w:pPr>
              <w:spacing w:line="240" w:lineRule="auto"/>
              <w:rPr>
                <w:rFonts w:cs="Calibri"/>
              </w:rPr>
            </w:pPr>
            <w:r w:rsidRPr="00937FD9">
              <w:rPr>
                <w:rFonts w:cs="Calibri"/>
              </w:rPr>
              <w:t>Non-homeless special Needs; HOPWA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565D0399" w14:textId="77777777" w:rsidR="00276A22" w:rsidRPr="00937FD9" w:rsidRDefault="00276A22" w:rsidP="00A3758B">
            <w:pPr>
              <w:spacing w:line="240" w:lineRule="auto"/>
              <w:rPr>
                <w:rFonts w:cs="Calibri"/>
              </w:rPr>
            </w:pPr>
            <w:r w:rsidRPr="00937FD9">
              <w:rPr>
                <w:rFonts w:cs="Calibri"/>
              </w:rPr>
              <w:t xml:space="preserve">Participated in targeted stakeholder interview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3E2DAC4B"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7F68B572" w14:textId="77777777" w:rsidR="00276A22" w:rsidRPr="00937FD9" w:rsidRDefault="00276A22" w:rsidP="00A3758B">
            <w:pPr>
              <w:spacing w:line="240" w:lineRule="auto"/>
              <w:rPr>
                <w:rFonts w:cs="Calibri"/>
              </w:rPr>
            </w:pPr>
            <w:r w:rsidRPr="00937FD9">
              <w:rPr>
                <w:rFonts w:cs="Calibri"/>
              </w:rPr>
              <w:lastRenderedPageBreak/>
              <w:t>24.EICAP – Eastern Idaho Community Action Partnership</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6F05C2E8" w14:textId="77777777" w:rsidR="00276A22" w:rsidRPr="00937FD9" w:rsidRDefault="00276A22" w:rsidP="00A3758B">
            <w:pPr>
              <w:spacing w:line="240" w:lineRule="auto"/>
              <w:rPr>
                <w:rFonts w:cs="Calibri"/>
              </w:rPr>
            </w:pPr>
            <w:r w:rsidRPr="00937FD9">
              <w:rPr>
                <w:rFonts w:cs="Calibri"/>
              </w:rPr>
              <w:t>Housing</w:t>
            </w:r>
          </w:p>
          <w:p w14:paraId="4B133F15" w14:textId="77777777" w:rsidR="00276A22" w:rsidRPr="00937FD9" w:rsidRDefault="00276A22" w:rsidP="00A3758B">
            <w:pPr>
              <w:spacing w:line="240" w:lineRule="auto"/>
              <w:rPr>
                <w:rFonts w:cs="Calibri"/>
              </w:rPr>
            </w:pPr>
            <w:r w:rsidRPr="00937FD9">
              <w:rPr>
                <w:rFonts w:cs="Calibri"/>
              </w:rPr>
              <w:t>Services – elderly persons, children</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3C67EBC2" w14:textId="77777777" w:rsidR="00276A22" w:rsidRPr="00937FD9" w:rsidRDefault="00276A22" w:rsidP="00A3758B">
            <w:pPr>
              <w:spacing w:line="240" w:lineRule="auto"/>
              <w:rPr>
                <w:rFonts w:cs="Calibri"/>
              </w:rPr>
            </w:pPr>
            <w:r w:rsidRPr="00937FD9">
              <w:rPr>
                <w:rFonts w:cs="Calibri"/>
              </w:rPr>
              <w:t xml:space="preserve">Housing Need </w:t>
            </w:r>
            <w:proofErr w:type="gramStart"/>
            <w:r w:rsidRPr="00937FD9">
              <w:rPr>
                <w:rFonts w:cs="Calibri"/>
              </w:rPr>
              <w:t>Assessment;</w:t>
            </w:r>
            <w:proofErr w:type="gramEnd"/>
          </w:p>
          <w:p w14:paraId="79CC573A" w14:textId="77777777" w:rsidR="00276A22" w:rsidRPr="00937FD9" w:rsidRDefault="00276A22" w:rsidP="00A3758B">
            <w:pPr>
              <w:spacing w:line="240" w:lineRule="auto"/>
              <w:rPr>
                <w:rFonts w:cs="Calibri"/>
              </w:rPr>
            </w:pPr>
            <w:r w:rsidRPr="00937FD9">
              <w:rPr>
                <w:rFonts w:cs="Calibri"/>
              </w:rPr>
              <w:t xml:space="preserve">Public Housing </w:t>
            </w:r>
            <w:proofErr w:type="gramStart"/>
            <w:r w:rsidRPr="00937FD9">
              <w:rPr>
                <w:rFonts w:cs="Calibri"/>
              </w:rPr>
              <w:t>Need;</w:t>
            </w:r>
            <w:proofErr w:type="gramEnd"/>
          </w:p>
          <w:p w14:paraId="2F3B3F89" w14:textId="77777777" w:rsidR="00276A22" w:rsidRPr="00937FD9" w:rsidRDefault="00276A22" w:rsidP="00A3758B">
            <w:pPr>
              <w:spacing w:line="240" w:lineRule="auto"/>
              <w:rPr>
                <w:rFonts w:cs="Calibri"/>
              </w:rPr>
            </w:pPr>
            <w:r w:rsidRPr="00937FD9">
              <w:rPr>
                <w:rFonts w:cs="Calibri"/>
              </w:rPr>
              <w:t>Non-homeless special needs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0F01412A" w14:textId="77777777" w:rsidR="00276A22" w:rsidRPr="00937FD9" w:rsidRDefault="00276A22" w:rsidP="00A3758B">
            <w:pPr>
              <w:spacing w:line="240" w:lineRule="auto"/>
              <w:rPr>
                <w:rFonts w:cs="Calibri"/>
              </w:rPr>
            </w:pPr>
            <w:r w:rsidRPr="00937FD9">
              <w:rPr>
                <w:rFonts w:cs="Calibri"/>
              </w:rPr>
              <w:t>Participated in targeted stakeholder interview</w:t>
            </w:r>
          </w:p>
        </w:tc>
      </w:tr>
      <w:tr w:rsidR="00276A22" w:rsidRPr="00937FD9" w14:paraId="5E8FC828"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79379062" w14:textId="77777777" w:rsidR="00276A22" w:rsidRPr="00937FD9" w:rsidRDefault="00276A22" w:rsidP="00A3758B">
            <w:pPr>
              <w:spacing w:line="240" w:lineRule="auto"/>
              <w:rPr>
                <w:rFonts w:cs="Calibri"/>
              </w:rPr>
            </w:pPr>
            <w:r w:rsidRPr="00937FD9">
              <w:rPr>
                <w:rFonts w:cs="Calibri"/>
              </w:rPr>
              <w:t>25.Idaho Falls Rescue Mission</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63AB0951" w14:textId="77777777" w:rsidR="00276A22" w:rsidRPr="00937FD9" w:rsidRDefault="00276A22" w:rsidP="00A3758B">
            <w:pPr>
              <w:spacing w:line="240" w:lineRule="auto"/>
              <w:rPr>
                <w:rFonts w:cs="Calibri"/>
              </w:rPr>
            </w:pPr>
            <w:r w:rsidRPr="00937FD9">
              <w:rPr>
                <w:rFonts w:cs="Calibri"/>
              </w:rPr>
              <w:t>Services – children, homeless, health, education</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3391633C" w14:textId="77777777" w:rsidR="00276A22" w:rsidRPr="00937FD9" w:rsidRDefault="00276A22" w:rsidP="00A3758B">
            <w:pPr>
              <w:spacing w:line="240" w:lineRule="auto"/>
              <w:rPr>
                <w:rFonts w:cs="Calibri"/>
              </w:rPr>
            </w:pPr>
            <w:r w:rsidRPr="00937FD9">
              <w:rPr>
                <w:rFonts w:cs="Calibri"/>
              </w:rPr>
              <w:t>Housing Needs Assessment; non-homeless special needs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6B98C378" w14:textId="77777777" w:rsidR="00276A22" w:rsidRPr="00937FD9"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77DFA6AA"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4CFE8038" w14:textId="77777777" w:rsidR="00276A22" w:rsidRPr="00937FD9" w:rsidRDefault="00276A22" w:rsidP="00A3758B">
            <w:pPr>
              <w:spacing w:line="240" w:lineRule="auto"/>
              <w:rPr>
                <w:rFonts w:cs="Calibri"/>
              </w:rPr>
            </w:pPr>
            <w:r w:rsidRPr="00937FD9">
              <w:rPr>
                <w:rFonts w:cs="Calibri"/>
              </w:rPr>
              <w:t>26.Gary E. Hanes &amp; Associates</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5A89CE71" w14:textId="77777777" w:rsidR="00276A22" w:rsidRPr="00937FD9" w:rsidRDefault="00276A22" w:rsidP="00A3758B">
            <w:pPr>
              <w:spacing w:line="240" w:lineRule="auto"/>
              <w:rPr>
                <w:rFonts w:cs="Calibri"/>
              </w:rPr>
            </w:pPr>
            <w:r w:rsidRPr="00937FD9">
              <w:rPr>
                <w:rFonts w:cs="Calibri"/>
              </w:rPr>
              <w:t>Service – fair housing, legal</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73C1A6AE" w14:textId="77777777" w:rsidR="00276A22" w:rsidRPr="00937FD9" w:rsidRDefault="00276A22" w:rsidP="00A3758B">
            <w:pPr>
              <w:spacing w:line="240" w:lineRule="auto"/>
              <w:rPr>
                <w:rFonts w:cs="Calibri"/>
              </w:rPr>
            </w:pPr>
            <w:r w:rsidRPr="00937FD9">
              <w:rPr>
                <w:rFonts w:cs="Calibri"/>
              </w:rPr>
              <w:t>Housing Needs Assessment; non-homeless special needs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6724550C" w14:textId="77777777" w:rsidR="00276A22" w:rsidRPr="00937FD9"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rsidRPr="00937FD9" w14:paraId="5B4C9BD6"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5A09CAE2" w14:textId="77777777" w:rsidR="00276A22" w:rsidRPr="00937FD9" w:rsidRDefault="00276A22" w:rsidP="00A3758B">
            <w:pPr>
              <w:spacing w:line="240" w:lineRule="auto"/>
              <w:rPr>
                <w:rFonts w:cs="Calibri"/>
              </w:rPr>
            </w:pPr>
            <w:r w:rsidRPr="00937FD9">
              <w:rPr>
                <w:rFonts w:cs="Calibri"/>
              </w:rPr>
              <w:t>27.NeighborWorks Boise</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44B91525" w14:textId="77777777" w:rsidR="00276A22" w:rsidRPr="00937FD9" w:rsidRDefault="00276A22" w:rsidP="00A3758B">
            <w:pPr>
              <w:spacing w:line="240" w:lineRule="auto"/>
              <w:rPr>
                <w:rFonts w:cs="Calibri"/>
              </w:rPr>
            </w:pPr>
            <w:r w:rsidRPr="00937FD9">
              <w:rPr>
                <w:rFonts w:cs="Calibri"/>
              </w:rPr>
              <w:t>Housing</w:t>
            </w:r>
          </w:p>
          <w:p w14:paraId="0B6D0C81" w14:textId="77777777" w:rsidR="00276A22" w:rsidRPr="00937FD9" w:rsidRDefault="00276A22" w:rsidP="00A3758B">
            <w:pPr>
              <w:spacing w:line="240" w:lineRule="auto"/>
              <w:rPr>
                <w:rFonts w:cs="Calibri"/>
              </w:rPr>
            </w:pPr>
            <w:r w:rsidRPr="00937FD9">
              <w:rPr>
                <w:rFonts w:cs="Calibri"/>
              </w:rPr>
              <w:t>Services - Education</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71855F17" w14:textId="77777777" w:rsidR="00276A22" w:rsidRPr="00937FD9" w:rsidRDefault="00276A22" w:rsidP="00A3758B">
            <w:pPr>
              <w:keepNext/>
              <w:widowControl w:val="0"/>
              <w:spacing w:after="0" w:line="240" w:lineRule="auto"/>
              <w:rPr>
                <w:rFonts w:cs="Calibri"/>
              </w:rPr>
            </w:pPr>
            <w:r w:rsidRPr="00937FD9">
              <w:rPr>
                <w:rFonts w:cs="Calibri"/>
              </w:rPr>
              <w:t>Housing Needs Assessment; Non-homeless special needs; non-housing community development strategy</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249DF855" w14:textId="77777777" w:rsidR="00276A22" w:rsidRPr="00937FD9"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r w:rsidR="00276A22" w14:paraId="21707171" w14:textId="77777777" w:rsidTr="00A3758B">
        <w:trPr>
          <w:trHeight w:val="300"/>
        </w:trPr>
        <w:tc>
          <w:tcPr>
            <w:tcW w:w="2009" w:type="dxa"/>
            <w:tcBorders>
              <w:top w:val="single" w:sz="6" w:space="0" w:color="auto"/>
              <w:left w:val="single" w:sz="6" w:space="0" w:color="auto"/>
              <w:bottom w:val="single" w:sz="6" w:space="0" w:color="auto"/>
              <w:right w:val="single" w:sz="6" w:space="0" w:color="auto"/>
            </w:tcBorders>
            <w:tcMar>
              <w:left w:w="105" w:type="dxa"/>
              <w:right w:w="105" w:type="dxa"/>
            </w:tcMar>
          </w:tcPr>
          <w:p w14:paraId="25033B1C" w14:textId="77777777" w:rsidR="00276A22" w:rsidRPr="00937FD9" w:rsidRDefault="00276A22" w:rsidP="00A3758B">
            <w:pPr>
              <w:spacing w:line="240" w:lineRule="auto"/>
              <w:rPr>
                <w:rFonts w:cs="Calibri"/>
              </w:rPr>
            </w:pPr>
            <w:r w:rsidRPr="00937FD9">
              <w:rPr>
                <w:rFonts w:cs="Calibri"/>
              </w:rPr>
              <w:t>28.Region IV Development Association</w:t>
            </w:r>
          </w:p>
        </w:tc>
        <w:tc>
          <w:tcPr>
            <w:tcW w:w="2080" w:type="dxa"/>
            <w:tcBorders>
              <w:top w:val="single" w:sz="6" w:space="0" w:color="auto"/>
              <w:left w:val="single" w:sz="6" w:space="0" w:color="auto"/>
              <w:bottom w:val="single" w:sz="6" w:space="0" w:color="auto"/>
              <w:right w:val="single" w:sz="6" w:space="0" w:color="auto"/>
            </w:tcBorders>
            <w:tcMar>
              <w:left w:w="105" w:type="dxa"/>
              <w:right w:w="105" w:type="dxa"/>
            </w:tcMar>
          </w:tcPr>
          <w:p w14:paraId="07FF56E6" w14:textId="77777777" w:rsidR="00276A22" w:rsidRPr="00937FD9" w:rsidRDefault="00276A22" w:rsidP="00A3758B">
            <w:pPr>
              <w:spacing w:line="240" w:lineRule="auto"/>
              <w:rPr>
                <w:rFonts w:cs="Calibri"/>
              </w:rPr>
            </w:pPr>
            <w:r w:rsidRPr="00937FD9">
              <w:rPr>
                <w:rFonts w:cs="Calibri"/>
              </w:rPr>
              <w:t>Housing</w:t>
            </w:r>
          </w:p>
        </w:tc>
        <w:tc>
          <w:tcPr>
            <w:tcW w:w="1567" w:type="dxa"/>
            <w:tcBorders>
              <w:top w:val="single" w:sz="6" w:space="0" w:color="auto"/>
              <w:left w:val="single" w:sz="6" w:space="0" w:color="auto"/>
              <w:bottom w:val="single" w:sz="6" w:space="0" w:color="auto"/>
              <w:right w:val="single" w:sz="6" w:space="0" w:color="auto"/>
            </w:tcBorders>
            <w:tcMar>
              <w:left w:w="105" w:type="dxa"/>
              <w:right w:w="105" w:type="dxa"/>
            </w:tcMar>
          </w:tcPr>
          <w:p w14:paraId="69B57218" w14:textId="77777777" w:rsidR="00276A22" w:rsidRPr="00937FD9" w:rsidRDefault="00276A22" w:rsidP="00A3758B">
            <w:pPr>
              <w:spacing w:line="240" w:lineRule="auto"/>
              <w:rPr>
                <w:rFonts w:cs="Calibri"/>
              </w:rPr>
            </w:pPr>
            <w:r w:rsidRPr="00937FD9">
              <w:rPr>
                <w:rFonts w:cs="Calibri"/>
              </w:rPr>
              <w:t xml:space="preserve">Housing Need </w:t>
            </w:r>
            <w:proofErr w:type="gramStart"/>
            <w:r w:rsidRPr="00937FD9">
              <w:rPr>
                <w:rFonts w:cs="Calibri"/>
              </w:rPr>
              <w:t>Assessment;</w:t>
            </w:r>
            <w:proofErr w:type="gramEnd"/>
          </w:p>
          <w:p w14:paraId="70E6F9ED" w14:textId="77777777" w:rsidR="00276A22" w:rsidRPr="00937FD9" w:rsidRDefault="00276A22" w:rsidP="00A3758B">
            <w:pPr>
              <w:spacing w:line="240" w:lineRule="auto"/>
              <w:rPr>
                <w:rFonts w:cs="Calibri"/>
              </w:rPr>
            </w:pPr>
            <w:r w:rsidRPr="00937FD9">
              <w:rPr>
                <w:rFonts w:cs="Calibri"/>
              </w:rPr>
              <w:t>Market Analysis</w:t>
            </w:r>
          </w:p>
        </w:tc>
        <w:tc>
          <w:tcPr>
            <w:tcW w:w="3704" w:type="dxa"/>
            <w:tcBorders>
              <w:top w:val="single" w:sz="6" w:space="0" w:color="auto"/>
              <w:left w:val="single" w:sz="6" w:space="0" w:color="auto"/>
              <w:bottom w:val="single" w:sz="6" w:space="0" w:color="auto"/>
              <w:right w:val="single" w:sz="6" w:space="0" w:color="auto"/>
            </w:tcBorders>
            <w:tcMar>
              <w:left w:w="105" w:type="dxa"/>
              <w:right w:w="105" w:type="dxa"/>
            </w:tcMar>
          </w:tcPr>
          <w:p w14:paraId="680EF8EC" w14:textId="77777777" w:rsidR="00276A22" w:rsidRDefault="00276A22" w:rsidP="00A3758B">
            <w:pPr>
              <w:spacing w:line="240" w:lineRule="auto"/>
              <w:rPr>
                <w:rFonts w:cs="Calibri"/>
              </w:rPr>
            </w:pPr>
            <w:r w:rsidRPr="00937FD9">
              <w:rPr>
                <w:rFonts w:cs="Calibri"/>
              </w:rPr>
              <w:t xml:space="preserve">Participated in community meetings to </w:t>
            </w:r>
            <w:r w:rsidRPr="00937FD9">
              <w:rPr>
                <w:rFonts w:cs="Calibri"/>
                <w:color w:val="000000" w:themeColor="text1"/>
              </w:rPr>
              <w:t>provide feedback around community needs, existing resources, and ways to address gaps for the State’s most vulnerable residents using HUD funds.</w:t>
            </w:r>
          </w:p>
        </w:tc>
      </w:tr>
    </w:tbl>
    <w:p w14:paraId="13ADCDC1" w14:textId="77777777" w:rsidR="00320486" w:rsidRDefault="00320486" w:rsidP="00320486">
      <w:pPr>
        <w:keepNext/>
        <w:widowControl w:val="0"/>
        <w:spacing w:after="0" w:line="240" w:lineRule="auto"/>
        <w:rPr>
          <w:rFonts w:cs="Calibri"/>
          <w:color w:val="000000" w:themeColor="text1"/>
        </w:rPr>
      </w:pPr>
    </w:p>
    <w:p w14:paraId="76B0A104" w14:textId="77777777" w:rsidR="00320486" w:rsidRDefault="00320486" w:rsidP="00320486">
      <w:pPr>
        <w:spacing w:after="0" w:line="240" w:lineRule="auto"/>
        <w:rPr>
          <w:rFonts w:cs="Calibri"/>
          <w:b/>
          <w:bCs/>
          <w:color w:val="000000" w:themeColor="text1"/>
          <w:sz w:val="20"/>
          <w:szCs w:val="20"/>
        </w:rPr>
      </w:pPr>
      <w:r w:rsidRPr="3C3ABBF9">
        <w:rPr>
          <w:rFonts w:cs="Calibri"/>
          <w:b/>
          <w:bCs/>
          <w:color w:val="000000" w:themeColor="text1"/>
          <w:sz w:val="20"/>
          <w:szCs w:val="20"/>
        </w:rPr>
        <w:t>Table 2 – Agencies, groups, organizations who participated</w:t>
      </w:r>
    </w:p>
    <w:p w14:paraId="711E0F76" w14:textId="77777777" w:rsidR="00320486" w:rsidRDefault="00320486" w:rsidP="00320486">
      <w:pPr>
        <w:rPr>
          <w:rFonts w:cs="Calibri"/>
          <w:color w:val="000000" w:themeColor="text1"/>
        </w:rPr>
      </w:pPr>
    </w:p>
    <w:p w14:paraId="29440932" w14:textId="4C261B65" w:rsidR="00320486" w:rsidRPr="00294BD0" w:rsidRDefault="00320486" w:rsidP="00320486">
      <w:pPr>
        <w:rPr>
          <w:rFonts w:cs="Calibri"/>
          <w:color w:val="000000" w:themeColor="text1"/>
          <w:sz w:val="24"/>
          <w:szCs w:val="24"/>
        </w:rPr>
      </w:pPr>
      <w:r w:rsidRPr="787E070B">
        <w:rPr>
          <w:rFonts w:cs="Calibri"/>
          <w:b/>
          <w:bCs/>
          <w:color w:val="000000" w:themeColor="text1"/>
          <w:sz w:val="24"/>
          <w:szCs w:val="24"/>
        </w:rPr>
        <w:t>Identify any Agency Types not consulted and provide rationale for not consulting</w:t>
      </w:r>
      <w:r w:rsidR="559DD54A" w:rsidRPr="787E070B">
        <w:rPr>
          <w:rFonts w:cs="Calibri"/>
          <w:b/>
          <w:bCs/>
          <w:color w:val="000000" w:themeColor="text1"/>
          <w:sz w:val="24"/>
          <w:szCs w:val="24"/>
        </w:rPr>
        <w:t>.</w:t>
      </w:r>
    </w:p>
    <w:p w14:paraId="32218939" w14:textId="506BDA87" w:rsidR="00320486" w:rsidRPr="00294BD0" w:rsidRDefault="00320486" w:rsidP="00320486">
      <w:pPr>
        <w:rPr>
          <w:rFonts w:cs="Calibri"/>
          <w:sz w:val="24"/>
          <w:szCs w:val="24"/>
        </w:rPr>
      </w:pPr>
      <w:r w:rsidRPr="787E070B">
        <w:rPr>
          <w:rFonts w:cs="Calibri"/>
          <w:color w:val="000000" w:themeColor="text1"/>
          <w:sz w:val="24"/>
          <w:szCs w:val="24"/>
        </w:rPr>
        <w:t>The State attempted to engage as many stakeholders as possible for input into the plan through the stakeholder survey, stakeholder consultations or community meetings</w:t>
      </w:r>
      <w:r w:rsidR="1C2507BF" w:rsidRPr="787E070B">
        <w:rPr>
          <w:rFonts w:cs="Calibri"/>
          <w:color w:val="000000" w:themeColor="text1"/>
          <w:sz w:val="24"/>
          <w:szCs w:val="24"/>
        </w:rPr>
        <w:t>,</w:t>
      </w:r>
      <w:r w:rsidRPr="787E070B">
        <w:rPr>
          <w:rFonts w:cs="Calibri"/>
          <w:color w:val="000000" w:themeColor="text1"/>
          <w:sz w:val="24"/>
          <w:szCs w:val="24"/>
        </w:rPr>
        <w:t xml:space="preserve"> and public input meetings. </w:t>
      </w:r>
    </w:p>
    <w:p w14:paraId="4B9A232D" w14:textId="7C0E7764" w:rsidR="00320486" w:rsidRDefault="00320486" w:rsidP="00320486">
      <w:pPr>
        <w:keepNext/>
        <w:rPr>
          <w:rFonts w:cs="Calibri"/>
          <w:color w:val="000000" w:themeColor="text1"/>
        </w:rPr>
      </w:pPr>
      <w:r w:rsidRPr="787E070B">
        <w:rPr>
          <w:rFonts w:cs="Calibri"/>
          <w:b/>
          <w:bCs/>
          <w:color w:val="000000" w:themeColor="text1"/>
          <w:sz w:val="24"/>
          <w:szCs w:val="24"/>
        </w:rPr>
        <w:lastRenderedPageBreak/>
        <w:t>Other local/regional/state/federal planning efforts considered when preparing the Plan</w:t>
      </w:r>
      <w:r w:rsidR="28121ACD" w:rsidRPr="787E070B">
        <w:rPr>
          <w:rFonts w:cs="Calibri"/>
          <w:b/>
          <w:bCs/>
          <w:color w:val="000000" w:themeColor="text1"/>
          <w:sz w:val="24"/>
          <w:szCs w:val="24"/>
        </w:rPr>
        <w:t>.</w:t>
      </w:r>
    </w:p>
    <w:tbl>
      <w:tblPr>
        <w:tblW w:w="9360" w:type="dxa"/>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3120"/>
        <w:gridCol w:w="3120"/>
        <w:gridCol w:w="3120"/>
      </w:tblGrid>
      <w:tr w:rsidR="00320486" w14:paraId="44000BA1" w14:textId="77777777" w:rsidTr="00E373A5">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73445C85" w14:textId="77777777" w:rsidR="00320486" w:rsidRDefault="00320486" w:rsidP="00E53512">
            <w:pPr>
              <w:keepNext/>
              <w:widowControl w:val="0"/>
              <w:spacing w:after="0" w:line="240" w:lineRule="auto"/>
              <w:jc w:val="center"/>
              <w:rPr>
                <w:rFonts w:cs="Calibri"/>
              </w:rPr>
            </w:pPr>
            <w:r w:rsidRPr="3C3ABBF9">
              <w:rPr>
                <w:rFonts w:cs="Calibri"/>
                <w:b/>
                <w:bCs/>
              </w:rPr>
              <w:t>Name of Plan</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209E5F17" w14:textId="77777777" w:rsidR="00320486" w:rsidRDefault="00320486" w:rsidP="00E53512">
            <w:pPr>
              <w:spacing w:after="0" w:line="240" w:lineRule="auto"/>
              <w:jc w:val="center"/>
              <w:rPr>
                <w:rFonts w:cs="Calibri"/>
              </w:rPr>
            </w:pPr>
            <w:r w:rsidRPr="3C3ABBF9">
              <w:rPr>
                <w:rFonts w:cs="Calibri"/>
                <w:b/>
                <w:bCs/>
              </w:rPr>
              <w:t>Lead Organization</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76B2CA19" w14:textId="77777777" w:rsidR="00320486" w:rsidRDefault="00320486" w:rsidP="00E53512">
            <w:pPr>
              <w:keepNext/>
              <w:widowControl w:val="0"/>
              <w:spacing w:after="0" w:line="240" w:lineRule="auto"/>
              <w:jc w:val="center"/>
              <w:rPr>
                <w:rFonts w:cs="Calibri"/>
              </w:rPr>
            </w:pPr>
            <w:r w:rsidRPr="3C3ABBF9">
              <w:rPr>
                <w:rFonts w:cs="Calibri"/>
                <w:b/>
                <w:bCs/>
              </w:rPr>
              <w:t>How do the goals of your Strategic Plan overlap with the goals of each plan?</w:t>
            </w:r>
          </w:p>
        </w:tc>
      </w:tr>
      <w:tr w:rsidR="00320486" w14:paraId="6279590F" w14:textId="77777777" w:rsidTr="00E373A5">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50CB04B7" w14:textId="77777777" w:rsidR="00320486" w:rsidRDefault="00320486" w:rsidP="00E53512">
            <w:pPr>
              <w:keepNext/>
              <w:widowControl w:val="0"/>
              <w:spacing w:after="0" w:line="240" w:lineRule="auto"/>
              <w:rPr>
                <w:rFonts w:cs="Calibri"/>
              </w:rPr>
            </w:pPr>
            <w:r w:rsidRPr="0268261A">
              <w:rPr>
                <w:rFonts w:cs="Calibri"/>
              </w:rPr>
              <w:t>The Housing Availability and Affordability Study for Kootenai County</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1780C988" w14:textId="77777777" w:rsidR="00320486" w:rsidRDefault="00320486" w:rsidP="00E53512">
            <w:pPr>
              <w:keepNext/>
              <w:widowControl w:val="0"/>
              <w:spacing w:after="0" w:line="240" w:lineRule="auto"/>
              <w:rPr>
                <w:rFonts w:cs="Calibri"/>
              </w:rPr>
            </w:pPr>
            <w:r w:rsidRPr="0268261A">
              <w:rPr>
                <w:rFonts w:cs="Calibri"/>
              </w:rPr>
              <w:t>University of Idaho</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42C03335" w14:textId="7F248C04" w:rsidR="00320486" w:rsidRDefault="00A41B7E" w:rsidP="00E53512">
            <w:pPr>
              <w:keepNext/>
              <w:widowControl w:val="0"/>
              <w:spacing w:after="0" w:line="240" w:lineRule="auto"/>
              <w:rPr>
                <w:rFonts w:cs="Calibri"/>
              </w:rPr>
            </w:pPr>
            <w:r>
              <w:rPr>
                <w:rFonts w:cs="Calibri"/>
              </w:rPr>
              <w:t>Provided information on housing affordability concerns.</w:t>
            </w:r>
          </w:p>
        </w:tc>
      </w:tr>
      <w:tr w:rsidR="00320486" w14:paraId="4CD6399C" w14:textId="77777777" w:rsidTr="00E373A5">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645A885D" w14:textId="77777777" w:rsidR="00320486" w:rsidRDefault="00320486" w:rsidP="00E53512">
            <w:pPr>
              <w:spacing w:line="240" w:lineRule="auto"/>
              <w:rPr>
                <w:rFonts w:cs="Calibri"/>
              </w:rPr>
            </w:pPr>
            <w:r w:rsidRPr="0268261A">
              <w:rPr>
                <w:rFonts w:cs="Calibri"/>
              </w:rPr>
              <w:t>Idaho Rural Partnership Strategic Plan 2024 - 2029</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002E318E" w14:textId="77777777" w:rsidR="00320486" w:rsidRDefault="00320486" w:rsidP="00E53512">
            <w:pPr>
              <w:spacing w:line="240" w:lineRule="auto"/>
              <w:rPr>
                <w:rFonts w:cs="Calibri"/>
              </w:rPr>
            </w:pPr>
            <w:r w:rsidRPr="0268261A">
              <w:rPr>
                <w:rFonts w:cs="Calibri"/>
              </w:rPr>
              <w:t>Idaho Rural Partnership</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072FB8EE" w14:textId="48A4E855" w:rsidR="00320486" w:rsidRDefault="00E373A5" w:rsidP="00E53512">
            <w:pPr>
              <w:spacing w:line="240" w:lineRule="auto"/>
              <w:rPr>
                <w:rFonts w:cs="Calibri"/>
              </w:rPr>
            </w:pPr>
            <w:r>
              <w:rPr>
                <w:rFonts w:cs="Calibri"/>
              </w:rPr>
              <w:t>Provided information on housing in rural areas.</w:t>
            </w:r>
          </w:p>
        </w:tc>
      </w:tr>
      <w:tr w:rsidR="00A41B7E" w14:paraId="0A8B5858" w14:textId="77777777" w:rsidTr="00E373A5">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1B882675" w14:textId="6CB38F80" w:rsidR="00A41B7E" w:rsidRPr="0268261A" w:rsidRDefault="005A0165" w:rsidP="00E53512">
            <w:pPr>
              <w:spacing w:line="240" w:lineRule="auto"/>
              <w:rPr>
                <w:rFonts w:cs="Calibri"/>
              </w:rPr>
            </w:pPr>
            <w:r>
              <w:rPr>
                <w:color w:val="000000" w:themeColor="text1"/>
              </w:rPr>
              <w:t>Idaho Broadband Strategic Plan (2022-2027)</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51380C74" w14:textId="4E04AB4B" w:rsidR="00A41B7E" w:rsidRPr="0268261A" w:rsidRDefault="00A41B7E" w:rsidP="00E53512">
            <w:pPr>
              <w:spacing w:line="240" w:lineRule="auto"/>
              <w:rPr>
                <w:rFonts w:cs="Calibri"/>
              </w:rPr>
            </w:pPr>
            <w:r>
              <w:rPr>
                <w:rFonts w:cs="Calibri"/>
              </w:rPr>
              <w:t>State of Idaho</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6E428F96" w14:textId="02B2DE59" w:rsidR="00A41B7E" w:rsidRDefault="00E373A5" w:rsidP="00E53512">
            <w:pPr>
              <w:spacing w:line="240" w:lineRule="auto"/>
              <w:rPr>
                <w:rFonts w:cs="Calibri"/>
              </w:rPr>
            </w:pPr>
            <w:r>
              <w:rPr>
                <w:rFonts w:cs="Calibri"/>
              </w:rPr>
              <w:t>Provided information for the discussion on broadband access.</w:t>
            </w:r>
          </w:p>
        </w:tc>
      </w:tr>
      <w:tr w:rsidR="00E373A5" w14:paraId="2896742C" w14:textId="77777777" w:rsidTr="00E373A5">
        <w:trPr>
          <w:trHeight w:val="300"/>
        </w:trPr>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2226072A" w14:textId="2A45C86F" w:rsidR="00E373A5" w:rsidRPr="00B01AF0" w:rsidRDefault="00E373A5" w:rsidP="00E373A5">
            <w:pPr>
              <w:spacing w:line="240" w:lineRule="auto"/>
              <w:rPr>
                <w:rFonts w:cs="Calibri"/>
                <w:color w:val="000000" w:themeColor="text1"/>
              </w:rPr>
            </w:pPr>
            <w:r w:rsidRPr="00A8415B">
              <w:rPr>
                <w:rFonts w:cs="Calibri"/>
                <w:color w:val="000000" w:themeColor="text1"/>
              </w:rPr>
              <w:t>The Idaho State Hazard Mitigation Plan (SHMP) (2023)</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27ED8AA2" w14:textId="78A5938F" w:rsidR="00E373A5" w:rsidRDefault="00E373A5" w:rsidP="00E373A5">
            <w:pPr>
              <w:spacing w:line="240" w:lineRule="auto"/>
              <w:rPr>
                <w:rFonts w:cs="Calibri"/>
              </w:rPr>
            </w:pPr>
            <w:r>
              <w:rPr>
                <w:rFonts w:cs="Calibri"/>
                <w:color w:val="000000" w:themeColor="text1"/>
              </w:rPr>
              <w:t>State of Idaho</w:t>
            </w:r>
          </w:p>
        </w:tc>
        <w:tc>
          <w:tcPr>
            <w:tcW w:w="3120" w:type="dxa"/>
            <w:tcBorders>
              <w:top w:val="single" w:sz="6" w:space="0" w:color="auto"/>
              <w:left w:val="single" w:sz="6" w:space="0" w:color="auto"/>
              <w:bottom w:val="single" w:sz="6" w:space="0" w:color="auto"/>
              <w:right w:val="single" w:sz="6" w:space="0" w:color="auto"/>
            </w:tcBorders>
            <w:tcMar>
              <w:left w:w="105" w:type="dxa"/>
              <w:right w:w="105" w:type="dxa"/>
            </w:tcMar>
          </w:tcPr>
          <w:p w14:paraId="5EEC416A" w14:textId="7B157520" w:rsidR="00E373A5" w:rsidRDefault="00E373A5" w:rsidP="00E373A5">
            <w:pPr>
              <w:spacing w:line="240" w:lineRule="auto"/>
              <w:rPr>
                <w:rFonts w:cs="Calibri"/>
              </w:rPr>
            </w:pPr>
            <w:r>
              <w:rPr>
                <w:rFonts w:cs="Calibri"/>
                <w:color w:val="000000" w:themeColor="text1"/>
              </w:rPr>
              <w:t>Provided information for the discussion on hazard mitigation.</w:t>
            </w:r>
          </w:p>
        </w:tc>
      </w:tr>
    </w:tbl>
    <w:p w14:paraId="516CF1E6" w14:textId="77777777" w:rsidR="00320486" w:rsidRDefault="00320486" w:rsidP="00320486">
      <w:pPr>
        <w:spacing w:after="0" w:line="240" w:lineRule="auto"/>
        <w:jc w:val="center"/>
        <w:rPr>
          <w:rFonts w:cs="Calibri"/>
          <w:b/>
          <w:bCs/>
          <w:color w:val="000000" w:themeColor="text1"/>
          <w:sz w:val="20"/>
          <w:szCs w:val="20"/>
        </w:rPr>
      </w:pPr>
      <w:r w:rsidRPr="3C3ABBF9">
        <w:rPr>
          <w:rFonts w:cs="Calibri"/>
          <w:b/>
          <w:bCs/>
          <w:color w:val="000000" w:themeColor="text1"/>
          <w:sz w:val="20"/>
          <w:szCs w:val="20"/>
        </w:rPr>
        <w:t>Table 3 – Other local / regional / federal planning efforts</w:t>
      </w:r>
    </w:p>
    <w:p w14:paraId="71391D7B" w14:textId="77777777" w:rsidR="00294BD0" w:rsidRDefault="00294BD0" w:rsidP="00320486">
      <w:pPr>
        <w:rPr>
          <w:rFonts w:cs="Calibri"/>
          <w:b/>
          <w:bCs/>
          <w:color w:val="000000" w:themeColor="text1"/>
          <w:sz w:val="24"/>
          <w:szCs w:val="24"/>
        </w:rPr>
      </w:pPr>
    </w:p>
    <w:p w14:paraId="5B88E61C" w14:textId="3AB061DA" w:rsidR="00320486" w:rsidRPr="00294BD0" w:rsidRDefault="00320486" w:rsidP="00320486">
      <w:pPr>
        <w:rPr>
          <w:rFonts w:cs="Calibri"/>
          <w:color w:val="000000" w:themeColor="text1"/>
          <w:sz w:val="24"/>
          <w:szCs w:val="24"/>
        </w:rPr>
      </w:pPr>
      <w:r w:rsidRPr="787E070B">
        <w:rPr>
          <w:rFonts w:cs="Calibri"/>
          <w:b/>
          <w:bCs/>
          <w:color w:val="000000" w:themeColor="text1"/>
          <w:sz w:val="24"/>
          <w:szCs w:val="24"/>
        </w:rPr>
        <w:t>Describe cooperation and coordination among the State and any units of general local government, in the implementation of the Consolidated Plan (91.315(l))</w:t>
      </w:r>
      <w:r w:rsidR="072B6765" w:rsidRPr="787E070B">
        <w:rPr>
          <w:rFonts w:cs="Calibri"/>
          <w:b/>
          <w:bCs/>
          <w:color w:val="000000" w:themeColor="text1"/>
          <w:sz w:val="24"/>
          <w:szCs w:val="24"/>
        </w:rPr>
        <w:t>.</w:t>
      </w:r>
    </w:p>
    <w:p w14:paraId="2DF0AD0B" w14:textId="47406F7A" w:rsidR="00320486" w:rsidRPr="00294BD0" w:rsidRDefault="00320486" w:rsidP="00C83593">
      <w:pPr>
        <w:spacing w:beforeAutospacing="1" w:afterAutospacing="1"/>
        <w:jc w:val="both"/>
        <w:rPr>
          <w:rFonts w:cs="Calibri"/>
          <w:sz w:val="24"/>
          <w:szCs w:val="24"/>
        </w:rPr>
      </w:pPr>
      <w:r w:rsidRPr="787E070B">
        <w:rPr>
          <w:rFonts w:cs="Calibri"/>
          <w:color w:val="000000" w:themeColor="text1"/>
          <w:sz w:val="24"/>
          <w:szCs w:val="24"/>
        </w:rPr>
        <w:t xml:space="preserve">Idaho’s Balance of State </w:t>
      </w:r>
      <w:r w:rsidR="003A7226" w:rsidRPr="787E070B">
        <w:rPr>
          <w:rFonts w:cs="Calibri"/>
          <w:color w:val="000000" w:themeColor="text1"/>
          <w:sz w:val="24"/>
          <w:szCs w:val="24"/>
        </w:rPr>
        <w:t>C</w:t>
      </w:r>
      <w:r w:rsidR="003A7226">
        <w:rPr>
          <w:rFonts w:cs="Calibri"/>
          <w:color w:val="000000" w:themeColor="text1"/>
          <w:sz w:val="24"/>
          <w:szCs w:val="24"/>
        </w:rPr>
        <w:t>ontinuum of Care</w:t>
      </w:r>
      <w:r w:rsidR="003A7226" w:rsidRPr="787E070B">
        <w:rPr>
          <w:rFonts w:cs="Calibri"/>
          <w:color w:val="000000" w:themeColor="text1"/>
          <w:sz w:val="24"/>
          <w:szCs w:val="24"/>
        </w:rPr>
        <w:t xml:space="preserve"> </w:t>
      </w:r>
      <w:r w:rsidRPr="787E070B">
        <w:rPr>
          <w:rFonts w:cs="Calibri"/>
          <w:color w:val="000000" w:themeColor="text1"/>
          <w:sz w:val="24"/>
          <w:szCs w:val="24"/>
        </w:rPr>
        <w:t>governing board</w:t>
      </w:r>
      <w:r w:rsidR="7AB9C7B9" w:rsidRPr="787E070B">
        <w:rPr>
          <w:rFonts w:cs="Calibri"/>
          <w:color w:val="000000" w:themeColor="text1"/>
          <w:sz w:val="24"/>
          <w:szCs w:val="24"/>
        </w:rPr>
        <w:t xml:space="preserve"> (Guiding Idaho Committee)</w:t>
      </w:r>
      <w:r w:rsidRPr="787E070B">
        <w:rPr>
          <w:rFonts w:cs="Calibri"/>
          <w:color w:val="000000" w:themeColor="text1"/>
          <w:sz w:val="24"/>
          <w:szCs w:val="24"/>
        </w:rPr>
        <w:t xml:space="preserve"> includes representation from multiple state departments, including the Department of Health and Welfare, the Department of Commerce, the Department of Labor, the Department of Education, the Department of Corrections, and the Department of Veteran Affairs.  IHFA distributed solicitations for funding priority recommendations to the Balance of State CoC, which includes these departments.  Additionally, entitlement communities were contacted with a request for comment.  </w:t>
      </w:r>
      <w:r w:rsidRPr="787E070B">
        <w:rPr>
          <w:rFonts w:cs="Calibri"/>
          <w:sz w:val="24"/>
          <w:szCs w:val="24"/>
        </w:rPr>
        <w:t xml:space="preserve"> </w:t>
      </w:r>
    </w:p>
    <w:p w14:paraId="052B55EB" w14:textId="77777777" w:rsidR="00320486" w:rsidRDefault="00320486" w:rsidP="00320486">
      <w:pPr>
        <w:rPr>
          <w:rFonts w:cs="Calibri"/>
          <w:b/>
          <w:bCs/>
          <w:color w:val="000000" w:themeColor="text1"/>
        </w:rPr>
      </w:pPr>
    </w:p>
    <w:p w14:paraId="6A8BC075" w14:textId="77777777" w:rsidR="00320486" w:rsidRDefault="00320486" w:rsidP="00320486">
      <w:pPr>
        <w:rPr>
          <w:rFonts w:cs="Calibri"/>
          <w:color w:val="000000" w:themeColor="text1"/>
        </w:rPr>
      </w:pPr>
      <w:r w:rsidRPr="3C3ABBF9">
        <w:rPr>
          <w:rFonts w:cs="Calibri"/>
          <w:b/>
          <w:bCs/>
          <w:color w:val="000000" w:themeColor="text1"/>
          <w:sz w:val="24"/>
          <w:szCs w:val="24"/>
        </w:rPr>
        <w:t>Narrative (optional):</w:t>
      </w:r>
    </w:p>
    <w:p w14:paraId="02252DCC" w14:textId="77777777" w:rsidR="001865FB" w:rsidRDefault="001865FB">
      <w:pPr>
        <w:spacing w:after="160" w:line="259" w:lineRule="auto"/>
        <w:rPr>
          <w:rFonts w:cs="Calibri"/>
          <w:b/>
          <w:bCs/>
          <w:color w:val="000000" w:themeColor="text1"/>
          <w:sz w:val="28"/>
          <w:szCs w:val="28"/>
        </w:rPr>
      </w:pPr>
      <w:r>
        <w:rPr>
          <w:rFonts w:cs="Calibri"/>
          <w:b/>
          <w:bCs/>
          <w:color w:val="000000" w:themeColor="text1"/>
          <w:sz w:val="28"/>
          <w:szCs w:val="28"/>
        </w:rPr>
        <w:br w:type="page"/>
      </w:r>
    </w:p>
    <w:p w14:paraId="0E63292A" w14:textId="64BB57D3" w:rsidR="00320486" w:rsidRDefault="00320486" w:rsidP="00320486">
      <w:pPr>
        <w:pStyle w:val="Heading2"/>
        <w:keepNext w:val="0"/>
        <w:widowControl w:val="0"/>
        <w:spacing w:before="240" w:after="60"/>
        <w:rPr>
          <w:rFonts w:ascii="Calibri" w:eastAsia="Calibri" w:hAnsi="Calibri" w:cs="Calibri"/>
          <w:b/>
          <w:bCs/>
          <w:i/>
          <w:iCs/>
          <w:color w:val="000000" w:themeColor="text1"/>
          <w:sz w:val="28"/>
          <w:szCs w:val="28"/>
        </w:rPr>
      </w:pPr>
      <w:bookmarkStart w:id="7" w:name="_Toc194673833"/>
      <w:r w:rsidRPr="3C3ABBF9">
        <w:rPr>
          <w:rFonts w:ascii="Calibri" w:eastAsia="Calibri" w:hAnsi="Calibri" w:cs="Calibri"/>
          <w:b/>
          <w:bCs/>
          <w:color w:val="000000" w:themeColor="text1"/>
          <w:sz w:val="28"/>
          <w:szCs w:val="28"/>
        </w:rPr>
        <w:lastRenderedPageBreak/>
        <w:t>PR-15 Citizen Participation – 91.105, 91.115, 91.200(c) and 91.300(c)</w:t>
      </w:r>
      <w:bookmarkEnd w:id="7"/>
    </w:p>
    <w:p w14:paraId="0D2EEFE0" w14:textId="77777777" w:rsidR="00320486" w:rsidRPr="00294BD0" w:rsidRDefault="00320486" w:rsidP="00320486">
      <w:pPr>
        <w:spacing w:after="0" w:line="240" w:lineRule="auto"/>
        <w:rPr>
          <w:rFonts w:cs="Calibri"/>
          <w:color w:val="000000" w:themeColor="text1"/>
          <w:sz w:val="24"/>
          <w:szCs w:val="24"/>
        </w:rPr>
      </w:pPr>
      <w:r w:rsidRPr="00294BD0">
        <w:rPr>
          <w:rFonts w:cs="Calibri"/>
          <w:b/>
          <w:bCs/>
          <w:color w:val="000000" w:themeColor="text1"/>
          <w:sz w:val="24"/>
          <w:szCs w:val="24"/>
        </w:rPr>
        <w:t>1.</w:t>
      </w:r>
      <w:r w:rsidRPr="00294BD0">
        <w:rPr>
          <w:sz w:val="24"/>
          <w:szCs w:val="24"/>
        </w:rPr>
        <w:tab/>
      </w:r>
      <w:r w:rsidRPr="00294BD0">
        <w:rPr>
          <w:rFonts w:cs="Calibri"/>
          <w:b/>
          <w:bCs/>
          <w:color w:val="000000" w:themeColor="text1"/>
          <w:sz w:val="24"/>
          <w:szCs w:val="24"/>
        </w:rPr>
        <w:t>Summary of citizen participation process/Efforts made to broaden citizen participation</w:t>
      </w:r>
    </w:p>
    <w:p w14:paraId="5CB52004" w14:textId="77777777" w:rsidR="00320486" w:rsidRPr="00294BD0" w:rsidRDefault="00320486" w:rsidP="00320486">
      <w:pPr>
        <w:spacing w:after="0" w:line="240" w:lineRule="auto"/>
        <w:rPr>
          <w:rFonts w:cs="Calibri"/>
          <w:color w:val="000000" w:themeColor="text1"/>
          <w:sz w:val="24"/>
          <w:szCs w:val="24"/>
        </w:rPr>
      </w:pPr>
      <w:r w:rsidRPr="00294BD0">
        <w:rPr>
          <w:rFonts w:cs="Calibri"/>
          <w:b/>
          <w:bCs/>
          <w:color w:val="000000" w:themeColor="text1"/>
          <w:sz w:val="24"/>
          <w:szCs w:val="24"/>
        </w:rPr>
        <w:t xml:space="preserve">Summarize citizen participation process and how it impacted </w:t>
      </w:r>
      <w:proofErr w:type="gramStart"/>
      <w:r w:rsidRPr="00294BD0">
        <w:rPr>
          <w:rFonts w:cs="Calibri"/>
          <w:b/>
          <w:bCs/>
          <w:color w:val="000000" w:themeColor="text1"/>
          <w:sz w:val="24"/>
          <w:szCs w:val="24"/>
        </w:rPr>
        <w:t>goal-setting</w:t>
      </w:r>
      <w:proofErr w:type="gramEnd"/>
    </w:p>
    <w:p w14:paraId="2B9A29C6" w14:textId="6743D6C7" w:rsidR="00320486" w:rsidRPr="00294BD0" w:rsidRDefault="00E373A5" w:rsidP="00C83593">
      <w:pPr>
        <w:jc w:val="both"/>
        <w:rPr>
          <w:rFonts w:ascii="Aptos" w:eastAsia="Aptos" w:hAnsi="Aptos" w:cs="Aptos"/>
          <w:sz w:val="24"/>
          <w:szCs w:val="24"/>
        </w:rPr>
      </w:pPr>
      <w:r>
        <w:br/>
      </w:r>
      <w:r w:rsidR="00320486" w:rsidRPr="787E070B">
        <w:rPr>
          <w:rFonts w:cs="Calibri"/>
          <w:color w:val="000000" w:themeColor="text1"/>
          <w:sz w:val="24"/>
          <w:szCs w:val="24"/>
        </w:rPr>
        <w:t xml:space="preserve">The State utilized a variety of citizen participation tools throughout the process to allow input on the planning process.  This included a </w:t>
      </w:r>
      <w:r w:rsidRPr="787E070B">
        <w:rPr>
          <w:rFonts w:cs="Calibri"/>
          <w:color w:val="000000" w:themeColor="text1"/>
          <w:sz w:val="24"/>
          <w:szCs w:val="24"/>
        </w:rPr>
        <w:t xml:space="preserve">digital </w:t>
      </w:r>
      <w:r w:rsidR="00320486" w:rsidRPr="787E070B">
        <w:rPr>
          <w:rFonts w:cs="Calibri"/>
          <w:color w:val="000000" w:themeColor="text1"/>
          <w:sz w:val="24"/>
          <w:szCs w:val="24"/>
        </w:rPr>
        <w:t>survey</w:t>
      </w:r>
      <w:r w:rsidRPr="787E070B">
        <w:rPr>
          <w:rFonts w:cs="Calibri"/>
          <w:color w:val="000000" w:themeColor="text1"/>
          <w:sz w:val="24"/>
          <w:szCs w:val="24"/>
        </w:rPr>
        <w:t xml:space="preserve"> of residents and stakeholder</w:t>
      </w:r>
      <w:r w:rsidR="00320486" w:rsidRPr="787E070B">
        <w:rPr>
          <w:rFonts w:cs="Calibri"/>
          <w:color w:val="000000" w:themeColor="text1"/>
          <w:sz w:val="24"/>
          <w:szCs w:val="24"/>
        </w:rPr>
        <w:t xml:space="preserve">, stakeholder interviews, community meetings, and public input sessions.  The comments received from these various forums were integrated into the development of the </w:t>
      </w:r>
      <w:r w:rsidR="5DDB8349" w:rsidRPr="787E070B">
        <w:rPr>
          <w:rFonts w:cs="Calibri"/>
          <w:color w:val="000000" w:themeColor="text1"/>
          <w:sz w:val="24"/>
          <w:szCs w:val="24"/>
        </w:rPr>
        <w:t>P</w:t>
      </w:r>
      <w:r w:rsidR="00320486" w:rsidRPr="787E070B">
        <w:rPr>
          <w:rFonts w:cs="Calibri"/>
          <w:color w:val="000000" w:themeColor="text1"/>
          <w:sz w:val="24"/>
          <w:szCs w:val="24"/>
        </w:rPr>
        <w:t>lan in selecting priority needs and establishing goals. </w:t>
      </w:r>
    </w:p>
    <w:p w14:paraId="752D967D" w14:textId="5AB598C7" w:rsidR="006F370F" w:rsidRDefault="006F370F" w:rsidP="00320486">
      <w:pPr>
        <w:keepNext/>
        <w:rPr>
          <w:rFonts w:cs="Calibri"/>
          <w:b/>
          <w:bCs/>
        </w:rPr>
        <w:sectPr w:rsidR="006F370F" w:rsidSect="005332D8">
          <w:pgSz w:w="12240" w:h="15840"/>
          <w:pgMar w:top="1440" w:right="1440" w:bottom="1440" w:left="1440" w:header="720" w:footer="720" w:gutter="0"/>
          <w:cols w:space="720"/>
          <w:docGrid w:linePitch="360"/>
        </w:sectPr>
      </w:pPr>
      <w:r w:rsidRPr="3C3ABBF9">
        <w:rPr>
          <w:rFonts w:cs="Calibri"/>
          <w:b/>
          <w:bCs/>
          <w:color w:val="000000" w:themeColor="text1"/>
          <w:sz w:val="24"/>
          <w:szCs w:val="24"/>
        </w:rPr>
        <w:t>Citizen Participation Outreac</w:t>
      </w:r>
      <w:r>
        <w:rPr>
          <w:rFonts w:cs="Calibri"/>
          <w:b/>
          <w:bCs/>
          <w:color w:val="000000" w:themeColor="text1"/>
          <w:sz w:val="24"/>
          <w:szCs w:val="24"/>
        </w:rPr>
        <w:t>h</w:t>
      </w:r>
    </w:p>
    <w:tbl>
      <w:tblPr>
        <w:tblStyle w:val="TableGrid"/>
        <w:tblW w:w="0" w:type="auto"/>
        <w:tblLook w:val="04A0" w:firstRow="1" w:lastRow="0" w:firstColumn="1" w:lastColumn="0" w:noHBand="0" w:noVBand="1"/>
      </w:tblPr>
      <w:tblGrid>
        <w:gridCol w:w="1140"/>
        <w:gridCol w:w="2248"/>
        <w:gridCol w:w="1831"/>
        <w:gridCol w:w="2014"/>
        <w:gridCol w:w="1857"/>
        <w:gridCol w:w="2157"/>
        <w:gridCol w:w="1588"/>
      </w:tblGrid>
      <w:tr w:rsidR="009E6FD0" w14:paraId="7AE5B64F" w14:textId="77777777" w:rsidTr="005332D8">
        <w:tc>
          <w:tcPr>
            <w:tcW w:w="1140" w:type="dxa"/>
          </w:tcPr>
          <w:p w14:paraId="69356815" w14:textId="1DF1F251" w:rsidR="009E6FD0" w:rsidRDefault="009E6FD0" w:rsidP="00320486">
            <w:pPr>
              <w:keepNext/>
              <w:rPr>
                <w:rFonts w:cs="Calibri"/>
                <w:color w:val="000000" w:themeColor="text1"/>
              </w:rPr>
            </w:pPr>
            <w:r w:rsidRPr="3C3ABBF9">
              <w:rPr>
                <w:rFonts w:cs="Calibri"/>
                <w:b/>
                <w:bCs/>
              </w:rPr>
              <w:lastRenderedPageBreak/>
              <w:t>Sort Order</w:t>
            </w:r>
          </w:p>
        </w:tc>
        <w:tc>
          <w:tcPr>
            <w:tcW w:w="2248" w:type="dxa"/>
          </w:tcPr>
          <w:p w14:paraId="40E6EFB4" w14:textId="5CE8BFA2" w:rsidR="009E6FD0" w:rsidRDefault="009E6FD0" w:rsidP="00320486">
            <w:pPr>
              <w:keepNext/>
              <w:rPr>
                <w:rFonts w:cs="Calibri"/>
                <w:color w:val="000000" w:themeColor="text1"/>
              </w:rPr>
            </w:pPr>
            <w:r w:rsidRPr="3C3ABBF9">
              <w:rPr>
                <w:rFonts w:cs="Calibri"/>
                <w:b/>
                <w:bCs/>
              </w:rPr>
              <w:t>Mode of Outreach</w:t>
            </w:r>
          </w:p>
        </w:tc>
        <w:tc>
          <w:tcPr>
            <w:tcW w:w="1831" w:type="dxa"/>
          </w:tcPr>
          <w:p w14:paraId="7686B2D1" w14:textId="4C04763E" w:rsidR="009E6FD0" w:rsidRDefault="009E6FD0" w:rsidP="00320486">
            <w:pPr>
              <w:keepNext/>
              <w:rPr>
                <w:rFonts w:cs="Calibri"/>
                <w:color w:val="000000" w:themeColor="text1"/>
              </w:rPr>
            </w:pPr>
            <w:r w:rsidRPr="3C3ABBF9">
              <w:rPr>
                <w:rFonts w:cs="Calibri"/>
                <w:b/>
                <w:bCs/>
              </w:rPr>
              <w:t>Target of Outreach</w:t>
            </w:r>
          </w:p>
        </w:tc>
        <w:tc>
          <w:tcPr>
            <w:tcW w:w="2014" w:type="dxa"/>
          </w:tcPr>
          <w:p w14:paraId="5120BCAE" w14:textId="77777777" w:rsidR="009E6FD0" w:rsidRDefault="009E6FD0" w:rsidP="009E6FD0">
            <w:pPr>
              <w:keepNext/>
              <w:spacing w:after="0" w:line="240" w:lineRule="auto"/>
              <w:jc w:val="center"/>
              <w:rPr>
                <w:rFonts w:cs="Calibri"/>
              </w:rPr>
            </w:pPr>
            <w:r w:rsidRPr="3C3ABBF9">
              <w:rPr>
                <w:rFonts w:cs="Calibri"/>
                <w:b/>
                <w:bCs/>
              </w:rPr>
              <w:t>Summary of </w:t>
            </w:r>
          </w:p>
          <w:p w14:paraId="2886E161" w14:textId="6FF33886" w:rsidR="009E6FD0" w:rsidRDefault="009E6FD0" w:rsidP="009E6FD0">
            <w:pPr>
              <w:keepNext/>
              <w:rPr>
                <w:rFonts w:cs="Calibri"/>
                <w:color w:val="000000" w:themeColor="text1"/>
              </w:rPr>
            </w:pPr>
            <w:r w:rsidRPr="3C3ABBF9">
              <w:rPr>
                <w:rFonts w:cs="Calibri"/>
                <w:b/>
                <w:bCs/>
              </w:rPr>
              <w:t>response/attendance</w:t>
            </w:r>
          </w:p>
        </w:tc>
        <w:tc>
          <w:tcPr>
            <w:tcW w:w="1857" w:type="dxa"/>
          </w:tcPr>
          <w:p w14:paraId="004EA7A7" w14:textId="77777777" w:rsidR="009E6FD0" w:rsidRDefault="009E6FD0" w:rsidP="009E6FD0">
            <w:pPr>
              <w:keepNext/>
              <w:spacing w:after="0" w:line="240" w:lineRule="auto"/>
              <w:jc w:val="center"/>
              <w:rPr>
                <w:rFonts w:cs="Calibri"/>
              </w:rPr>
            </w:pPr>
            <w:r w:rsidRPr="3C3ABBF9">
              <w:rPr>
                <w:rFonts w:cs="Calibri"/>
                <w:b/>
                <w:bCs/>
              </w:rPr>
              <w:t>Summary of </w:t>
            </w:r>
          </w:p>
          <w:p w14:paraId="59811DFA" w14:textId="64826F2F" w:rsidR="009E6FD0" w:rsidRDefault="009E6FD0" w:rsidP="009E6FD0">
            <w:pPr>
              <w:keepNext/>
              <w:rPr>
                <w:rFonts w:cs="Calibri"/>
                <w:color w:val="000000" w:themeColor="text1"/>
              </w:rPr>
            </w:pPr>
            <w:r w:rsidRPr="3C3ABBF9">
              <w:rPr>
                <w:rFonts w:cs="Calibri"/>
                <w:b/>
                <w:bCs/>
              </w:rPr>
              <w:t>comments received</w:t>
            </w:r>
          </w:p>
        </w:tc>
        <w:tc>
          <w:tcPr>
            <w:tcW w:w="2157" w:type="dxa"/>
          </w:tcPr>
          <w:p w14:paraId="4967F48F" w14:textId="3B559CC4" w:rsidR="009E6FD0" w:rsidRDefault="009E6FD0" w:rsidP="00320486">
            <w:pPr>
              <w:keepNext/>
              <w:rPr>
                <w:rFonts w:cs="Calibri"/>
                <w:color w:val="000000" w:themeColor="text1"/>
              </w:rPr>
            </w:pPr>
            <w:r w:rsidRPr="3C3ABBF9">
              <w:rPr>
                <w:rFonts w:cs="Calibri"/>
                <w:b/>
                <w:bCs/>
              </w:rPr>
              <w:t>Summary of comments not accepted and reasons</w:t>
            </w:r>
          </w:p>
        </w:tc>
        <w:tc>
          <w:tcPr>
            <w:tcW w:w="1588" w:type="dxa"/>
          </w:tcPr>
          <w:p w14:paraId="341DEBA4" w14:textId="4CE66456" w:rsidR="009E6FD0" w:rsidRDefault="009E6FD0" w:rsidP="00320486">
            <w:pPr>
              <w:keepNext/>
              <w:rPr>
                <w:rFonts w:cs="Calibri"/>
                <w:color w:val="000000" w:themeColor="text1"/>
              </w:rPr>
            </w:pPr>
            <w:r w:rsidRPr="3C3ABBF9">
              <w:rPr>
                <w:rFonts w:cs="Calibri"/>
                <w:b/>
                <w:bCs/>
              </w:rPr>
              <w:t>URL (If applicable)</w:t>
            </w:r>
          </w:p>
        </w:tc>
      </w:tr>
      <w:tr w:rsidR="00F34F6F" w14:paraId="104B19DE" w14:textId="77777777" w:rsidTr="005332D8">
        <w:tc>
          <w:tcPr>
            <w:tcW w:w="1140" w:type="dxa"/>
          </w:tcPr>
          <w:p w14:paraId="598FFCB1" w14:textId="089DE930" w:rsidR="00F34F6F" w:rsidRDefault="00F34F6F" w:rsidP="00F34F6F">
            <w:pPr>
              <w:keepNext/>
              <w:rPr>
                <w:rFonts w:cs="Calibri"/>
                <w:color w:val="000000" w:themeColor="text1"/>
              </w:rPr>
            </w:pPr>
            <w:r>
              <w:rPr>
                <w:rFonts w:cs="Calibri"/>
                <w:color w:val="000000" w:themeColor="text1"/>
              </w:rPr>
              <w:t>1</w:t>
            </w:r>
          </w:p>
        </w:tc>
        <w:tc>
          <w:tcPr>
            <w:tcW w:w="2248" w:type="dxa"/>
          </w:tcPr>
          <w:p w14:paraId="03DE0638" w14:textId="77A3FC8D" w:rsidR="00F34F6F" w:rsidRDefault="00F34F6F" w:rsidP="00F34F6F">
            <w:pPr>
              <w:keepNext/>
              <w:rPr>
                <w:rFonts w:cs="Calibri"/>
                <w:color w:val="000000" w:themeColor="text1"/>
              </w:rPr>
            </w:pPr>
            <w:r w:rsidRPr="799DB5D3">
              <w:rPr>
                <w:rFonts w:cs="Calibri"/>
              </w:rPr>
              <w:t>Surveys</w:t>
            </w:r>
          </w:p>
        </w:tc>
        <w:tc>
          <w:tcPr>
            <w:tcW w:w="1831" w:type="dxa"/>
          </w:tcPr>
          <w:p w14:paraId="57D59320" w14:textId="77777777" w:rsidR="00F34F6F" w:rsidRDefault="00F34F6F" w:rsidP="00F34F6F">
            <w:pPr>
              <w:spacing w:after="0" w:line="240" w:lineRule="auto"/>
              <w:rPr>
                <w:rFonts w:cs="Calibri"/>
              </w:rPr>
            </w:pPr>
            <w:r w:rsidRPr="799DB5D3">
              <w:rPr>
                <w:rFonts w:cs="Calibri"/>
              </w:rPr>
              <w:t>Non targeted/broad community </w:t>
            </w:r>
          </w:p>
          <w:p w14:paraId="77A145BE" w14:textId="77777777" w:rsidR="00F34F6F" w:rsidRDefault="00F34F6F" w:rsidP="00F34F6F">
            <w:pPr>
              <w:keepNext/>
              <w:rPr>
                <w:rFonts w:cs="Calibri"/>
                <w:color w:val="000000" w:themeColor="text1"/>
              </w:rPr>
            </w:pPr>
          </w:p>
        </w:tc>
        <w:tc>
          <w:tcPr>
            <w:tcW w:w="2014" w:type="dxa"/>
          </w:tcPr>
          <w:p w14:paraId="4FA45936" w14:textId="77777777" w:rsidR="00F34F6F" w:rsidRDefault="00F34F6F" w:rsidP="00F34F6F">
            <w:pPr>
              <w:keepNext/>
              <w:spacing w:after="0" w:line="240" w:lineRule="auto"/>
              <w:rPr>
                <w:rFonts w:cs="Calibri"/>
              </w:rPr>
            </w:pPr>
            <w:r w:rsidRPr="799DB5D3">
              <w:rPr>
                <w:rFonts w:cs="Calibri"/>
              </w:rPr>
              <w:t xml:space="preserve">The Idaho Consolidated Plan 2025-2029 Needs Assessment Resident Survey and Stakeholder Survey asked respondents various questions about the housing and community service needs throughout the state. The resident survey received 16 </w:t>
            </w:r>
            <w:proofErr w:type="gramStart"/>
            <w:r w:rsidRPr="799DB5D3">
              <w:rPr>
                <w:rFonts w:cs="Calibri"/>
              </w:rPr>
              <w:t>responses</w:t>
            </w:r>
            <w:proofErr w:type="gramEnd"/>
            <w:r w:rsidRPr="799DB5D3">
              <w:rPr>
                <w:rFonts w:cs="Calibri"/>
              </w:rPr>
              <w:t xml:space="preserve"> and the stakeholder survey received 28 responses.</w:t>
            </w:r>
          </w:p>
          <w:p w14:paraId="0399CB6D" w14:textId="77777777" w:rsidR="00F34F6F" w:rsidRDefault="00F34F6F" w:rsidP="00F34F6F">
            <w:pPr>
              <w:keepNext/>
              <w:spacing w:after="0" w:line="240" w:lineRule="auto"/>
              <w:rPr>
                <w:rFonts w:cs="Calibri"/>
              </w:rPr>
            </w:pPr>
          </w:p>
          <w:p w14:paraId="00FD7B18" w14:textId="22E9356C" w:rsidR="00F34F6F" w:rsidRDefault="00F34F6F" w:rsidP="00F34F6F">
            <w:pPr>
              <w:keepNext/>
              <w:rPr>
                <w:rFonts w:cs="Calibri"/>
                <w:color w:val="000000" w:themeColor="text1"/>
              </w:rPr>
            </w:pPr>
            <w:r w:rsidRPr="799DB5D3">
              <w:rPr>
                <w:rFonts w:cs="Calibri"/>
              </w:rPr>
              <w:t>The 2025-2029 CDBG survey asked respondents a variety of questions about the non-housing community development needs of Idaho’s cities and</w:t>
            </w:r>
            <w:r>
              <w:rPr>
                <w:rFonts w:cs="Calibri"/>
              </w:rPr>
              <w:t xml:space="preserve"> </w:t>
            </w:r>
            <w:r w:rsidRPr="799DB5D3">
              <w:rPr>
                <w:rFonts w:cs="Calibri"/>
              </w:rPr>
              <w:t>counties. The survey received 92 responses.</w:t>
            </w:r>
          </w:p>
        </w:tc>
        <w:tc>
          <w:tcPr>
            <w:tcW w:w="1857" w:type="dxa"/>
          </w:tcPr>
          <w:p w14:paraId="55DB6281" w14:textId="77777777" w:rsidR="00F34F6F" w:rsidRDefault="00F34F6F" w:rsidP="00F34F6F">
            <w:pPr>
              <w:spacing w:after="0" w:line="240" w:lineRule="auto"/>
              <w:rPr>
                <w:rFonts w:cs="Calibri"/>
              </w:rPr>
            </w:pPr>
            <w:r w:rsidRPr="799DB5D3">
              <w:rPr>
                <w:rFonts w:cs="Calibri"/>
              </w:rPr>
              <w:t>Outcomes of the survey results are presented throughout this document.  </w:t>
            </w:r>
          </w:p>
          <w:p w14:paraId="1767FEF2" w14:textId="77777777" w:rsidR="00F34F6F" w:rsidRDefault="00F34F6F" w:rsidP="00F34F6F">
            <w:pPr>
              <w:keepNext/>
              <w:rPr>
                <w:rFonts w:cs="Calibri"/>
                <w:color w:val="000000" w:themeColor="text1"/>
              </w:rPr>
            </w:pPr>
          </w:p>
        </w:tc>
        <w:tc>
          <w:tcPr>
            <w:tcW w:w="2157" w:type="dxa"/>
          </w:tcPr>
          <w:p w14:paraId="0BAC3860" w14:textId="70114602" w:rsidR="00F34F6F" w:rsidRDefault="00F34F6F" w:rsidP="00F34F6F">
            <w:pPr>
              <w:keepNext/>
              <w:rPr>
                <w:rFonts w:cs="Calibri"/>
                <w:color w:val="000000" w:themeColor="text1"/>
              </w:rPr>
            </w:pPr>
            <w:r w:rsidRPr="43C538CD">
              <w:rPr>
                <w:rFonts w:cs="Calibri"/>
              </w:rPr>
              <w:t>All comments were accepted</w:t>
            </w:r>
          </w:p>
        </w:tc>
        <w:tc>
          <w:tcPr>
            <w:tcW w:w="1588" w:type="dxa"/>
          </w:tcPr>
          <w:p w14:paraId="68FB6B2A" w14:textId="77777777" w:rsidR="00F34F6F" w:rsidRDefault="00F34F6F" w:rsidP="00F34F6F">
            <w:pPr>
              <w:keepNext/>
              <w:rPr>
                <w:rFonts w:cs="Calibri"/>
                <w:color w:val="000000" w:themeColor="text1"/>
              </w:rPr>
            </w:pPr>
          </w:p>
        </w:tc>
      </w:tr>
      <w:tr w:rsidR="00F34F6F" w14:paraId="2C415DF5" w14:textId="77777777" w:rsidTr="005332D8">
        <w:tc>
          <w:tcPr>
            <w:tcW w:w="1140" w:type="dxa"/>
          </w:tcPr>
          <w:p w14:paraId="2C2C0F26" w14:textId="701EFFC3" w:rsidR="00F34F6F" w:rsidRDefault="00F34F6F" w:rsidP="00F34F6F">
            <w:pPr>
              <w:keepNext/>
              <w:rPr>
                <w:rFonts w:cs="Calibri"/>
                <w:color w:val="000000" w:themeColor="text1"/>
              </w:rPr>
            </w:pPr>
            <w:r>
              <w:rPr>
                <w:rFonts w:cs="Calibri"/>
                <w:color w:val="000000" w:themeColor="text1"/>
              </w:rPr>
              <w:lastRenderedPageBreak/>
              <w:t>2</w:t>
            </w:r>
          </w:p>
        </w:tc>
        <w:tc>
          <w:tcPr>
            <w:tcW w:w="2248" w:type="dxa"/>
          </w:tcPr>
          <w:p w14:paraId="314DF2CE" w14:textId="361BFA93" w:rsidR="00F34F6F" w:rsidRDefault="00F34F6F" w:rsidP="00F34F6F">
            <w:pPr>
              <w:keepNext/>
              <w:rPr>
                <w:rFonts w:cs="Calibri"/>
                <w:color w:val="000000" w:themeColor="text1"/>
              </w:rPr>
            </w:pPr>
            <w:r w:rsidRPr="799DB5D3">
              <w:rPr>
                <w:rFonts w:cs="Calibri"/>
              </w:rPr>
              <w:t>Stakeholder Interviews</w:t>
            </w:r>
          </w:p>
        </w:tc>
        <w:tc>
          <w:tcPr>
            <w:tcW w:w="1831" w:type="dxa"/>
          </w:tcPr>
          <w:p w14:paraId="1668A60D" w14:textId="080EB9A2" w:rsidR="00F34F6F" w:rsidRDefault="00F34F6F" w:rsidP="00F34F6F">
            <w:pPr>
              <w:keepNext/>
              <w:rPr>
                <w:rFonts w:cs="Calibri"/>
                <w:color w:val="000000" w:themeColor="text1"/>
              </w:rPr>
            </w:pPr>
            <w:r w:rsidRPr="799DB5D3">
              <w:rPr>
                <w:rFonts w:cs="Calibri"/>
              </w:rPr>
              <w:t>Targeted stakeholders were interviewed to collect expertise on housing and community development topics. </w:t>
            </w:r>
          </w:p>
        </w:tc>
        <w:tc>
          <w:tcPr>
            <w:tcW w:w="2014" w:type="dxa"/>
          </w:tcPr>
          <w:p w14:paraId="47B6F2B3" w14:textId="73A47BE7" w:rsidR="00F34F6F" w:rsidRDefault="00F34F6F" w:rsidP="00F34F6F">
            <w:pPr>
              <w:keepNext/>
              <w:rPr>
                <w:rFonts w:cs="Calibri"/>
                <w:color w:val="000000" w:themeColor="text1"/>
              </w:rPr>
            </w:pPr>
            <w:r w:rsidRPr="43C538CD">
              <w:rPr>
                <w:rFonts w:cs="Calibri"/>
                <w:color w:val="000000" w:themeColor="text1"/>
              </w:rPr>
              <w:t>19 stakeholder organizations were interviewed to collect expertise on housing and community development topics.  </w:t>
            </w:r>
          </w:p>
        </w:tc>
        <w:tc>
          <w:tcPr>
            <w:tcW w:w="1857" w:type="dxa"/>
          </w:tcPr>
          <w:p w14:paraId="50899CC9" w14:textId="4A114FBE" w:rsidR="00F34F6F" w:rsidRDefault="00F34F6F" w:rsidP="00F34F6F">
            <w:pPr>
              <w:keepNext/>
              <w:rPr>
                <w:rFonts w:cs="Calibri"/>
                <w:color w:val="000000" w:themeColor="text1"/>
              </w:rPr>
            </w:pPr>
            <w:r w:rsidRPr="799DB5D3">
              <w:rPr>
                <w:rFonts w:cs="Calibri"/>
              </w:rPr>
              <w:t xml:space="preserve">Input from stakeholder interviews </w:t>
            </w:r>
            <w:proofErr w:type="gramStart"/>
            <w:r w:rsidRPr="799DB5D3">
              <w:rPr>
                <w:rFonts w:cs="Calibri"/>
              </w:rPr>
              <w:t>are</w:t>
            </w:r>
            <w:proofErr w:type="gramEnd"/>
            <w:r w:rsidRPr="799DB5D3">
              <w:rPr>
                <w:rFonts w:cs="Calibri"/>
              </w:rPr>
              <w:t xml:space="preserve"> presented throughout this document. </w:t>
            </w:r>
          </w:p>
        </w:tc>
        <w:tc>
          <w:tcPr>
            <w:tcW w:w="2157" w:type="dxa"/>
          </w:tcPr>
          <w:p w14:paraId="6F6F3884" w14:textId="77777777" w:rsidR="00F34F6F" w:rsidRDefault="00F34F6F" w:rsidP="00F34F6F">
            <w:pPr>
              <w:keepNext/>
              <w:spacing w:after="0" w:line="240" w:lineRule="auto"/>
              <w:rPr>
                <w:rFonts w:cs="Calibri"/>
              </w:rPr>
            </w:pPr>
            <w:r w:rsidRPr="43C538CD">
              <w:rPr>
                <w:rFonts w:cs="Calibri"/>
              </w:rPr>
              <w:t>All comments were accepted</w:t>
            </w:r>
          </w:p>
          <w:p w14:paraId="4A50AA1A" w14:textId="77777777" w:rsidR="00F34F6F" w:rsidRDefault="00F34F6F" w:rsidP="00F34F6F">
            <w:pPr>
              <w:keepNext/>
              <w:rPr>
                <w:rFonts w:cs="Calibri"/>
                <w:color w:val="000000" w:themeColor="text1"/>
              </w:rPr>
            </w:pPr>
          </w:p>
        </w:tc>
        <w:tc>
          <w:tcPr>
            <w:tcW w:w="1588" w:type="dxa"/>
          </w:tcPr>
          <w:p w14:paraId="139A948B" w14:textId="77777777" w:rsidR="00F34F6F" w:rsidRDefault="00F34F6F" w:rsidP="00F34F6F">
            <w:pPr>
              <w:keepNext/>
              <w:rPr>
                <w:rFonts w:cs="Calibri"/>
                <w:color w:val="000000" w:themeColor="text1"/>
              </w:rPr>
            </w:pPr>
          </w:p>
        </w:tc>
      </w:tr>
      <w:tr w:rsidR="00F34F6F" w14:paraId="42DE1380" w14:textId="77777777" w:rsidTr="005332D8">
        <w:tc>
          <w:tcPr>
            <w:tcW w:w="1140" w:type="dxa"/>
          </w:tcPr>
          <w:p w14:paraId="62BE4217" w14:textId="0B55BAEF" w:rsidR="00F34F6F" w:rsidRDefault="00F34F6F" w:rsidP="00F34F6F">
            <w:pPr>
              <w:keepNext/>
              <w:rPr>
                <w:rFonts w:cs="Calibri"/>
                <w:color w:val="000000" w:themeColor="text1"/>
              </w:rPr>
            </w:pPr>
            <w:r>
              <w:rPr>
                <w:rFonts w:cs="Calibri"/>
                <w:color w:val="000000" w:themeColor="text1"/>
              </w:rPr>
              <w:lastRenderedPageBreak/>
              <w:t>3</w:t>
            </w:r>
          </w:p>
        </w:tc>
        <w:tc>
          <w:tcPr>
            <w:tcW w:w="2248" w:type="dxa"/>
          </w:tcPr>
          <w:p w14:paraId="37FA4E23" w14:textId="4C89C923" w:rsidR="00F34F6F" w:rsidRDefault="00F34F6F" w:rsidP="00F34F6F">
            <w:pPr>
              <w:keepNext/>
              <w:rPr>
                <w:rFonts w:cs="Calibri"/>
                <w:color w:val="000000" w:themeColor="text1"/>
              </w:rPr>
            </w:pPr>
            <w:r w:rsidRPr="799DB5D3">
              <w:rPr>
                <w:rFonts w:cs="Calibri"/>
              </w:rPr>
              <w:t>Public Meetings</w:t>
            </w:r>
          </w:p>
        </w:tc>
        <w:tc>
          <w:tcPr>
            <w:tcW w:w="1831" w:type="dxa"/>
          </w:tcPr>
          <w:p w14:paraId="662D0E66" w14:textId="77777777" w:rsidR="00F34F6F" w:rsidRDefault="00F34F6F" w:rsidP="00F34F6F">
            <w:pPr>
              <w:spacing w:after="0" w:line="240" w:lineRule="auto"/>
              <w:rPr>
                <w:rFonts w:cs="Calibri"/>
              </w:rPr>
            </w:pPr>
            <w:r w:rsidRPr="799DB5D3">
              <w:rPr>
                <w:rFonts w:cs="Calibri"/>
              </w:rPr>
              <w:t>Non targeted/broad community </w:t>
            </w:r>
          </w:p>
          <w:p w14:paraId="18947021" w14:textId="77777777" w:rsidR="00F34F6F" w:rsidRDefault="00F34F6F" w:rsidP="00F34F6F">
            <w:pPr>
              <w:keepNext/>
              <w:rPr>
                <w:rFonts w:cs="Calibri"/>
                <w:color w:val="000000" w:themeColor="text1"/>
              </w:rPr>
            </w:pPr>
          </w:p>
        </w:tc>
        <w:tc>
          <w:tcPr>
            <w:tcW w:w="2014" w:type="dxa"/>
          </w:tcPr>
          <w:p w14:paraId="1D4A9467" w14:textId="77777777" w:rsidR="00F34F6F" w:rsidRDefault="00F34F6F" w:rsidP="00F34F6F">
            <w:pPr>
              <w:spacing w:line="240" w:lineRule="auto"/>
              <w:ind w:right="105"/>
              <w:rPr>
                <w:rFonts w:cs="Calibri"/>
              </w:rPr>
            </w:pPr>
            <w:r w:rsidRPr="799DB5D3">
              <w:rPr>
                <w:rFonts w:cs="Calibri"/>
              </w:rPr>
              <w:t>Four community meetings that covered housing, infrastructure and facilities, social services, economic development, and general resident perspectives were held in different cities</w:t>
            </w:r>
            <w:r>
              <w:rPr>
                <w:rFonts w:cs="Calibri"/>
              </w:rPr>
              <w:t xml:space="preserve"> </w:t>
            </w:r>
            <w:r w:rsidRPr="799DB5D3">
              <w:rPr>
                <w:rFonts w:cs="Calibri"/>
              </w:rPr>
              <w:t>economic development, and general resident perspectives were held in different cities around the state. These meetings took place:</w:t>
            </w:r>
          </w:p>
          <w:p w14:paraId="512BE266" w14:textId="77777777" w:rsidR="00F34F6F" w:rsidRDefault="00F34F6F" w:rsidP="00F34F6F">
            <w:pPr>
              <w:pStyle w:val="ListParagraph"/>
              <w:spacing w:line="240" w:lineRule="auto"/>
              <w:ind w:left="0" w:right="105"/>
              <w:rPr>
                <w:rFonts w:cs="Calibri"/>
              </w:rPr>
            </w:pPr>
            <w:proofErr w:type="spellStart"/>
            <w:r w:rsidRPr="799DB5D3">
              <w:rPr>
                <w:rFonts w:cs="Calibri"/>
              </w:rPr>
              <w:t>Couer</w:t>
            </w:r>
            <w:proofErr w:type="spellEnd"/>
            <w:r w:rsidRPr="799DB5D3">
              <w:rPr>
                <w:rFonts w:cs="Calibri"/>
              </w:rPr>
              <w:t xml:space="preserve"> d’Alene; September 24</w:t>
            </w:r>
            <w:r w:rsidRPr="799DB5D3">
              <w:rPr>
                <w:rFonts w:cs="Calibri"/>
                <w:vertAlign w:val="superscript"/>
              </w:rPr>
              <w:t>th</w:t>
            </w:r>
            <w:r w:rsidRPr="799DB5D3">
              <w:rPr>
                <w:rFonts w:cs="Calibri"/>
              </w:rPr>
              <w:t>, 2024</w:t>
            </w:r>
          </w:p>
          <w:p w14:paraId="1B9938A0" w14:textId="77777777" w:rsidR="00F34F6F" w:rsidRDefault="00F34F6F" w:rsidP="00F34F6F">
            <w:pPr>
              <w:pStyle w:val="ListParagraph"/>
              <w:spacing w:line="240" w:lineRule="auto"/>
              <w:ind w:left="0" w:right="105"/>
              <w:rPr>
                <w:rFonts w:cs="Calibri"/>
              </w:rPr>
            </w:pPr>
          </w:p>
          <w:p w14:paraId="601E163C" w14:textId="77777777" w:rsidR="00F34F6F" w:rsidRDefault="00F34F6F" w:rsidP="00F34F6F">
            <w:pPr>
              <w:pStyle w:val="ListParagraph"/>
              <w:spacing w:line="240" w:lineRule="auto"/>
              <w:ind w:left="0" w:right="105"/>
              <w:rPr>
                <w:rFonts w:cs="Calibri"/>
              </w:rPr>
            </w:pPr>
            <w:r w:rsidRPr="799DB5D3">
              <w:rPr>
                <w:rFonts w:cs="Calibri"/>
              </w:rPr>
              <w:t>Idaho Falls; September 25th, 2024</w:t>
            </w:r>
          </w:p>
          <w:p w14:paraId="7D47D9E7" w14:textId="77777777" w:rsidR="00F34F6F" w:rsidRDefault="00F34F6F" w:rsidP="00F34F6F">
            <w:pPr>
              <w:pStyle w:val="ListParagraph"/>
              <w:spacing w:line="240" w:lineRule="auto"/>
              <w:ind w:left="0" w:right="105"/>
              <w:rPr>
                <w:rFonts w:cs="Calibri"/>
              </w:rPr>
            </w:pPr>
          </w:p>
          <w:p w14:paraId="487F7884" w14:textId="77777777" w:rsidR="00F34F6F" w:rsidRDefault="00F34F6F" w:rsidP="00F34F6F">
            <w:pPr>
              <w:pStyle w:val="ListParagraph"/>
              <w:spacing w:line="240" w:lineRule="auto"/>
              <w:ind w:left="0" w:right="105"/>
              <w:rPr>
                <w:rFonts w:cs="Calibri"/>
              </w:rPr>
            </w:pPr>
            <w:r w:rsidRPr="799DB5D3">
              <w:rPr>
                <w:rFonts w:cs="Calibri"/>
              </w:rPr>
              <w:t>Twin Falls; September 25</w:t>
            </w:r>
            <w:r w:rsidRPr="799DB5D3">
              <w:rPr>
                <w:rFonts w:cs="Calibri"/>
                <w:vertAlign w:val="superscript"/>
              </w:rPr>
              <w:t>th</w:t>
            </w:r>
            <w:r w:rsidRPr="799DB5D3">
              <w:rPr>
                <w:rFonts w:cs="Calibri"/>
              </w:rPr>
              <w:t>, 2024</w:t>
            </w:r>
          </w:p>
          <w:p w14:paraId="5D3F34B2" w14:textId="77777777" w:rsidR="00F34F6F" w:rsidRDefault="00F34F6F" w:rsidP="00F34F6F">
            <w:pPr>
              <w:pStyle w:val="ListParagraph"/>
              <w:spacing w:line="240" w:lineRule="auto"/>
              <w:ind w:left="0" w:right="105"/>
              <w:rPr>
                <w:rFonts w:cs="Calibri"/>
              </w:rPr>
            </w:pPr>
          </w:p>
          <w:p w14:paraId="119E6C8C" w14:textId="085A2E8F" w:rsidR="00F34F6F" w:rsidRPr="005332D8" w:rsidRDefault="00F34F6F" w:rsidP="005332D8">
            <w:pPr>
              <w:pStyle w:val="ListParagraph"/>
              <w:spacing w:line="240" w:lineRule="auto"/>
              <w:ind w:left="0" w:right="105"/>
              <w:rPr>
                <w:rFonts w:cs="Calibri"/>
              </w:rPr>
            </w:pPr>
            <w:r w:rsidRPr="799DB5D3">
              <w:rPr>
                <w:rFonts w:cs="Calibri"/>
              </w:rPr>
              <w:t>Boise; September 26</w:t>
            </w:r>
            <w:r w:rsidRPr="799DB5D3">
              <w:rPr>
                <w:rFonts w:cs="Calibri"/>
                <w:vertAlign w:val="superscript"/>
              </w:rPr>
              <w:t>th</w:t>
            </w:r>
            <w:r w:rsidRPr="799DB5D3">
              <w:rPr>
                <w:rFonts w:cs="Calibri"/>
              </w:rPr>
              <w:t>, 2024</w:t>
            </w:r>
          </w:p>
        </w:tc>
        <w:tc>
          <w:tcPr>
            <w:tcW w:w="1857" w:type="dxa"/>
          </w:tcPr>
          <w:p w14:paraId="03EA3ED2" w14:textId="77777777" w:rsidR="00F34F6F" w:rsidRDefault="00F34F6F" w:rsidP="00F34F6F">
            <w:pPr>
              <w:keepNext/>
              <w:spacing w:after="0" w:line="240" w:lineRule="auto"/>
              <w:rPr>
                <w:rFonts w:cs="Calibri"/>
              </w:rPr>
            </w:pPr>
            <w:r w:rsidRPr="43C538CD">
              <w:rPr>
                <w:rFonts w:cs="Calibri"/>
              </w:rPr>
              <w:t>All comments were accepted</w:t>
            </w:r>
          </w:p>
          <w:p w14:paraId="05B6E013" w14:textId="77777777" w:rsidR="00F34F6F" w:rsidRDefault="00F34F6F" w:rsidP="00F34F6F">
            <w:pPr>
              <w:keepNext/>
              <w:rPr>
                <w:rFonts w:cs="Calibri"/>
                <w:color w:val="000000" w:themeColor="text1"/>
              </w:rPr>
            </w:pPr>
          </w:p>
        </w:tc>
        <w:tc>
          <w:tcPr>
            <w:tcW w:w="2157" w:type="dxa"/>
          </w:tcPr>
          <w:p w14:paraId="53BEE8A1" w14:textId="77777777" w:rsidR="00F34F6F" w:rsidRDefault="00F34F6F" w:rsidP="00F34F6F">
            <w:pPr>
              <w:keepNext/>
              <w:rPr>
                <w:rFonts w:cs="Calibri"/>
                <w:color w:val="000000" w:themeColor="text1"/>
              </w:rPr>
            </w:pPr>
          </w:p>
        </w:tc>
        <w:tc>
          <w:tcPr>
            <w:tcW w:w="1588" w:type="dxa"/>
          </w:tcPr>
          <w:p w14:paraId="5DEF5D60" w14:textId="77777777" w:rsidR="00F34F6F" w:rsidRDefault="00F34F6F" w:rsidP="00F34F6F">
            <w:pPr>
              <w:keepNext/>
              <w:rPr>
                <w:rFonts w:cs="Calibri"/>
                <w:color w:val="000000" w:themeColor="text1"/>
              </w:rPr>
            </w:pPr>
          </w:p>
        </w:tc>
      </w:tr>
      <w:tr w:rsidR="0058685F" w14:paraId="78E2EF50" w14:textId="77777777" w:rsidTr="005332D8">
        <w:tc>
          <w:tcPr>
            <w:tcW w:w="1140" w:type="dxa"/>
          </w:tcPr>
          <w:p w14:paraId="5C9EF75B" w14:textId="627012FC" w:rsidR="0058685F" w:rsidRDefault="0058685F" w:rsidP="0058685F">
            <w:pPr>
              <w:keepNext/>
              <w:rPr>
                <w:rFonts w:cs="Calibri"/>
                <w:color w:val="000000" w:themeColor="text1"/>
              </w:rPr>
            </w:pPr>
            <w:r>
              <w:rPr>
                <w:rFonts w:cs="Calibri"/>
                <w:color w:val="000000" w:themeColor="text1"/>
              </w:rPr>
              <w:lastRenderedPageBreak/>
              <w:t>4</w:t>
            </w:r>
          </w:p>
        </w:tc>
        <w:tc>
          <w:tcPr>
            <w:tcW w:w="2248" w:type="dxa"/>
          </w:tcPr>
          <w:p w14:paraId="59844070" w14:textId="0968E4EA" w:rsidR="0058685F" w:rsidRDefault="0058685F" w:rsidP="0058685F">
            <w:pPr>
              <w:keepNext/>
              <w:rPr>
                <w:rFonts w:cs="Calibri"/>
                <w:color w:val="000000" w:themeColor="text1"/>
              </w:rPr>
            </w:pPr>
            <w:r w:rsidRPr="799DB5D3">
              <w:rPr>
                <w:rFonts w:cs="Calibri"/>
              </w:rPr>
              <w:t>Public Hearings</w:t>
            </w:r>
          </w:p>
        </w:tc>
        <w:tc>
          <w:tcPr>
            <w:tcW w:w="1831" w:type="dxa"/>
          </w:tcPr>
          <w:p w14:paraId="1822A79F" w14:textId="77777777" w:rsidR="0058685F" w:rsidRDefault="0058685F" w:rsidP="0058685F">
            <w:pPr>
              <w:spacing w:after="0" w:line="240" w:lineRule="auto"/>
              <w:rPr>
                <w:rFonts w:cs="Calibri"/>
              </w:rPr>
            </w:pPr>
            <w:r w:rsidRPr="799DB5D3">
              <w:rPr>
                <w:rFonts w:cs="Calibri"/>
              </w:rPr>
              <w:t>Non targeted/broad community </w:t>
            </w:r>
          </w:p>
          <w:p w14:paraId="41A8F57C" w14:textId="77777777" w:rsidR="0058685F" w:rsidRDefault="0058685F" w:rsidP="0058685F">
            <w:pPr>
              <w:keepNext/>
              <w:rPr>
                <w:rFonts w:cs="Calibri"/>
                <w:color w:val="000000" w:themeColor="text1"/>
              </w:rPr>
            </w:pPr>
          </w:p>
        </w:tc>
        <w:tc>
          <w:tcPr>
            <w:tcW w:w="2014" w:type="dxa"/>
          </w:tcPr>
          <w:p w14:paraId="4DDD8532" w14:textId="77777777" w:rsidR="0058685F" w:rsidRDefault="0058685F" w:rsidP="0058685F">
            <w:pPr>
              <w:keepNext/>
              <w:rPr>
                <w:rFonts w:cs="Calibri"/>
                <w:color w:val="000000" w:themeColor="text1"/>
              </w:rPr>
            </w:pPr>
            <w:r>
              <w:rPr>
                <w:rFonts w:cs="Calibri"/>
                <w:color w:val="000000" w:themeColor="text1"/>
              </w:rPr>
              <w:t>January 2, 2025</w:t>
            </w:r>
          </w:p>
          <w:p w14:paraId="09DE6600" w14:textId="464BB644" w:rsidR="0058685F" w:rsidRDefault="0058685F" w:rsidP="0058685F">
            <w:pPr>
              <w:keepNext/>
              <w:rPr>
                <w:rFonts w:cs="Calibri"/>
                <w:color w:val="000000" w:themeColor="text1"/>
              </w:rPr>
            </w:pPr>
            <w:r>
              <w:rPr>
                <w:rFonts w:cs="Calibri"/>
                <w:color w:val="000000" w:themeColor="text1"/>
              </w:rPr>
              <w:t>April 23, 2025</w:t>
            </w:r>
          </w:p>
        </w:tc>
        <w:tc>
          <w:tcPr>
            <w:tcW w:w="1857" w:type="dxa"/>
          </w:tcPr>
          <w:p w14:paraId="33FBBA35" w14:textId="6D13997F" w:rsidR="0058685F" w:rsidRDefault="0058685F" w:rsidP="0058685F">
            <w:pPr>
              <w:keepNext/>
              <w:rPr>
                <w:rFonts w:cs="Calibri"/>
                <w:color w:val="000000" w:themeColor="text1"/>
              </w:rPr>
            </w:pPr>
          </w:p>
        </w:tc>
        <w:tc>
          <w:tcPr>
            <w:tcW w:w="2157" w:type="dxa"/>
          </w:tcPr>
          <w:p w14:paraId="04854499" w14:textId="77777777" w:rsidR="0058685F" w:rsidRDefault="0058685F" w:rsidP="0058685F">
            <w:pPr>
              <w:keepNext/>
              <w:spacing w:after="0" w:line="240" w:lineRule="auto"/>
              <w:rPr>
                <w:rFonts w:cs="Calibri"/>
              </w:rPr>
            </w:pPr>
            <w:r w:rsidRPr="43C538CD">
              <w:rPr>
                <w:rFonts w:cs="Calibri"/>
              </w:rPr>
              <w:t>All comments were accepted</w:t>
            </w:r>
          </w:p>
          <w:p w14:paraId="5B236389" w14:textId="77777777" w:rsidR="0058685F" w:rsidRDefault="0058685F" w:rsidP="0058685F">
            <w:pPr>
              <w:keepNext/>
              <w:rPr>
                <w:rFonts w:cs="Calibri"/>
                <w:color w:val="000000" w:themeColor="text1"/>
              </w:rPr>
            </w:pPr>
          </w:p>
        </w:tc>
        <w:tc>
          <w:tcPr>
            <w:tcW w:w="1588" w:type="dxa"/>
          </w:tcPr>
          <w:p w14:paraId="77AE6844" w14:textId="77777777" w:rsidR="0058685F" w:rsidRDefault="0058685F" w:rsidP="0058685F">
            <w:pPr>
              <w:keepNext/>
              <w:rPr>
                <w:rFonts w:cs="Calibri"/>
                <w:color w:val="000000" w:themeColor="text1"/>
              </w:rPr>
            </w:pPr>
          </w:p>
        </w:tc>
      </w:tr>
      <w:tr w:rsidR="0058685F" w14:paraId="3C684406" w14:textId="77777777" w:rsidTr="005332D8">
        <w:tc>
          <w:tcPr>
            <w:tcW w:w="1140" w:type="dxa"/>
          </w:tcPr>
          <w:p w14:paraId="3503BE95" w14:textId="2D60DD2D" w:rsidR="0058685F" w:rsidRDefault="0058685F" w:rsidP="0058685F">
            <w:pPr>
              <w:keepNext/>
              <w:rPr>
                <w:rFonts w:cs="Calibri"/>
                <w:color w:val="000000" w:themeColor="text1"/>
              </w:rPr>
            </w:pPr>
            <w:r>
              <w:rPr>
                <w:rFonts w:cs="Calibri"/>
                <w:color w:val="000000" w:themeColor="text1"/>
              </w:rPr>
              <w:t>5</w:t>
            </w:r>
          </w:p>
        </w:tc>
        <w:tc>
          <w:tcPr>
            <w:tcW w:w="2248" w:type="dxa"/>
          </w:tcPr>
          <w:p w14:paraId="6BB330F8" w14:textId="07A56027" w:rsidR="0058685F" w:rsidRDefault="0058685F" w:rsidP="0058685F">
            <w:pPr>
              <w:keepNext/>
              <w:rPr>
                <w:rFonts w:cs="Calibri"/>
                <w:color w:val="000000" w:themeColor="text1"/>
              </w:rPr>
            </w:pPr>
            <w:r w:rsidRPr="43C538CD">
              <w:rPr>
                <w:rFonts w:cs="Calibri"/>
              </w:rPr>
              <w:t>Public Comment Period</w:t>
            </w:r>
          </w:p>
        </w:tc>
        <w:tc>
          <w:tcPr>
            <w:tcW w:w="1831" w:type="dxa"/>
          </w:tcPr>
          <w:p w14:paraId="6E665EFA" w14:textId="77777777" w:rsidR="0058685F" w:rsidRDefault="0058685F" w:rsidP="0058685F">
            <w:pPr>
              <w:spacing w:after="0" w:line="240" w:lineRule="auto"/>
              <w:rPr>
                <w:rFonts w:cs="Calibri"/>
              </w:rPr>
            </w:pPr>
            <w:r w:rsidRPr="799DB5D3">
              <w:rPr>
                <w:rFonts w:cs="Calibri"/>
              </w:rPr>
              <w:t>Non targeted/broad community </w:t>
            </w:r>
          </w:p>
          <w:p w14:paraId="546A87F0" w14:textId="77777777" w:rsidR="0058685F" w:rsidRDefault="0058685F" w:rsidP="0058685F">
            <w:pPr>
              <w:keepNext/>
              <w:rPr>
                <w:rFonts w:cs="Calibri"/>
                <w:color w:val="000000" w:themeColor="text1"/>
              </w:rPr>
            </w:pPr>
          </w:p>
        </w:tc>
        <w:tc>
          <w:tcPr>
            <w:tcW w:w="2014" w:type="dxa"/>
          </w:tcPr>
          <w:p w14:paraId="15EDE71E" w14:textId="517EFB57" w:rsidR="0058685F" w:rsidRDefault="0058685F" w:rsidP="0058685F">
            <w:pPr>
              <w:keepNext/>
              <w:rPr>
                <w:rFonts w:cs="Calibri"/>
                <w:color w:val="000000" w:themeColor="text1"/>
              </w:rPr>
            </w:pPr>
            <w:r w:rsidRPr="43C538CD">
              <w:rPr>
                <w:rFonts w:cs="Calibri"/>
                <w:color w:val="000000" w:themeColor="text1"/>
              </w:rPr>
              <w:t xml:space="preserve">A public comment period on the draft Consolidated Plan was held from </w:t>
            </w:r>
            <w:r>
              <w:rPr>
                <w:rFonts w:cs="Calibri"/>
                <w:color w:val="000000" w:themeColor="text1"/>
              </w:rPr>
              <w:t>April 7 – May 8, 2025.</w:t>
            </w:r>
          </w:p>
        </w:tc>
        <w:tc>
          <w:tcPr>
            <w:tcW w:w="1857" w:type="dxa"/>
          </w:tcPr>
          <w:p w14:paraId="62C83713" w14:textId="77777777" w:rsidR="0058685F" w:rsidRDefault="0058685F" w:rsidP="0058685F">
            <w:pPr>
              <w:keepNext/>
              <w:rPr>
                <w:rFonts w:cs="Calibri"/>
                <w:color w:val="000000" w:themeColor="text1"/>
              </w:rPr>
            </w:pPr>
          </w:p>
        </w:tc>
        <w:tc>
          <w:tcPr>
            <w:tcW w:w="2157" w:type="dxa"/>
          </w:tcPr>
          <w:p w14:paraId="5E56FAFA" w14:textId="77777777" w:rsidR="0058685F" w:rsidRDefault="0058685F" w:rsidP="0058685F">
            <w:pPr>
              <w:keepNext/>
              <w:spacing w:after="0" w:line="240" w:lineRule="auto"/>
              <w:rPr>
                <w:rFonts w:cs="Calibri"/>
              </w:rPr>
            </w:pPr>
            <w:r w:rsidRPr="43C538CD">
              <w:rPr>
                <w:rFonts w:cs="Calibri"/>
              </w:rPr>
              <w:t>All comments were accepted</w:t>
            </w:r>
          </w:p>
          <w:p w14:paraId="35F5B130" w14:textId="77777777" w:rsidR="0058685F" w:rsidRDefault="0058685F" w:rsidP="0058685F">
            <w:pPr>
              <w:keepNext/>
              <w:rPr>
                <w:rFonts w:cs="Calibri"/>
                <w:color w:val="000000" w:themeColor="text1"/>
              </w:rPr>
            </w:pPr>
          </w:p>
        </w:tc>
        <w:tc>
          <w:tcPr>
            <w:tcW w:w="1588" w:type="dxa"/>
          </w:tcPr>
          <w:p w14:paraId="2D9B5DBF" w14:textId="77777777" w:rsidR="0058685F" w:rsidRDefault="0058685F" w:rsidP="0058685F">
            <w:pPr>
              <w:keepNext/>
              <w:rPr>
                <w:rFonts w:cs="Calibri"/>
                <w:color w:val="000000" w:themeColor="text1"/>
              </w:rPr>
            </w:pPr>
          </w:p>
        </w:tc>
      </w:tr>
    </w:tbl>
    <w:p w14:paraId="152A6346" w14:textId="77777777" w:rsidR="00F34F6F" w:rsidRDefault="00F34F6F" w:rsidP="00F34F6F">
      <w:pPr>
        <w:spacing w:after="0" w:line="240" w:lineRule="auto"/>
        <w:jc w:val="center"/>
        <w:rPr>
          <w:rFonts w:cs="Calibri"/>
          <w:b/>
          <w:bCs/>
          <w:color w:val="000000" w:themeColor="text1"/>
          <w:sz w:val="20"/>
          <w:szCs w:val="20"/>
        </w:rPr>
      </w:pPr>
      <w:r w:rsidRPr="3C3ABBF9">
        <w:rPr>
          <w:rFonts w:cs="Calibri"/>
          <w:b/>
          <w:bCs/>
          <w:color w:val="000000" w:themeColor="text1"/>
          <w:sz w:val="20"/>
          <w:szCs w:val="20"/>
        </w:rPr>
        <w:t>Table 4 – Citizen Participation Outreach</w:t>
      </w:r>
    </w:p>
    <w:p w14:paraId="1492557A" w14:textId="77777777" w:rsidR="009E6FD0" w:rsidRDefault="009E6FD0" w:rsidP="00320486">
      <w:pPr>
        <w:keepNext/>
        <w:rPr>
          <w:rFonts w:cs="Calibri"/>
          <w:color w:val="000000" w:themeColor="text1"/>
        </w:rPr>
      </w:pPr>
    </w:p>
    <w:p w14:paraId="13477C3E" w14:textId="77777777" w:rsidR="00C90F45" w:rsidRDefault="00C90F45" w:rsidP="00320486">
      <w:pPr>
        <w:keepNext/>
        <w:rPr>
          <w:rFonts w:cs="Calibri"/>
          <w:color w:val="000000" w:themeColor="text1"/>
        </w:rPr>
        <w:sectPr w:rsidR="00C90F45" w:rsidSect="005332D8">
          <w:pgSz w:w="15840" w:h="12240" w:orient="landscape"/>
          <w:pgMar w:top="1440" w:right="1440" w:bottom="1440" w:left="1440" w:header="720" w:footer="720" w:gutter="0"/>
          <w:cols w:space="720"/>
          <w:docGrid w:linePitch="360"/>
        </w:sectPr>
      </w:pPr>
    </w:p>
    <w:p w14:paraId="2608F834" w14:textId="77777777" w:rsidR="00320486" w:rsidRPr="00294BD0" w:rsidRDefault="00320486" w:rsidP="00320486">
      <w:pPr>
        <w:rPr>
          <w:b/>
          <w:bCs/>
          <w:sz w:val="24"/>
          <w:szCs w:val="24"/>
        </w:rPr>
      </w:pPr>
      <w:r w:rsidRPr="00294BD0">
        <w:rPr>
          <w:b/>
          <w:bCs/>
          <w:sz w:val="24"/>
          <w:szCs w:val="24"/>
        </w:rPr>
        <w:lastRenderedPageBreak/>
        <w:t>Survey Results</w:t>
      </w:r>
    </w:p>
    <w:p w14:paraId="3A6ADDF5" w14:textId="77777777" w:rsidR="006413DF" w:rsidRDefault="00320486" w:rsidP="00C83593">
      <w:pPr>
        <w:jc w:val="both"/>
        <w:rPr>
          <w:sz w:val="24"/>
          <w:szCs w:val="24"/>
        </w:rPr>
      </w:pPr>
      <w:r w:rsidRPr="00294BD0">
        <w:rPr>
          <w:sz w:val="24"/>
          <w:szCs w:val="24"/>
        </w:rPr>
        <w:t xml:space="preserve">The Idaho Consolidated Plan 2025-2029 Needs Assessment Surveys for both Stakeholders and Residents highlighted the priority need for more affordable housing. In both the resident survey and of the stakeholder survey, 100% of respondents indicated that affordable housing needs have increased over the past five years. Top indicated priority housing needs included rental housing for both extremely low-income households and </w:t>
      </w:r>
      <w:r w:rsidR="005A0165" w:rsidRPr="00294BD0">
        <w:rPr>
          <w:sz w:val="24"/>
          <w:szCs w:val="24"/>
        </w:rPr>
        <w:t>low-income</w:t>
      </w:r>
      <w:r w:rsidRPr="00294BD0">
        <w:rPr>
          <w:sz w:val="24"/>
          <w:szCs w:val="24"/>
        </w:rPr>
        <w:t xml:space="preserve"> households, </w:t>
      </w:r>
      <w:r w:rsidR="005A0165" w:rsidRPr="00294BD0">
        <w:rPr>
          <w:sz w:val="24"/>
          <w:szCs w:val="24"/>
        </w:rPr>
        <w:t>acquisition</w:t>
      </w:r>
      <w:r w:rsidRPr="00294BD0">
        <w:rPr>
          <w:sz w:val="24"/>
          <w:szCs w:val="24"/>
        </w:rPr>
        <w:t xml:space="preserve"> of property to construct affordable housing units, and both homeownership opportunities and downpayment assistance for low-income residents. Working low-income households were noted as being the households most in need of housing. Affordability, waiting lists, and land and construction costs were highlighted as the most challenging barriers to accessing affordable housing. Construction of permanent supportive housing, rehabilitation or expansion of facilities, and emergency shelters were noted as being top priorities for homelessness needs. Top public facility needs included community centers and youth or daycare centers, </w:t>
      </w:r>
      <w:r w:rsidR="005A0165" w:rsidRPr="00294BD0">
        <w:rPr>
          <w:sz w:val="24"/>
          <w:szCs w:val="24"/>
        </w:rPr>
        <w:t>domestic</w:t>
      </w:r>
      <w:r w:rsidRPr="00294BD0">
        <w:rPr>
          <w:sz w:val="24"/>
          <w:szCs w:val="24"/>
        </w:rPr>
        <w:t xml:space="preserve"> violence centers, and homeless shelters. Public infrastructure needs included sewer systems, sidewalk improvements, street repair, solid waste disposal, and stormwater drainage. </w:t>
      </w:r>
      <w:r w:rsidR="005A0165" w:rsidRPr="00294BD0">
        <w:rPr>
          <w:sz w:val="24"/>
          <w:szCs w:val="24"/>
        </w:rPr>
        <w:t>Youth care</w:t>
      </w:r>
      <w:r w:rsidRPr="00294BD0">
        <w:rPr>
          <w:sz w:val="24"/>
          <w:szCs w:val="24"/>
        </w:rPr>
        <w:t xml:space="preserve"> services, childcare services, transportation services, and senior services were all noted as service priorities</w:t>
      </w:r>
      <w:r w:rsidR="005A0165" w:rsidRPr="00294BD0">
        <w:rPr>
          <w:sz w:val="24"/>
          <w:szCs w:val="24"/>
        </w:rPr>
        <w:t xml:space="preserve">. </w:t>
      </w:r>
    </w:p>
    <w:p w14:paraId="4126A0C8" w14:textId="50E7CCB8" w:rsidR="00320486" w:rsidRPr="00294BD0" w:rsidRDefault="005A0165" w:rsidP="00C83593">
      <w:pPr>
        <w:jc w:val="both"/>
        <w:rPr>
          <w:sz w:val="24"/>
          <w:szCs w:val="24"/>
        </w:rPr>
      </w:pPr>
      <w:r w:rsidRPr="00294BD0">
        <w:rPr>
          <w:sz w:val="24"/>
          <w:szCs w:val="24"/>
        </w:rPr>
        <w:t xml:space="preserve">A summary of the survey results is included in the </w:t>
      </w:r>
      <w:r w:rsidR="00BD3B1F">
        <w:rPr>
          <w:sz w:val="24"/>
          <w:szCs w:val="24"/>
        </w:rPr>
        <w:t>Community Participation Appendix</w:t>
      </w:r>
      <w:r w:rsidRPr="00C83593">
        <w:rPr>
          <w:sz w:val="24"/>
          <w:szCs w:val="24"/>
        </w:rPr>
        <w:t>.</w:t>
      </w:r>
    </w:p>
    <w:p w14:paraId="4F7F1A25" w14:textId="7A39D51A" w:rsidR="00320486" w:rsidRDefault="00320486">
      <w:pPr>
        <w:spacing w:after="160" w:line="259" w:lineRule="auto"/>
        <w:rPr>
          <w:rFonts w:eastAsiaTheme="majorEastAsia" w:cstheme="majorBidi"/>
          <w:b/>
          <w:bCs/>
          <w:sz w:val="32"/>
          <w:szCs w:val="32"/>
        </w:rPr>
      </w:pPr>
    </w:p>
    <w:p w14:paraId="7FDF5A0A" w14:textId="30809273" w:rsidR="009B0FCC" w:rsidRPr="00320486" w:rsidRDefault="009B0FCC" w:rsidP="009B0FCC">
      <w:pPr>
        <w:pStyle w:val="Heading1"/>
        <w:pageBreakBefore/>
        <w:jc w:val="center"/>
        <w:rPr>
          <w:rFonts w:ascii="Calibri" w:hAnsi="Calibri"/>
          <w:b/>
          <w:bCs/>
          <w:color w:val="auto"/>
          <w:sz w:val="32"/>
          <w:szCs w:val="32"/>
        </w:rPr>
      </w:pPr>
      <w:bookmarkStart w:id="8" w:name="_Toc194673834"/>
      <w:r w:rsidRPr="00320486">
        <w:rPr>
          <w:rFonts w:ascii="Calibri" w:hAnsi="Calibri"/>
          <w:b/>
          <w:bCs/>
          <w:color w:val="auto"/>
          <w:sz w:val="32"/>
          <w:szCs w:val="32"/>
        </w:rPr>
        <w:lastRenderedPageBreak/>
        <w:t>Needs Assessment</w:t>
      </w:r>
      <w:bookmarkEnd w:id="8"/>
    </w:p>
    <w:p w14:paraId="368E276C" w14:textId="77777777" w:rsidR="009B0FCC" w:rsidRDefault="009B0FCC" w:rsidP="009B0FCC">
      <w:pPr>
        <w:pStyle w:val="Heading2"/>
        <w:rPr>
          <w:rFonts w:ascii="Calibri" w:hAnsi="Calibri"/>
          <w:i/>
        </w:rPr>
      </w:pPr>
      <w:bookmarkStart w:id="9" w:name="_Toc194673835"/>
      <w:r>
        <w:rPr>
          <w:rFonts w:ascii="Calibri" w:hAnsi="Calibri"/>
        </w:rPr>
        <w:t>NA-05 Overview</w:t>
      </w:r>
      <w:bookmarkEnd w:id="9"/>
    </w:p>
    <w:p w14:paraId="068B2265" w14:textId="77777777" w:rsidR="009B0FCC" w:rsidRDefault="009B0FCC" w:rsidP="009B0FCC">
      <w:pPr>
        <w:rPr>
          <w:b/>
          <w:sz w:val="24"/>
          <w:szCs w:val="24"/>
        </w:rPr>
      </w:pPr>
      <w:r w:rsidRPr="497B8E2D">
        <w:rPr>
          <w:b/>
          <w:bCs/>
          <w:sz w:val="24"/>
          <w:szCs w:val="24"/>
        </w:rPr>
        <w:t>Needs Assessment Overview</w:t>
      </w:r>
    </w:p>
    <w:p w14:paraId="22B32D19" w14:textId="77777777" w:rsidR="009B0FCC" w:rsidRPr="00C00F48" w:rsidRDefault="009B0FCC" w:rsidP="009B0FCC">
      <w:pPr>
        <w:spacing w:after="0" w:line="240" w:lineRule="auto"/>
        <w:rPr>
          <w:rFonts w:cs="Calibri"/>
          <w:color w:val="000000" w:themeColor="text1"/>
        </w:rPr>
      </w:pPr>
      <w:r w:rsidRPr="00C00F48">
        <w:rPr>
          <w:rStyle w:val="normaltextrun"/>
          <w:rFonts w:cs="Calibri"/>
          <w:color w:val="000000" w:themeColor="text1"/>
        </w:rPr>
        <w:t>The Needs Assessment provides an overview of the impacts of this growth on housing availability, affordability, and quality. It includes the following sections: </w:t>
      </w:r>
    </w:p>
    <w:p w14:paraId="4ED5D898" w14:textId="77777777" w:rsidR="009B0FCC" w:rsidRPr="00C00F48" w:rsidRDefault="009B0FCC" w:rsidP="009B0FCC">
      <w:pPr>
        <w:spacing w:after="0" w:line="240" w:lineRule="auto"/>
        <w:rPr>
          <w:rFonts w:ascii="Segoe UI" w:eastAsia="Segoe UI" w:hAnsi="Segoe UI" w:cs="Segoe UI"/>
          <w:color w:val="000000" w:themeColor="text1"/>
          <w:sz w:val="18"/>
          <w:szCs w:val="18"/>
        </w:rPr>
      </w:pPr>
    </w:p>
    <w:p w14:paraId="7CE3281D" w14:textId="77777777" w:rsidR="009B0FCC" w:rsidRPr="00C00F48" w:rsidRDefault="009B0FCC" w:rsidP="00E256FC">
      <w:pPr>
        <w:pStyle w:val="ListParagraph"/>
        <w:numPr>
          <w:ilvl w:val="0"/>
          <w:numId w:val="11"/>
        </w:numPr>
        <w:spacing w:after="0" w:line="240" w:lineRule="auto"/>
        <w:ind w:left="1080"/>
        <w:jc w:val="both"/>
        <w:rPr>
          <w:rFonts w:cs="Calibri"/>
          <w:color w:val="000000" w:themeColor="text1"/>
        </w:rPr>
      </w:pPr>
      <w:r w:rsidRPr="00C00F48">
        <w:rPr>
          <w:rStyle w:val="normaltextrun"/>
          <w:rFonts w:cs="Calibri"/>
          <w:b/>
          <w:bCs/>
          <w:color w:val="000000" w:themeColor="text1"/>
        </w:rPr>
        <w:t>Housing Needs Assessment:</w:t>
      </w:r>
      <w:r w:rsidRPr="00C00F48">
        <w:rPr>
          <w:rStyle w:val="normaltextrun"/>
          <w:rFonts w:cs="Calibri"/>
          <w:color w:val="000000" w:themeColor="text1"/>
        </w:rPr>
        <w:t xml:space="preserve"> data on population, income level, number and type of households, and housing problems. </w:t>
      </w:r>
      <w:proofErr w:type="gramStart"/>
      <w:r w:rsidRPr="00C00F48">
        <w:rPr>
          <w:rStyle w:val="normaltextrun"/>
          <w:rFonts w:cs="Calibri"/>
          <w:color w:val="000000" w:themeColor="text1"/>
        </w:rPr>
        <w:t>For the purpose of</w:t>
      </w:r>
      <w:proofErr w:type="gramEnd"/>
      <w:r w:rsidRPr="00C00F48">
        <w:rPr>
          <w:rStyle w:val="normaltextrun"/>
          <w:rFonts w:cs="Calibri"/>
          <w:color w:val="000000" w:themeColor="text1"/>
        </w:rPr>
        <w:t xml:space="preserve"> this section, housing problems are defined as: </w:t>
      </w:r>
    </w:p>
    <w:p w14:paraId="3186EC21" w14:textId="77777777" w:rsidR="009B0FCC" w:rsidRPr="00C00F48" w:rsidRDefault="009B0FCC" w:rsidP="00E256FC">
      <w:pPr>
        <w:pStyle w:val="ListParagraph"/>
        <w:numPr>
          <w:ilvl w:val="0"/>
          <w:numId w:val="10"/>
        </w:numPr>
        <w:spacing w:after="0" w:line="240" w:lineRule="auto"/>
        <w:ind w:left="1440"/>
        <w:jc w:val="both"/>
        <w:rPr>
          <w:rFonts w:cs="Calibri"/>
          <w:color w:val="000000" w:themeColor="text1"/>
        </w:rPr>
      </w:pPr>
      <w:r w:rsidRPr="00C00F48">
        <w:rPr>
          <w:rStyle w:val="normaltextrun"/>
          <w:rFonts w:cs="Calibri"/>
          <w:color w:val="000000" w:themeColor="text1"/>
        </w:rPr>
        <w:t>Lack of complete kitchen facilities. </w:t>
      </w:r>
    </w:p>
    <w:p w14:paraId="201D70C0" w14:textId="77777777" w:rsidR="009B0FCC" w:rsidRPr="00C00F48" w:rsidRDefault="009B0FCC" w:rsidP="00E256FC">
      <w:pPr>
        <w:pStyle w:val="ListParagraph"/>
        <w:numPr>
          <w:ilvl w:val="0"/>
          <w:numId w:val="10"/>
        </w:numPr>
        <w:spacing w:after="0" w:line="240" w:lineRule="auto"/>
        <w:ind w:left="1440"/>
        <w:jc w:val="both"/>
        <w:rPr>
          <w:rFonts w:cs="Calibri"/>
          <w:color w:val="000000" w:themeColor="text1"/>
        </w:rPr>
      </w:pPr>
      <w:r w:rsidRPr="00C00F48">
        <w:rPr>
          <w:rStyle w:val="normaltextrun"/>
          <w:rFonts w:cs="Calibri"/>
          <w:color w:val="000000" w:themeColor="text1"/>
        </w:rPr>
        <w:t>Lack of complete plumbing facilities. </w:t>
      </w:r>
    </w:p>
    <w:p w14:paraId="247B4986" w14:textId="77777777" w:rsidR="009B0FCC" w:rsidRPr="00C00F48" w:rsidRDefault="009B0FCC" w:rsidP="00E256FC">
      <w:pPr>
        <w:pStyle w:val="ListParagraph"/>
        <w:numPr>
          <w:ilvl w:val="0"/>
          <w:numId w:val="10"/>
        </w:numPr>
        <w:spacing w:after="0" w:line="240" w:lineRule="auto"/>
        <w:ind w:left="1440"/>
        <w:jc w:val="both"/>
        <w:rPr>
          <w:rFonts w:cs="Calibri"/>
          <w:color w:val="000000" w:themeColor="text1"/>
        </w:rPr>
      </w:pPr>
      <w:r w:rsidRPr="00C00F48">
        <w:rPr>
          <w:rStyle w:val="normaltextrun"/>
          <w:rFonts w:cs="Calibri"/>
          <w:color w:val="000000" w:themeColor="text1"/>
        </w:rPr>
        <w:t>Cost burden: the allocation of more than 30% of gross household income toward housing costs. For renters, housing costs include rent paid by the tenant plus utilities; for owners, housing costs include mortgage payment, taxes, insurance, and utilities. This section includes data on severe cost burden, as well, which is paying more than 50% of gross household income on housing costs. </w:t>
      </w:r>
    </w:p>
    <w:p w14:paraId="28C05001" w14:textId="77777777" w:rsidR="009B0FCC" w:rsidRPr="00C00F48" w:rsidRDefault="009B0FCC" w:rsidP="00E256FC">
      <w:pPr>
        <w:pStyle w:val="ListParagraph"/>
        <w:numPr>
          <w:ilvl w:val="0"/>
          <w:numId w:val="10"/>
        </w:numPr>
        <w:spacing w:after="0" w:line="240" w:lineRule="auto"/>
        <w:ind w:left="1440"/>
        <w:jc w:val="both"/>
        <w:rPr>
          <w:rFonts w:cs="Calibri"/>
          <w:color w:val="000000" w:themeColor="text1"/>
        </w:rPr>
      </w:pPr>
      <w:r w:rsidRPr="00C00F48">
        <w:rPr>
          <w:rStyle w:val="normaltextrun"/>
          <w:rFonts w:cs="Calibri"/>
          <w:color w:val="000000" w:themeColor="text1"/>
        </w:rPr>
        <w:t>Overcrowding: more than one person per room, not including bathrooms, porches, foyers, halls, or half-room. </w:t>
      </w:r>
    </w:p>
    <w:p w14:paraId="74CA0449" w14:textId="77777777" w:rsidR="009B0FCC" w:rsidRPr="00C00F48" w:rsidRDefault="009B0FCC" w:rsidP="009B0FCC">
      <w:pPr>
        <w:spacing w:after="0" w:line="240" w:lineRule="auto"/>
        <w:ind w:left="1800"/>
        <w:rPr>
          <w:rFonts w:cs="Calibri"/>
          <w:color w:val="000000" w:themeColor="text1"/>
        </w:rPr>
      </w:pPr>
    </w:p>
    <w:p w14:paraId="05136121" w14:textId="77777777" w:rsidR="009B0FCC" w:rsidRPr="00C00F48" w:rsidRDefault="009B0FCC" w:rsidP="00E256FC">
      <w:pPr>
        <w:spacing w:after="0" w:line="240" w:lineRule="auto"/>
        <w:jc w:val="both"/>
        <w:rPr>
          <w:rFonts w:cs="Calibri"/>
          <w:color w:val="000000" w:themeColor="text1"/>
        </w:rPr>
      </w:pPr>
      <w:r w:rsidRPr="00C00F48">
        <w:rPr>
          <w:rStyle w:val="normaltextrun"/>
          <w:rFonts w:cs="Calibri"/>
          <w:color w:val="000000" w:themeColor="text1"/>
        </w:rPr>
        <w:t xml:space="preserve">HUD default data for this section are from the 2000 Census (Base Year); 2016-2020 American Community Survey (ACS); and the 2016-2020 CHAS (Comprehensive Housing Affordability Strategy). </w:t>
      </w:r>
    </w:p>
    <w:p w14:paraId="5381E529" w14:textId="77777777" w:rsidR="009B0FCC" w:rsidRPr="00C00F48" w:rsidRDefault="009B0FCC" w:rsidP="00E256FC">
      <w:pPr>
        <w:spacing w:after="0" w:line="240" w:lineRule="auto"/>
        <w:jc w:val="both"/>
        <w:rPr>
          <w:rFonts w:ascii="Segoe UI" w:eastAsia="Segoe UI" w:hAnsi="Segoe UI" w:cs="Segoe UI"/>
          <w:color w:val="000000" w:themeColor="text1"/>
          <w:sz w:val="18"/>
          <w:szCs w:val="18"/>
        </w:rPr>
      </w:pPr>
    </w:p>
    <w:p w14:paraId="39413C3F" w14:textId="77777777" w:rsidR="009B0FCC" w:rsidRPr="00C00F48" w:rsidRDefault="009B0FCC" w:rsidP="00E256FC">
      <w:pPr>
        <w:pStyle w:val="ListParagraph"/>
        <w:numPr>
          <w:ilvl w:val="0"/>
          <w:numId w:val="9"/>
        </w:numPr>
        <w:spacing w:after="0" w:line="240" w:lineRule="auto"/>
        <w:ind w:left="1080"/>
        <w:jc w:val="both"/>
        <w:rPr>
          <w:rFonts w:cs="Calibri"/>
          <w:color w:val="000000" w:themeColor="text1"/>
        </w:rPr>
      </w:pPr>
      <w:r w:rsidRPr="00C00F48">
        <w:rPr>
          <w:rStyle w:val="normaltextrun"/>
          <w:rFonts w:cs="Calibri"/>
          <w:b/>
          <w:bCs/>
          <w:color w:val="000000" w:themeColor="text1"/>
        </w:rPr>
        <w:t xml:space="preserve">Disproportionately Greater Need: </w:t>
      </w:r>
      <w:r w:rsidRPr="00C00F48">
        <w:rPr>
          <w:rStyle w:val="normaltextrun"/>
          <w:rFonts w:cs="Calibri"/>
          <w:color w:val="000000" w:themeColor="text1"/>
        </w:rPr>
        <w:t xml:space="preserve">when the members of a racial or ethnic group at a given income level experiences housing problems (as defined above) at a greater rate (10% or more) than the income level for the County as a whole. </w:t>
      </w:r>
    </w:p>
    <w:p w14:paraId="16B11B60" w14:textId="77777777" w:rsidR="009B0FCC" w:rsidRPr="00C00F48" w:rsidRDefault="009B0FCC" w:rsidP="00E256FC">
      <w:pPr>
        <w:spacing w:after="0" w:line="240" w:lineRule="auto"/>
        <w:ind w:left="1080" w:hanging="360"/>
        <w:jc w:val="both"/>
        <w:rPr>
          <w:rFonts w:cs="Calibri"/>
          <w:color w:val="000000" w:themeColor="text1"/>
        </w:rPr>
      </w:pPr>
    </w:p>
    <w:p w14:paraId="2373E73A" w14:textId="77777777" w:rsidR="009B0FCC" w:rsidRPr="00C00F48" w:rsidRDefault="009B0FCC" w:rsidP="00E256FC">
      <w:pPr>
        <w:pStyle w:val="ListParagraph"/>
        <w:numPr>
          <w:ilvl w:val="0"/>
          <w:numId w:val="9"/>
        </w:numPr>
        <w:spacing w:after="0" w:line="240" w:lineRule="auto"/>
        <w:ind w:left="1080"/>
        <w:jc w:val="both"/>
        <w:rPr>
          <w:rFonts w:cs="Calibri"/>
          <w:color w:val="000000" w:themeColor="text1"/>
        </w:rPr>
      </w:pPr>
      <w:r w:rsidRPr="00C00F48">
        <w:rPr>
          <w:rStyle w:val="normaltextrun"/>
          <w:rFonts w:cs="Calibri"/>
          <w:b/>
          <w:bCs/>
          <w:color w:val="000000" w:themeColor="text1"/>
        </w:rPr>
        <w:t>Public Housing:</w:t>
      </w:r>
      <w:r w:rsidRPr="00C00F48">
        <w:rPr>
          <w:rStyle w:val="normaltextrun"/>
          <w:rFonts w:cs="Calibri"/>
          <w:color w:val="000000" w:themeColor="text1"/>
        </w:rPr>
        <w:t xml:space="preserve"> information on the number and type of public housing units and the characteristics of residents is presented. </w:t>
      </w:r>
      <w:proofErr w:type="gramStart"/>
      <w:r w:rsidRPr="00C00F48">
        <w:rPr>
          <w:rStyle w:val="normaltextrun"/>
          <w:rFonts w:cs="Calibri"/>
          <w:color w:val="000000" w:themeColor="text1"/>
        </w:rPr>
        <w:t>For the purpose of</w:t>
      </w:r>
      <w:proofErr w:type="gramEnd"/>
      <w:r w:rsidRPr="00C00F48">
        <w:rPr>
          <w:rStyle w:val="normaltextrun"/>
          <w:rFonts w:cs="Calibri"/>
          <w:color w:val="000000" w:themeColor="text1"/>
        </w:rPr>
        <w:t xml:space="preserve"> this section, “public housing” includes traditional public housing units subsidized by annual contribution contracts (ACC) and former public housing units that have been converted to “affordable housing” under the Rental Assistance Demonstration (RAD) program. Data on voucher programs is provided, as well.  </w:t>
      </w:r>
    </w:p>
    <w:p w14:paraId="307A5C23" w14:textId="77777777" w:rsidR="009B0FCC" w:rsidRPr="00C00F48" w:rsidRDefault="009B0FCC" w:rsidP="00E256FC">
      <w:pPr>
        <w:spacing w:after="0" w:line="240" w:lineRule="auto"/>
        <w:ind w:left="1080" w:hanging="360"/>
        <w:jc w:val="both"/>
        <w:rPr>
          <w:rFonts w:ascii="Segoe UI" w:eastAsia="Segoe UI" w:hAnsi="Segoe UI" w:cs="Segoe UI"/>
          <w:color w:val="000000" w:themeColor="text1"/>
          <w:sz w:val="18"/>
          <w:szCs w:val="18"/>
        </w:rPr>
      </w:pPr>
    </w:p>
    <w:p w14:paraId="612D69CE" w14:textId="77680D10" w:rsidR="009B0FCC" w:rsidRPr="00C00F48" w:rsidRDefault="009B0FCC" w:rsidP="00E256FC">
      <w:pPr>
        <w:pStyle w:val="ListParagraph"/>
        <w:numPr>
          <w:ilvl w:val="0"/>
          <w:numId w:val="8"/>
        </w:numPr>
        <w:spacing w:after="0" w:line="240" w:lineRule="auto"/>
        <w:ind w:left="1080"/>
        <w:jc w:val="both"/>
        <w:rPr>
          <w:rFonts w:cs="Calibri"/>
          <w:color w:val="000000" w:themeColor="text1"/>
        </w:rPr>
      </w:pPr>
      <w:r w:rsidRPr="787E070B">
        <w:rPr>
          <w:rStyle w:val="normaltextrun"/>
          <w:rFonts w:cs="Calibri"/>
          <w:b/>
          <w:bCs/>
          <w:color w:val="000000" w:themeColor="text1"/>
        </w:rPr>
        <w:t xml:space="preserve">Homeless Needs Assessment: </w:t>
      </w:r>
      <w:r w:rsidRPr="787E070B">
        <w:rPr>
          <w:rStyle w:val="normaltextrun"/>
          <w:rFonts w:cs="Calibri"/>
          <w:color w:val="000000" w:themeColor="text1"/>
        </w:rPr>
        <w:t>the nature and extent of homelessness in using data from the Homeless Management Information System (HMIS)</w:t>
      </w:r>
      <w:r w:rsidR="158F848B" w:rsidRPr="787E070B">
        <w:rPr>
          <w:rStyle w:val="normaltextrun"/>
          <w:rFonts w:cs="Calibri"/>
          <w:color w:val="000000" w:themeColor="text1"/>
        </w:rPr>
        <w:t>.</w:t>
      </w:r>
    </w:p>
    <w:p w14:paraId="2640DB6E" w14:textId="77777777" w:rsidR="009B0FCC" w:rsidRPr="00C00F48" w:rsidRDefault="009B0FCC" w:rsidP="00E256FC">
      <w:pPr>
        <w:pStyle w:val="ListParagraph"/>
        <w:spacing w:after="0" w:line="240" w:lineRule="auto"/>
        <w:ind w:left="1080" w:hanging="360"/>
        <w:jc w:val="both"/>
        <w:rPr>
          <w:rFonts w:cs="Calibri"/>
          <w:color w:val="000000" w:themeColor="text1"/>
        </w:rPr>
      </w:pPr>
    </w:p>
    <w:p w14:paraId="212ECB67" w14:textId="0CEAC596" w:rsidR="009B0FCC" w:rsidRPr="00C00F48" w:rsidRDefault="009B0FCC" w:rsidP="00E256FC">
      <w:pPr>
        <w:pStyle w:val="ListParagraph"/>
        <w:numPr>
          <w:ilvl w:val="0"/>
          <w:numId w:val="8"/>
        </w:numPr>
        <w:spacing w:after="0" w:line="240" w:lineRule="auto"/>
        <w:ind w:left="1080"/>
        <w:jc w:val="both"/>
        <w:rPr>
          <w:rStyle w:val="normaltextrun"/>
          <w:rFonts w:ascii="Calibri" w:eastAsia="Calibri" w:hAnsi="Calibri" w:cs="Calibri"/>
          <w:color w:val="000000" w:themeColor="text1"/>
          <w:sz w:val="22"/>
          <w:szCs w:val="22"/>
        </w:rPr>
      </w:pPr>
      <w:r w:rsidRPr="3E9B4CC2">
        <w:rPr>
          <w:rStyle w:val="normaltextrun"/>
          <w:rFonts w:cs="Calibri"/>
          <w:b/>
          <w:bCs/>
          <w:color w:val="000000" w:themeColor="text1"/>
        </w:rPr>
        <w:t>Non-Homeless Special Needs Assessment:</w:t>
      </w:r>
      <w:r w:rsidRPr="3E9B4CC2">
        <w:rPr>
          <w:rStyle w:val="normaltextrun"/>
          <w:rFonts w:cs="Calibri"/>
          <w:color w:val="000000" w:themeColor="text1"/>
        </w:rPr>
        <w:t xml:space="preserve"> housing needs for persons who are not homeless but require supportive services are presented. These populations include the elderly, frail elderly, persons with disabilities, and persons with alcohol or other drug addictions. HUD default data is not provided; data used to assess these needs is appropriately cited.</w:t>
      </w:r>
      <w:r w:rsidRPr="00C83593">
        <w:rPr>
          <w:rStyle w:val="normaltextrun"/>
          <w:rFonts w:cs="Calibri"/>
          <w:color w:val="000000" w:themeColor="text1"/>
          <w:shd w:val="clear" w:color="auto" w:fill="FFFFFF" w:themeFill="background1"/>
        </w:rPr>
        <w:t xml:space="preserve"> HOPWA data </w:t>
      </w:r>
      <w:r w:rsidR="00294BD0" w:rsidRPr="00C83593">
        <w:rPr>
          <w:rStyle w:val="normaltextrun"/>
          <w:rFonts w:cs="Calibri"/>
          <w:color w:val="000000" w:themeColor="text1"/>
          <w:shd w:val="clear" w:color="auto" w:fill="FFFFFF" w:themeFill="background1"/>
        </w:rPr>
        <w:t xml:space="preserve">requested as part of this </w:t>
      </w:r>
      <w:proofErr w:type="spellStart"/>
      <w:r w:rsidR="00294BD0" w:rsidRPr="00C83593">
        <w:rPr>
          <w:rStyle w:val="normaltextrun"/>
          <w:rFonts w:cs="Calibri"/>
          <w:color w:val="000000" w:themeColor="text1"/>
          <w:shd w:val="clear" w:color="auto" w:fill="FFFFFF" w:themeFill="background1"/>
        </w:rPr>
        <w:t>eConPlanning</w:t>
      </w:r>
      <w:proofErr w:type="spellEnd"/>
      <w:r w:rsidR="00294BD0" w:rsidRPr="00C83593">
        <w:rPr>
          <w:rStyle w:val="normaltextrun"/>
          <w:rFonts w:cs="Calibri"/>
          <w:color w:val="000000" w:themeColor="text1"/>
          <w:shd w:val="clear" w:color="auto" w:fill="FFFFFF" w:themeFill="background1"/>
        </w:rPr>
        <w:t xml:space="preserve"> Suite </w:t>
      </w:r>
      <w:r w:rsidR="00294BD0" w:rsidRPr="00C83593">
        <w:rPr>
          <w:rStyle w:val="normaltextrun"/>
          <w:rFonts w:cs="Calibri"/>
          <w:color w:val="000000" w:themeColor="text1"/>
          <w:shd w:val="clear" w:color="auto" w:fill="FFFFFF" w:themeFill="background1"/>
        </w:rPr>
        <w:lastRenderedPageBreak/>
        <w:t xml:space="preserve">template </w:t>
      </w:r>
      <w:r w:rsidRPr="00C83593">
        <w:rPr>
          <w:rStyle w:val="normaltextrun"/>
          <w:rFonts w:cs="Calibri"/>
          <w:color w:val="000000" w:themeColor="text1"/>
          <w:shd w:val="clear" w:color="auto" w:fill="FFFFFF" w:themeFill="background1"/>
        </w:rPr>
        <w:t>is based on CDC HIV Surveillance Data and the HOPWA CAPER and HOPWA Beneficiary Verification Worksheet. </w:t>
      </w:r>
    </w:p>
    <w:p w14:paraId="2673B1C1" w14:textId="77777777" w:rsidR="00C00F48" w:rsidRPr="00C00F48" w:rsidRDefault="00C00F48" w:rsidP="00E256FC">
      <w:pPr>
        <w:spacing w:after="0" w:line="240" w:lineRule="auto"/>
        <w:ind w:left="1080" w:hanging="360"/>
        <w:jc w:val="both"/>
        <w:rPr>
          <w:rFonts w:cs="Calibri"/>
          <w:color w:val="000000" w:themeColor="text1"/>
        </w:rPr>
      </w:pPr>
    </w:p>
    <w:p w14:paraId="1B3DE9FD" w14:textId="77777777" w:rsidR="009B0FCC" w:rsidRPr="00C00F48" w:rsidRDefault="009B0FCC" w:rsidP="00E256FC">
      <w:pPr>
        <w:pStyle w:val="ListParagraph"/>
        <w:numPr>
          <w:ilvl w:val="0"/>
          <w:numId w:val="8"/>
        </w:numPr>
        <w:spacing w:after="0" w:line="240" w:lineRule="auto"/>
        <w:ind w:left="1080"/>
        <w:jc w:val="both"/>
        <w:rPr>
          <w:rFonts w:cs="Calibri"/>
          <w:color w:val="000000" w:themeColor="text1"/>
        </w:rPr>
      </w:pPr>
      <w:r w:rsidRPr="00C00F48">
        <w:rPr>
          <w:rStyle w:val="normaltextrun"/>
          <w:rFonts w:cs="Calibri"/>
          <w:b/>
          <w:bCs/>
          <w:color w:val="000000" w:themeColor="text1"/>
        </w:rPr>
        <w:t>Non-Housing Community Development Needs:</w:t>
      </w:r>
      <w:r w:rsidRPr="00C00F48">
        <w:rPr>
          <w:rStyle w:val="normaltextrun"/>
          <w:rFonts w:cs="Calibri"/>
          <w:color w:val="000000" w:themeColor="text1"/>
        </w:rPr>
        <w:t xml:space="preserve"> non-housing community development needs (i.e., public facilities, public improvements, and public services) is based on input from consultations/community input and local plans and reports as HUD default data is not provided. </w:t>
      </w:r>
    </w:p>
    <w:p w14:paraId="314651E6" w14:textId="77777777" w:rsidR="009B0FCC" w:rsidRPr="00C00F48" w:rsidRDefault="009B0FCC" w:rsidP="00E256FC">
      <w:pPr>
        <w:spacing w:after="0" w:line="240" w:lineRule="auto"/>
        <w:ind w:left="1080"/>
        <w:jc w:val="both"/>
        <w:rPr>
          <w:rFonts w:cs="Calibri"/>
          <w:color w:val="000000" w:themeColor="text1"/>
        </w:rPr>
      </w:pPr>
    </w:p>
    <w:p w14:paraId="71C0A6DD" w14:textId="01DD3C26" w:rsidR="009B0FCC" w:rsidRPr="00294BD0" w:rsidRDefault="00294BD0" w:rsidP="00E256FC">
      <w:pPr>
        <w:spacing w:after="0" w:line="240" w:lineRule="auto"/>
        <w:jc w:val="both"/>
        <w:rPr>
          <w:rFonts w:cs="Calibri"/>
          <w:b/>
          <w:bCs/>
          <w:i/>
          <w:iCs/>
          <w:color w:val="000000" w:themeColor="text1"/>
        </w:rPr>
      </w:pPr>
      <w:r>
        <w:rPr>
          <w:rStyle w:val="normaltextrun"/>
          <w:rFonts w:cs="Calibri"/>
          <w:b/>
          <w:bCs/>
          <w:i/>
          <w:iCs/>
          <w:color w:val="000000" w:themeColor="text1"/>
        </w:rPr>
        <w:t xml:space="preserve">Alternate Data </w:t>
      </w:r>
      <w:r w:rsidR="009B0FCC" w:rsidRPr="00294BD0">
        <w:rPr>
          <w:rStyle w:val="normaltextrun"/>
          <w:rFonts w:cs="Calibri"/>
          <w:b/>
          <w:bCs/>
          <w:i/>
          <w:iCs/>
          <w:color w:val="000000" w:themeColor="text1"/>
        </w:rPr>
        <w:t>Used in the Needs Assessment</w:t>
      </w:r>
      <w:r w:rsidR="009B0FCC" w:rsidRPr="00294BD0">
        <w:rPr>
          <w:rStyle w:val="eop"/>
          <w:rFonts w:cs="Calibri"/>
          <w:b/>
          <w:bCs/>
          <w:i/>
          <w:iCs/>
          <w:color w:val="000000" w:themeColor="text1"/>
        </w:rPr>
        <w:t> </w:t>
      </w:r>
    </w:p>
    <w:p w14:paraId="06CE62FA" w14:textId="77777777" w:rsidR="009B0FCC" w:rsidRPr="00C00F48" w:rsidRDefault="009B0FCC" w:rsidP="00E256FC">
      <w:pPr>
        <w:spacing w:after="0" w:line="240" w:lineRule="auto"/>
        <w:jc w:val="both"/>
        <w:rPr>
          <w:rFonts w:ascii="Segoe UI" w:eastAsia="Segoe UI" w:hAnsi="Segoe UI" w:cs="Segoe UI"/>
          <w:color w:val="000000" w:themeColor="text1"/>
          <w:sz w:val="18"/>
          <w:szCs w:val="18"/>
        </w:rPr>
      </w:pPr>
    </w:p>
    <w:p w14:paraId="36B7B982" w14:textId="77777777" w:rsidR="009B0FCC" w:rsidRDefault="009B0FCC" w:rsidP="00E256FC">
      <w:pPr>
        <w:spacing w:after="0" w:line="240" w:lineRule="auto"/>
        <w:jc w:val="both"/>
        <w:rPr>
          <w:rStyle w:val="normaltextrun"/>
          <w:rFonts w:cs="Calibri"/>
          <w:color w:val="000000" w:themeColor="text1"/>
        </w:rPr>
      </w:pPr>
      <w:r w:rsidRPr="00C00F48">
        <w:rPr>
          <w:rStyle w:val="normaltextrun"/>
          <w:rFonts w:cs="Calibri"/>
          <w:color w:val="000000" w:themeColor="text1"/>
        </w:rPr>
        <w:t>To provide the most current representation of needs in Idaho, where available, GIS Maps are used to support the data tables. All maps are based on 2018-2022 ACS data. </w:t>
      </w:r>
    </w:p>
    <w:p w14:paraId="4EDC9050" w14:textId="77777777" w:rsidR="00C70C50" w:rsidRDefault="00C70C50" w:rsidP="00E256FC">
      <w:pPr>
        <w:spacing w:after="0" w:line="240" w:lineRule="auto"/>
        <w:jc w:val="both"/>
        <w:rPr>
          <w:rStyle w:val="normaltextrun"/>
          <w:rFonts w:cs="Calibri"/>
          <w:color w:val="000000" w:themeColor="text1"/>
        </w:rPr>
      </w:pPr>
    </w:p>
    <w:p w14:paraId="1832C1C7" w14:textId="00F86536" w:rsidR="00294BD0" w:rsidRDefault="00294BD0" w:rsidP="00E256FC">
      <w:pPr>
        <w:spacing w:after="0" w:line="240" w:lineRule="auto"/>
        <w:jc w:val="both"/>
        <w:rPr>
          <w:rStyle w:val="normaltextrun"/>
          <w:rFonts w:cs="Calibri"/>
          <w:color w:val="000000" w:themeColor="text1"/>
        </w:rPr>
      </w:pPr>
      <w:r>
        <w:rPr>
          <w:rStyle w:val="normaltextrun"/>
          <w:rFonts w:cs="Calibri"/>
          <w:color w:val="000000" w:themeColor="text1"/>
        </w:rPr>
        <w:t>Given data lags in the e-</w:t>
      </w:r>
      <w:proofErr w:type="spellStart"/>
      <w:r>
        <w:rPr>
          <w:rStyle w:val="normaltextrun"/>
          <w:rFonts w:cs="Calibri"/>
          <w:color w:val="000000" w:themeColor="text1"/>
        </w:rPr>
        <w:t>ConPlanning</w:t>
      </w:r>
      <w:proofErr w:type="spellEnd"/>
      <w:r>
        <w:rPr>
          <w:rStyle w:val="normaltextrun"/>
          <w:rFonts w:cs="Calibri"/>
          <w:color w:val="000000" w:themeColor="text1"/>
        </w:rPr>
        <w:t xml:space="preserve"> Suite and the available mapping data at the time of development of this assessment, w</w:t>
      </w:r>
      <w:r w:rsidR="00C70C50">
        <w:rPr>
          <w:rStyle w:val="normaltextrun"/>
          <w:rFonts w:cs="Calibri"/>
          <w:color w:val="000000" w:themeColor="text1"/>
        </w:rPr>
        <w:t>here possible and useful to understanding current challenges, additional narrative has been added with alternative data sources to provide a more current snapshot of certain data points.</w:t>
      </w:r>
      <w:r>
        <w:rPr>
          <w:rStyle w:val="normaltextrun"/>
          <w:rFonts w:cs="Calibri"/>
          <w:color w:val="000000" w:themeColor="text1"/>
        </w:rPr>
        <w:t xml:space="preserve"> </w:t>
      </w:r>
    </w:p>
    <w:p w14:paraId="4471460B" w14:textId="77777777" w:rsidR="00294BD0" w:rsidRDefault="00294BD0" w:rsidP="00E256FC">
      <w:pPr>
        <w:spacing w:after="0" w:line="240" w:lineRule="auto"/>
        <w:jc w:val="both"/>
        <w:rPr>
          <w:rStyle w:val="normaltextrun"/>
          <w:rFonts w:cs="Calibri"/>
          <w:color w:val="000000" w:themeColor="text1"/>
        </w:rPr>
      </w:pPr>
    </w:p>
    <w:p w14:paraId="540BE260" w14:textId="6E40BBCB" w:rsidR="00C70C50" w:rsidRPr="00C00F48" w:rsidRDefault="00294BD0" w:rsidP="00E256FC">
      <w:pPr>
        <w:spacing w:after="0" w:line="240" w:lineRule="auto"/>
        <w:jc w:val="both"/>
        <w:rPr>
          <w:rFonts w:cs="Calibri"/>
          <w:color w:val="000000" w:themeColor="text1"/>
        </w:rPr>
      </w:pPr>
      <w:r w:rsidRPr="787E070B">
        <w:rPr>
          <w:rStyle w:val="normaltextrun"/>
          <w:rFonts w:cs="Calibri"/>
          <w:color w:val="000000" w:themeColor="text1"/>
        </w:rPr>
        <w:t xml:space="preserve">Definitions to guide the understanding of this Plan are provided in the </w:t>
      </w:r>
      <w:r w:rsidRPr="00C83593">
        <w:rPr>
          <w:rStyle w:val="normaltextrun"/>
          <w:rFonts w:cs="Calibri"/>
          <w:color w:val="000000" w:themeColor="text1"/>
        </w:rPr>
        <w:t>Unique Appendices.</w:t>
      </w:r>
    </w:p>
    <w:p w14:paraId="167C5CEC" w14:textId="140E406C" w:rsidR="787E070B" w:rsidRDefault="787E070B" w:rsidP="00E256FC">
      <w:pPr>
        <w:spacing w:after="0" w:line="240" w:lineRule="auto"/>
        <w:jc w:val="both"/>
        <w:rPr>
          <w:rStyle w:val="normaltextrun"/>
          <w:rFonts w:cs="Calibri"/>
          <w:color w:val="000000" w:themeColor="text1"/>
          <w:highlight w:val="yellow"/>
        </w:rPr>
      </w:pPr>
    </w:p>
    <w:p w14:paraId="59387123" w14:textId="01A619B2" w:rsidR="787E070B" w:rsidRDefault="787E070B" w:rsidP="787E070B">
      <w:pPr>
        <w:spacing w:after="0" w:line="240" w:lineRule="auto"/>
        <w:rPr>
          <w:rStyle w:val="normaltextrun"/>
          <w:rFonts w:cs="Calibri"/>
          <w:color w:val="000000" w:themeColor="text1"/>
          <w:highlight w:val="yellow"/>
        </w:rPr>
      </w:pPr>
    </w:p>
    <w:p w14:paraId="41547BE8" w14:textId="77777777" w:rsidR="009B0FCC" w:rsidRPr="00C00F48" w:rsidRDefault="009B0FCC" w:rsidP="009B0FCC">
      <w:pPr>
        <w:spacing w:after="0" w:line="240" w:lineRule="auto"/>
        <w:rPr>
          <w:rFonts w:cs="Calibri"/>
          <w:color w:val="000000" w:themeColor="text1"/>
        </w:rPr>
      </w:pPr>
      <w:r w:rsidRPr="787E070B">
        <w:rPr>
          <w:rStyle w:val="eop"/>
          <w:rFonts w:cs="Calibri"/>
          <w:color w:val="000000" w:themeColor="text1"/>
        </w:rPr>
        <w:t> </w:t>
      </w:r>
    </w:p>
    <w:p w14:paraId="6122384A" w14:textId="7FAB9857" w:rsidR="009B0FCC" w:rsidRPr="00D61E55" w:rsidRDefault="009B0FCC" w:rsidP="57D2290B">
      <w:pPr>
        <w:rPr>
          <w:sz w:val="24"/>
          <w:szCs w:val="24"/>
          <w:highlight w:val="yellow"/>
        </w:rPr>
      </w:pPr>
    </w:p>
    <w:p w14:paraId="1FA4CB05" w14:textId="31590671" w:rsidR="57D2290B" w:rsidRDefault="57D2290B" w:rsidP="57D2290B">
      <w:pPr>
        <w:rPr>
          <w:sz w:val="24"/>
          <w:szCs w:val="24"/>
        </w:rPr>
      </w:pPr>
    </w:p>
    <w:p w14:paraId="78D653E2" w14:textId="77777777" w:rsidR="009B0FCC" w:rsidRDefault="009B0FCC" w:rsidP="009B0FCC">
      <w:pPr>
        <w:pStyle w:val="Heading2"/>
        <w:pageBreakBefore/>
        <w:rPr>
          <w:rFonts w:ascii="Calibri" w:hAnsi="Calibri"/>
          <w:i/>
        </w:rPr>
      </w:pPr>
      <w:bookmarkStart w:id="10" w:name="_Toc194673836"/>
      <w:r>
        <w:rPr>
          <w:rFonts w:ascii="Calibri" w:hAnsi="Calibri"/>
        </w:rPr>
        <w:lastRenderedPageBreak/>
        <w:t>NA-10 Housing Needs Assessment - 24 CFR 91.305 (</w:t>
      </w:r>
      <w:proofErr w:type="spellStart"/>
      <w:proofErr w:type="gramStart"/>
      <w:r>
        <w:rPr>
          <w:rFonts w:ascii="Calibri" w:hAnsi="Calibri"/>
        </w:rPr>
        <w:t>a,b</w:t>
      </w:r>
      <w:proofErr w:type="gramEnd"/>
      <w:r>
        <w:rPr>
          <w:rFonts w:ascii="Calibri" w:hAnsi="Calibri"/>
        </w:rPr>
        <w:t>,c</w:t>
      </w:r>
      <w:proofErr w:type="spellEnd"/>
      <w:r>
        <w:rPr>
          <w:rFonts w:ascii="Calibri" w:hAnsi="Calibri"/>
        </w:rPr>
        <w:t>)</w:t>
      </w:r>
      <w:bookmarkEnd w:id="10"/>
    </w:p>
    <w:p w14:paraId="46552F61" w14:textId="77777777" w:rsidR="001770B0" w:rsidRDefault="6B92611D" w:rsidP="7C9796E2">
      <w:pPr>
        <w:rPr>
          <w:b/>
          <w:bCs/>
          <w:sz w:val="24"/>
          <w:szCs w:val="24"/>
        </w:rPr>
      </w:pPr>
      <w:r w:rsidRPr="098FA5AC">
        <w:rPr>
          <w:b/>
          <w:bCs/>
          <w:sz w:val="24"/>
          <w:szCs w:val="24"/>
        </w:rPr>
        <w:t>Summary of Housing Needs</w:t>
      </w:r>
    </w:p>
    <w:p w14:paraId="1A8AE201" w14:textId="3046EC9E" w:rsidR="3C412AB8" w:rsidRDefault="00AC2604" w:rsidP="363C97BE">
      <w:r w:rsidRPr="001770B0">
        <w:rPr>
          <w:sz w:val="24"/>
          <w:szCs w:val="24"/>
        </w:rPr>
        <w:t xml:space="preserve">See </w:t>
      </w:r>
      <w:r w:rsidR="003A7226" w:rsidRPr="001770B0">
        <w:rPr>
          <w:sz w:val="24"/>
          <w:szCs w:val="24"/>
        </w:rPr>
        <w:t>U</w:t>
      </w:r>
      <w:r w:rsidRPr="001770B0">
        <w:rPr>
          <w:sz w:val="24"/>
          <w:szCs w:val="24"/>
        </w:rPr>
        <w:t xml:space="preserve">nique </w:t>
      </w:r>
      <w:r w:rsidR="003A7226" w:rsidRPr="001770B0">
        <w:rPr>
          <w:sz w:val="24"/>
          <w:szCs w:val="24"/>
        </w:rPr>
        <w:t>A</w:t>
      </w:r>
      <w:r w:rsidRPr="001770B0">
        <w:rPr>
          <w:sz w:val="24"/>
          <w:szCs w:val="24"/>
        </w:rPr>
        <w:t>ppendices</w:t>
      </w:r>
      <w:r w:rsidR="001770B0">
        <w:rPr>
          <w:sz w:val="24"/>
          <w:szCs w:val="24"/>
        </w:rPr>
        <w: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262"/>
        <w:gridCol w:w="3264"/>
        <w:gridCol w:w="1166"/>
      </w:tblGrid>
      <w:tr w:rsidR="009B0FCC" w14:paraId="4E34F47A" w14:textId="77777777" w:rsidTr="787E070B">
        <w:trPr>
          <w:cantSplit/>
          <w:tblHeader/>
        </w:trPr>
        <w:tc>
          <w:tcPr>
            <w:tcW w:w="1697" w:type="dxa"/>
          </w:tcPr>
          <w:p w14:paraId="77C6DCE9" w14:textId="77777777" w:rsidR="009B0FCC" w:rsidRDefault="009B0FCC" w:rsidP="00721F16">
            <w:pPr>
              <w:keepNext/>
              <w:widowControl w:val="0"/>
              <w:spacing w:after="0" w:line="240" w:lineRule="auto"/>
              <w:rPr>
                <w:b/>
              </w:rPr>
            </w:pPr>
            <w:r>
              <w:rPr>
                <w:b/>
                <w:bCs/>
              </w:rPr>
              <w:t>Demographics</w:t>
            </w:r>
          </w:p>
        </w:tc>
        <w:tc>
          <w:tcPr>
            <w:tcW w:w="3343" w:type="dxa"/>
          </w:tcPr>
          <w:p w14:paraId="2315BD4C" w14:textId="77777777" w:rsidR="009B0FCC" w:rsidRDefault="009B0FCC" w:rsidP="00721F16">
            <w:pPr>
              <w:keepNext/>
              <w:widowControl w:val="0"/>
              <w:spacing w:beforeAutospacing="1" w:afterAutospacing="1"/>
              <w:jc w:val="center"/>
              <w:rPr>
                <w:b/>
                <w:bCs/>
              </w:rPr>
            </w:pPr>
            <w:r>
              <w:rPr>
                <w:b/>
              </w:rPr>
              <w:t>Base Year:  2009</w:t>
            </w:r>
          </w:p>
        </w:tc>
        <w:tc>
          <w:tcPr>
            <w:tcW w:w="3345" w:type="dxa"/>
          </w:tcPr>
          <w:p w14:paraId="140BE0C2" w14:textId="77777777" w:rsidR="009B0FCC" w:rsidRDefault="009B0FCC" w:rsidP="00721F16">
            <w:pPr>
              <w:keepNext/>
              <w:widowControl w:val="0"/>
              <w:spacing w:beforeAutospacing="1" w:afterAutospacing="1"/>
              <w:jc w:val="center"/>
              <w:rPr>
                <w:b/>
                <w:bCs/>
              </w:rPr>
            </w:pPr>
            <w:r>
              <w:rPr>
                <w:b/>
              </w:rPr>
              <w:t>Most Recent Year:  2020</w:t>
            </w:r>
          </w:p>
        </w:tc>
        <w:tc>
          <w:tcPr>
            <w:tcW w:w="1191" w:type="dxa"/>
          </w:tcPr>
          <w:p w14:paraId="26BA2548" w14:textId="77777777" w:rsidR="009B0FCC" w:rsidRDefault="009B0FCC" w:rsidP="00721F16">
            <w:pPr>
              <w:keepNext/>
              <w:widowControl w:val="0"/>
              <w:spacing w:after="0" w:line="240" w:lineRule="auto"/>
              <w:jc w:val="center"/>
              <w:rPr>
                <w:b/>
              </w:rPr>
            </w:pPr>
            <w:r>
              <w:rPr>
                <w:b/>
                <w:bCs/>
              </w:rPr>
              <w:t>% Change</w:t>
            </w:r>
          </w:p>
        </w:tc>
      </w:tr>
      <w:tr w:rsidR="009B0FCC" w14:paraId="06E03BB0" w14:textId="77777777" w:rsidTr="787E070B">
        <w:trPr>
          <w:cantSplit/>
        </w:trPr>
        <w:tc>
          <w:tcPr>
            <w:tcW w:w="1697" w:type="dxa"/>
          </w:tcPr>
          <w:p w14:paraId="6093C46F" w14:textId="77777777" w:rsidR="009B0FCC" w:rsidRDefault="009B0FCC" w:rsidP="00721F16">
            <w:pPr>
              <w:spacing w:beforeAutospacing="1" w:afterAutospacing="1"/>
            </w:pPr>
            <w:r>
              <w:rPr>
                <w:color w:val="000000"/>
              </w:rPr>
              <w:t>Population</w:t>
            </w:r>
          </w:p>
        </w:tc>
        <w:tc>
          <w:tcPr>
            <w:tcW w:w="3343" w:type="dxa"/>
            <w:vAlign w:val="bottom"/>
          </w:tcPr>
          <w:p w14:paraId="1FE3C78B" w14:textId="6404AC86" w:rsidR="009B0FCC" w:rsidRDefault="009F672B" w:rsidP="00721F16">
            <w:pPr>
              <w:spacing w:beforeAutospacing="1" w:afterAutospacing="1"/>
              <w:jc w:val="right"/>
            </w:pPr>
            <w:r w:rsidRPr="009F672B">
              <w:rPr>
                <w:color w:val="000000" w:themeColor="text1"/>
              </w:rPr>
              <w:t>1,567,582</w:t>
            </w:r>
          </w:p>
        </w:tc>
        <w:tc>
          <w:tcPr>
            <w:tcW w:w="3345" w:type="dxa"/>
            <w:vAlign w:val="bottom"/>
          </w:tcPr>
          <w:p w14:paraId="006AE496" w14:textId="225B69EC" w:rsidR="009B0FCC" w:rsidRDefault="25B8709B" w:rsidP="00721F16">
            <w:pPr>
              <w:spacing w:beforeAutospacing="1" w:afterAutospacing="1"/>
              <w:jc w:val="right"/>
            </w:pPr>
            <w:r w:rsidRPr="098FA5AC">
              <w:rPr>
                <w:color w:val="000000" w:themeColor="text1"/>
              </w:rPr>
              <w:t>1,754,367</w:t>
            </w:r>
          </w:p>
        </w:tc>
        <w:tc>
          <w:tcPr>
            <w:tcW w:w="1191" w:type="dxa"/>
            <w:vAlign w:val="bottom"/>
          </w:tcPr>
          <w:p w14:paraId="1FCFEDBD" w14:textId="6D47112C" w:rsidR="009B0FCC" w:rsidRDefault="0080256B" w:rsidP="787E070B">
            <w:pPr>
              <w:spacing w:beforeAutospacing="1" w:afterAutospacing="1"/>
              <w:jc w:val="right"/>
              <w:rPr>
                <w:color w:val="000000" w:themeColor="text1"/>
              </w:rPr>
            </w:pPr>
            <w:r>
              <w:rPr>
                <w:color w:val="000000" w:themeColor="text1"/>
              </w:rPr>
              <w:t>11.9</w:t>
            </w:r>
            <w:r w:rsidR="1E714369" w:rsidRPr="098FA5AC">
              <w:rPr>
                <w:color w:val="000000" w:themeColor="text1"/>
              </w:rPr>
              <w:t>%</w:t>
            </w:r>
          </w:p>
        </w:tc>
      </w:tr>
      <w:tr w:rsidR="009B0FCC" w14:paraId="60FFFDF4" w14:textId="77777777" w:rsidTr="787E070B">
        <w:trPr>
          <w:cantSplit/>
        </w:trPr>
        <w:tc>
          <w:tcPr>
            <w:tcW w:w="1697" w:type="dxa"/>
          </w:tcPr>
          <w:p w14:paraId="635E8D9D" w14:textId="77777777" w:rsidR="009B0FCC" w:rsidRDefault="009B0FCC" w:rsidP="00721F16">
            <w:pPr>
              <w:spacing w:beforeAutospacing="1" w:afterAutospacing="1"/>
            </w:pPr>
            <w:r>
              <w:rPr>
                <w:color w:val="000000"/>
              </w:rPr>
              <w:t>Households</w:t>
            </w:r>
          </w:p>
        </w:tc>
        <w:tc>
          <w:tcPr>
            <w:tcW w:w="3343" w:type="dxa"/>
            <w:vAlign w:val="bottom"/>
          </w:tcPr>
          <w:p w14:paraId="3D6BAAD9" w14:textId="5A6AB693" w:rsidR="009B0FCC" w:rsidRDefault="00C6143D" w:rsidP="00721F16">
            <w:pPr>
              <w:spacing w:beforeAutospacing="1" w:afterAutospacing="1"/>
              <w:jc w:val="right"/>
            </w:pPr>
            <w:r w:rsidRPr="00C6143D">
              <w:rPr>
                <w:color w:val="000000"/>
              </w:rPr>
              <w:t>579,408</w:t>
            </w:r>
          </w:p>
        </w:tc>
        <w:tc>
          <w:tcPr>
            <w:tcW w:w="3345" w:type="dxa"/>
            <w:vAlign w:val="bottom"/>
          </w:tcPr>
          <w:p w14:paraId="66860AB7" w14:textId="4AEB0D54" w:rsidR="009B0FCC" w:rsidRDefault="6E9A3734" w:rsidP="00721F16">
            <w:pPr>
              <w:spacing w:beforeAutospacing="1" w:afterAutospacing="1"/>
              <w:jc w:val="right"/>
            </w:pPr>
            <w:r w:rsidRPr="098FA5AC">
              <w:rPr>
                <w:color w:val="000000" w:themeColor="text1"/>
              </w:rPr>
              <w:t>737,411</w:t>
            </w:r>
          </w:p>
        </w:tc>
        <w:tc>
          <w:tcPr>
            <w:tcW w:w="1191" w:type="dxa"/>
            <w:vAlign w:val="bottom"/>
          </w:tcPr>
          <w:p w14:paraId="3F55FE0D" w14:textId="47BF7DFF" w:rsidR="009B0FCC" w:rsidRDefault="511756F1" w:rsidP="00721F16">
            <w:pPr>
              <w:spacing w:beforeAutospacing="1" w:afterAutospacing="1"/>
              <w:jc w:val="right"/>
            </w:pPr>
            <w:r w:rsidRPr="098FA5AC">
              <w:rPr>
                <w:color w:val="000000" w:themeColor="text1"/>
              </w:rPr>
              <w:t>2</w:t>
            </w:r>
            <w:r w:rsidR="00CD05CC">
              <w:rPr>
                <w:color w:val="000000" w:themeColor="text1"/>
              </w:rPr>
              <w:t>7.3</w:t>
            </w:r>
            <w:r w:rsidR="6B92611D" w:rsidRPr="098FA5AC">
              <w:rPr>
                <w:color w:val="000000" w:themeColor="text1"/>
              </w:rPr>
              <w:t>%</w:t>
            </w:r>
          </w:p>
        </w:tc>
      </w:tr>
      <w:tr w:rsidR="009B0FCC" w14:paraId="2015050C" w14:textId="77777777" w:rsidTr="787E070B">
        <w:trPr>
          <w:cantSplit/>
        </w:trPr>
        <w:tc>
          <w:tcPr>
            <w:tcW w:w="1697" w:type="dxa"/>
          </w:tcPr>
          <w:p w14:paraId="57BE738C" w14:textId="77777777" w:rsidR="009B0FCC" w:rsidRDefault="009B0FCC" w:rsidP="00721F16">
            <w:pPr>
              <w:spacing w:beforeAutospacing="1" w:afterAutospacing="1"/>
            </w:pPr>
            <w:r>
              <w:rPr>
                <w:color w:val="000000"/>
              </w:rPr>
              <w:t>Median Income</w:t>
            </w:r>
          </w:p>
        </w:tc>
        <w:tc>
          <w:tcPr>
            <w:tcW w:w="3343" w:type="dxa"/>
            <w:vAlign w:val="bottom"/>
          </w:tcPr>
          <w:p w14:paraId="4063B001" w14:textId="0BBECBB1" w:rsidR="009B0FCC" w:rsidRDefault="00C6143D" w:rsidP="787E070B">
            <w:pPr>
              <w:spacing w:beforeAutospacing="1" w:afterAutospacing="1"/>
              <w:jc w:val="right"/>
              <w:rPr>
                <w:color w:val="000000" w:themeColor="text1"/>
              </w:rPr>
            </w:pPr>
            <w:r w:rsidRPr="00C6143D">
              <w:rPr>
                <w:color w:val="000000" w:themeColor="text1"/>
              </w:rPr>
              <w:t>$46,778</w:t>
            </w:r>
          </w:p>
        </w:tc>
        <w:tc>
          <w:tcPr>
            <w:tcW w:w="3345" w:type="dxa"/>
            <w:vAlign w:val="bottom"/>
          </w:tcPr>
          <w:p w14:paraId="4B63F0A7" w14:textId="3198EBD1" w:rsidR="009B0FCC" w:rsidRDefault="0F9FAB89" w:rsidP="00721F16">
            <w:pPr>
              <w:spacing w:beforeAutospacing="1" w:afterAutospacing="1"/>
              <w:jc w:val="right"/>
            </w:pPr>
            <w:r w:rsidRPr="098FA5AC">
              <w:rPr>
                <w:color w:val="000000" w:themeColor="text1"/>
              </w:rPr>
              <w:t>$58,915</w:t>
            </w:r>
          </w:p>
        </w:tc>
        <w:tc>
          <w:tcPr>
            <w:tcW w:w="1191" w:type="dxa"/>
            <w:vAlign w:val="bottom"/>
          </w:tcPr>
          <w:p w14:paraId="54140BC9" w14:textId="0DE3875B" w:rsidR="009B0FCC" w:rsidRDefault="00E131BD" w:rsidP="00721F16">
            <w:pPr>
              <w:spacing w:beforeAutospacing="1" w:afterAutospacing="1"/>
              <w:jc w:val="right"/>
            </w:pPr>
            <w:r>
              <w:rPr>
                <w:color w:val="000000"/>
              </w:rPr>
              <w:t>26%</w:t>
            </w:r>
            <w:r w:rsidR="009B0FCC">
              <w:rPr>
                <w:color w:val="000000"/>
              </w:rPr>
              <w:t xml:space="preserve"> </w:t>
            </w:r>
          </w:p>
        </w:tc>
      </w:tr>
    </w:tbl>
    <w:p w14:paraId="616F6DD5" w14:textId="77777777" w:rsidR="009B0FCC" w:rsidRDefault="009B0FCC" w:rsidP="009B0FCC">
      <w:pPr>
        <w:pStyle w:val="Caption"/>
        <w:jc w:val="center"/>
        <w:rPr>
          <w:rFonts w:asciiTheme="minorHAnsi" w:hAnsiTheme="minorHAnsi"/>
        </w:rPr>
      </w:pPr>
      <w:bookmarkStart w:id="11" w:name="_Toc307833501"/>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Housing Needs Assessment Demographics</w:t>
      </w:r>
      <w:bookmarkEnd w:id="11"/>
    </w:p>
    <w:p w14:paraId="0AD5615E" w14:textId="77777777" w:rsidR="009B0FCC" w:rsidRDefault="009B0FCC" w:rsidP="009B0FCC">
      <w:pPr>
        <w:spacing w:after="0"/>
      </w:pPr>
    </w:p>
    <w:tbl>
      <w:tblPr>
        <w:tblW w:w="9528" w:type="dxa"/>
        <w:tblInd w:w="115" w:type="dxa"/>
        <w:tblLayout w:type="fixed"/>
        <w:tblLook w:val="01E0" w:firstRow="1" w:lastRow="1" w:firstColumn="1" w:lastColumn="1" w:noHBand="0" w:noVBand="0"/>
      </w:tblPr>
      <w:tblGrid>
        <w:gridCol w:w="1236"/>
        <w:gridCol w:w="8292"/>
      </w:tblGrid>
      <w:tr w:rsidR="009B0FCC" w14:paraId="10A0FB37" w14:textId="77777777" w:rsidTr="00721F16">
        <w:trPr>
          <w:cantSplit/>
          <w:trHeight w:val="277"/>
        </w:trPr>
        <w:tc>
          <w:tcPr>
            <w:tcW w:w="1236" w:type="dxa"/>
            <w:hideMark/>
          </w:tcPr>
          <w:p w14:paraId="37051696" w14:textId="77777777" w:rsidR="009B0FCC" w:rsidRDefault="009B0FCC" w:rsidP="00721F16">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292" w:type="dxa"/>
            <w:hideMark/>
          </w:tcPr>
          <w:p w14:paraId="59403E40" w14:textId="77777777" w:rsidR="009B0FCC" w:rsidRDefault="009B0FCC" w:rsidP="00721F16">
            <w:pPr>
              <w:spacing w:beforeAutospacing="1" w:afterAutospacing="1"/>
              <w:contextualSpacing/>
              <w:rPr>
                <w:rFonts w:asciiTheme="minorHAnsi" w:hAnsiTheme="minorHAnsi" w:cs="Arial"/>
                <w:sz w:val="16"/>
                <w:szCs w:val="16"/>
              </w:rPr>
            </w:pPr>
            <w:r>
              <w:rPr>
                <w:rFonts w:asciiTheme="minorHAnsi" w:hAnsiTheme="minorHAnsi" w:cs="Arial"/>
                <w:sz w:val="16"/>
                <w:szCs w:val="16"/>
              </w:rPr>
              <w:t>2000 Census (Base Year</w:t>
            </w:r>
            <w:r w:rsidR="6B92611D" w:rsidRPr="098FA5AC">
              <w:rPr>
                <w:rFonts w:asciiTheme="minorHAnsi" w:hAnsiTheme="minorHAnsi" w:cs="Arial"/>
                <w:sz w:val="16"/>
                <w:szCs w:val="16"/>
              </w:rPr>
              <w:t>),</w:t>
            </w:r>
            <w:r>
              <w:rPr>
                <w:rFonts w:asciiTheme="minorHAnsi" w:hAnsiTheme="minorHAnsi" w:cs="Arial"/>
                <w:sz w:val="16"/>
                <w:szCs w:val="16"/>
              </w:rPr>
              <w:t xml:space="preserve"> 2016-2020 ACS (Most Recent Year)</w:t>
            </w:r>
          </w:p>
        </w:tc>
      </w:tr>
    </w:tbl>
    <w:p w14:paraId="0AD217EB" w14:textId="77777777" w:rsidR="009B0FCC" w:rsidRDefault="009B0FCC" w:rsidP="009B0FCC">
      <w:pPr>
        <w:spacing w:after="0" w:line="240" w:lineRule="auto"/>
        <w:rPr>
          <w:vanish/>
        </w:rPr>
      </w:pPr>
    </w:p>
    <w:p w14:paraId="38EC48EB" w14:textId="77777777" w:rsidR="009B0FCC" w:rsidRDefault="009B0FCC" w:rsidP="009B0FCC">
      <w:pPr>
        <w:spacing w:after="0" w:line="240" w:lineRule="auto"/>
        <w:rPr>
          <w:b/>
          <w:bCs/>
          <w:vanish/>
          <w:sz w:val="16"/>
          <w:szCs w:val="16"/>
        </w:rPr>
      </w:pPr>
    </w:p>
    <w:p w14:paraId="5BB64233" w14:textId="77777777" w:rsidR="009B0FCC" w:rsidRDefault="009B0FCC" w:rsidP="009B0FCC"/>
    <w:p w14:paraId="7A168EC4" w14:textId="77777777" w:rsidR="009B0FCC" w:rsidRDefault="009B0FCC" w:rsidP="009B0FCC">
      <w:pPr>
        <w:keepNext/>
        <w:widowControl w:val="0"/>
        <w:rPr>
          <w:b/>
          <w:sz w:val="24"/>
          <w:szCs w:val="24"/>
        </w:rPr>
      </w:pPr>
      <w:r>
        <w:rPr>
          <w:b/>
          <w:sz w:val="24"/>
          <w:szCs w:val="24"/>
        </w:rPr>
        <w:t>Number of Households Table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92"/>
        <w:gridCol w:w="1170"/>
        <w:gridCol w:w="1171"/>
        <w:gridCol w:w="1223"/>
        <w:gridCol w:w="1171"/>
        <w:gridCol w:w="1223"/>
      </w:tblGrid>
      <w:tr w:rsidR="009B0FCC" w14:paraId="7DA24A07" w14:textId="77777777" w:rsidTr="00721F16">
        <w:trPr>
          <w:cantSplit/>
          <w:tblHeader/>
        </w:trPr>
        <w:tc>
          <w:tcPr>
            <w:tcW w:w="2005" w:type="dxa"/>
          </w:tcPr>
          <w:p w14:paraId="4E6FF927" w14:textId="77777777" w:rsidR="009B0FCC" w:rsidRDefault="009B0FCC" w:rsidP="00721F16">
            <w:pPr>
              <w:keepNext/>
              <w:widowControl w:val="0"/>
              <w:spacing w:after="0" w:line="240" w:lineRule="auto"/>
              <w:rPr>
                <w:b/>
              </w:rPr>
            </w:pPr>
          </w:p>
        </w:tc>
        <w:tc>
          <w:tcPr>
            <w:tcW w:w="1517" w:type="dxa"/>
          </w:tcPr>
          <w:p w14:paraId="38B62210" w14:textId="77777777" w:rsidR="009B0FCC" w:rsidRDefault="009B0FCC" w:rsidP="00721F16">
            <w:pPr>
              <w:keepNext/>
              <w:widowControl w:val="0"/>
              <w:spacing w:after="0" w:line="240" w:lineRule="auto"/>
              <w:jc w:val="center"/>
              <w:rPr>
                <w:rFonts w:cs="Arial"/>
                <w:b/>
              </w:rPr>
            </w:pPr>
            <w:r>
              <w:rPr>
                <w:b/>
                <w:bCs/>
              </w:rPr>
              <w:t xml:space="preserve">0-30% </w:t>
            </w:r>
            <w:r>
              <w:rPr>
                <w:b/>
              </w:rPr>
              <w:t>HAMFI</w:t>
            </w:r>
          </w:p>
        </w:tc>
        <w:tc>
          <w:tcPr>
            <w:tcW w:w="1517" w:type="dxa"/>
          </w:tcPr>
          <w:p w14:paraId="3E4591EF" w14:textId="77777777" w:rsidR="009B0FCC" w:rsidRDefault="009B0FCC" w:rsidP="00721F16">
            <w:pPr>
              <w:keepNext/>
              <w:widowControl w:val="0"/>
              <w:spacing w:after="0" w:line="240" w:lineRule="auto"/>
              <w:jc w:val="center"/>
              <w:rPr>
                <w:rFonts w:cs="Arial"/>
                <w:b/>
              </w:rPr>
            </w:pPr>
            <w:r>
              <w:rPr>
                <w:b/>
                <w:bCs/>
              </w:rPr>
              <w:t xml:space="preserve">&gt;30-50% </w:t>
            </w:r>
            <w:r>
              <w:rPr>
                <w:b/>
              </w:rPr>
              <w:t>HAMFI</w:t>
            </w:r>
          </w:p>
        </w:tc>
        <w:tc>
          <w:tcPr>
            <w:tcW w:w="1517" w:type="dxa"/>
          </w:tcPr>
          <w:p w14:paraId="0DFC5AAA" w14:textId="77777777" w:rsidR="009B0FCC" w:rsidRDefault="009B0FCC" w:rsidP="00721F16">
            <w:pPr>
              <w:keepNext/>
              <w:widowControl w:val="0"/>
              <w:spacing w:after="0" w:line="240" w:lineRule="auto"/>
              <w:jc w:val="center"/>
              <w:rPr>
                <w:rFonts w:cs="Arial"/>
                <w:b/>
              </w:rPr>
            </w:pPr>
            <w:r>
              <w:rPr>
                <w:b/>
                <w:bCs/>
              </w:rPr>
              <w:t xml:space="preserve">&gt;50-80% </w:t>
            </w:r>
            <w:r>
              <w:rPr>
                <w:b/>
              </w:rPr>
              <w:t>HAMFI</w:t>
            </w:r>
          </w:p>
        </w:tc>
        <w:tc>
          <w:tcPr>
            <w:tcW w:w="1517" w:type="dxa"/>
          </w:tcPr>
          <w:p w14:paraId="252EE142" w14:textId="77777777" w:rsidR="009B0FCC" w:rsidRDefault="009B0FCC" w:rsidP="00721F16">
            <w:pPr>
              <w:keepNext/>
              <w:widowControl w:val="0"/>
              <w:spacing w:after="0" w:line="240" w:lineRule="auto"/>
              <w:jc w:val="center"/>
              <w:rPr>
                <w:rFonts w:cs="Arial"/>
                <w:b/>
              </w:rPr>
            </w:pPr>
            <w:r>
              <w:rPr>
                <w:b/>
                <w:bCs/>
              </w:rPr>
              <w:t xml:space="preserve">&gt;80-100% </w:t>
            </w:r>
            <w:r>
              <w:rPr>
                <w:b/>
              </w:rPr>
              <w:t>HAMFI</w:t>
            </w:r>
          </w:p>
        </w:tc>
        <w:tc>
          <w:tcPr>
            <w:tcW w:w="1517" w:type="dxa"/>
          </w:tcPr>
          <w:p w14:paraId="12846EFB" w14:textId="77777777" w:rsidR="009B0FCC" w:rsidRDefault="009B0FCC" w:rsidP="00721F16">
            <w:pPr>
              <w:keepNext/>
              <w:widowControl w:val="0"/>
              <w:spacing w:after="0" w:line="240" w:lineRule="auto"/>
              <w:rPr>
                <w:b/>
              </w:rPr>
            </w:pPr>
            <w:r>
              <w:rPr>
                <w:b/>
              </w:rPr>
              <w:t>&gt;100% HAMFI</w:t>
            </w:r>
          </w:p>
        </w:tc>
      </w:tr>
      <w:tr w:rsidR="009B0FCC" w14:paraId="1BB5C8B8" w14:textId="77777777" w:rsidTr="00721F16">
        <w:trPr>
          <w:cantSplit/>
        </w:trPr>
        <w:tc>
          <w:tcPr>
            <w:tcW w:w="0" w:type="auto"/>
          </w:tcPr>
          <w:p w14:paraId="55FEED3F" w14:textId="77777777" w:rsidR="009B0FCC" w:rsidRDefault="009B0FCC" w:rsidP="00721F16">
            <w:pPr>
              <w:spacing w:beforeAutospacing="1" w:afterAutospacing="1"/>
            </w:pPr>
            <w:r>
              <w:rPr>
                <w:color w:val="000000"/>
              </w:rPr>
              <w:t>Total Households</w:t>
            </w:r>
          </w:p>
        </w:tc>
        <w:tc>
          <w:tcPr>
            <w:tcW w:w="0" w:type="auto"/>
            <w:vAlign w:val="bottom"/>
          </w:tcPr>
          <w:p w14:paraId="2FE069B9" w14:textId="77777777" w:rsidR="009B0FCC" w:rsidRDefault="009B0FCC" w:rsidP="00721F16">
            <w:pPr>
              <w:spacing w:beforeAutospacing="1" w:afterAutospacing="1"/>
              <w:jc w:val="right"/>
            </w:pPr>
            <w:r>
              <w:rPr>
                <w:color w:val="000000"/>
              </w:rPr>
              <w:t>67,790</w:t>
            </w:r>
          </w:p>
        </w:tc>
        <w:tc>
          <w:tcPr>
            <w:tcW w:w="0" w:type="auto"/>
            <w:vAlign w:val="bottom"/>
          </w:tcPr>
          <w:p w14:paraId="4F449DE5" w14:textId="77777777" w:rsidR="009B0FCC" w:rsidRDefault="009B0FCC" w:rsidP="00721F16">
            <w:pPr>
              <w:spacing w:beforeAutospacing="1" w:afterAutospacing="1"/>
              <w:jc w:val="right"/>
            </w:pPr>
            <w:r>
              <w:rPr>
                <w:color w:val="000000"/>
              </w:rPr>
              <w:t>70,225</w:t>
            </w:r>
          </w:p>
        </w:tc>
        <w:tc>
          <w:tcPr>
            <w:tcW w:w="0" w:type="auto"/>
            <w:vAlign w:val="bottom"/>
          </w:tcPr>
          <w:p w14:paraId="166A432B" w14:textId="77777777" w:rsidR="009B0FCC" w:rsidRDefault="009B0FCC" w:rsidP="00721F16">
            <w:pPr>
              <w:spacing w:beforeAutospacing="1" w:afterAutospacing="1"/>
              <w:jc w:val="right"/>
            </w:pPr>
            <w:r>
              <w:rPr>
                <w:color w:val="000000"/>
              </w:rPr>
              <w:t>113,540</w:t>
            </w:r>
          </w:p>
        </w:tc>
        <w:tc>
          <w:tcPr>
            <w:tcW w:w="0" w:type="auto"/>
            <w:vAlign w:val="bottom"/>
          </w:tcPr>
          <w:p w14:paraId="059F8E75" w14:textId="77777777" w:rsidR="009B0FCC" w:rsidRDefault="009B0FCC" w:rsidP="00721F16">
            <w:pPr>
              <w:spacing w:beforeAutospacing="1" w:afterAutospacing="1"/>
              <w:jc w:val="right"/>
            </w:pPr>
            <w:r>
              <w:rPr>
                <w:color w:val="000000"/>
              </w:rPr>
              <w:t>67,520</w:t>
            </w:r>
          </w:p>
        </w:tc>
        <w:tc>
          <w:tcPr>
            <w:tcW w:w="0" w:type="auto"/>
            <w:vAlign w:val="bottom"/>
          </w:tcPr>
          <w:p w14:paraId="5528DD11" w14:textId="77777777" w:rsidR="009B0FCC" w:rsidRDefault="009B0FCC" w:rsidP="00721F16">
            <w:pPr>
              <w:spacing w:beforeAutospacing="1" w:afterAutospacing="1"/>
              <w:jc w:val="right"/>
            </w:pPr>
            <w:r>
              <w:rPr>
                <w:color w:val="000000"/>
              </w:rPr>
              <w:t>290,045</w:t>
            </w:r>
          </w:p>
        </w:tc>
      </w:tr>
      <w:tr w:rsidR="009B0FCC" w14:paraId="68DD554D" w14:textId="77777777" w:rsidTr="00721F16">
        <w:trPr>
          <w:cantSplit/>
        </w:trPr>
        <w:tc>
          <w:tcPr>
            <w:tcW w:w="0" w:type="auto"/>
          </w:tcPr>
          <w:p w14:paraId="27E1F1C5" w14:textId="77777777" w:rsidR="009B0FCC" w:rsidRDefault="009B0FCC" w:rsidP="00721F16">
            <w:pPr>
              <w:spacing w:beforeAutospacing="1" w:afterAutospacing="1"/>
            </w:pPr>
            <w:r>
              <w:rPr>
                <w:color w:val="000000"/>
              </w:rPr>
              <w:t>Small Family Households</w:t>
            </w:r>
          </w:p>
        </w:tc>
        <w:tc>
          <w:tcPr>
            <w:tcW w:w="0" w:type="auto"/>
            <w:vAlign w:val="bottom"/>
          </w:tcPr>
          <w:p w14:paraId="2204CB84" w14:textId="77777777" w:rsidR="009B0FCC" w:rsidRDefault="009B0FCC" w:rsidP="00721F16">
            <w:pPr>
              <w:spacing w:beforeAutospacing="1" w:afterAutospacing="1"/>
              <w:jc w:val="right"/>
            </w:pPr>
            <w:r>
              <w:rPr>
                <w:color w:val="000000"/>
              </w:rPr>
              <w:t>17,500</w:t>
            </w:r>
          </w:p>
        </w:tc>
        <w:tc>
          <w:tcPr>
            <w:tcW w:w="0" w:type="auto"/>
            <w:vAlign w:val="bottom"/>
          </w:tcPr>
          <w:p w14:paraId="2D003C3B" w14:textId="77777777" w:rsidR="009B0FCC" w:rsidRDefault="009B0FCC" w:rsidP="00721F16">
            <w:pPr>
              <w:spacing w:beforeAutospacing="1" w:afterAutospacing="1"/>
              <w:jc w:val="right"/>
            </w:pPr>
            <w:r>
              <w:rPr>
                <w:color w:val="000000"/>
              </w:rPr>
              <w:t>21,700</w:t>
            </w:r>
          </w:p>
        </w:tc>
        <w:tc>
          <w:tcPr>
            <w:tcW w:w="0" w:type="auto"/>
            <w:vAlign w:val="bottom"/>
          </w:tcPr>
          <w:p w14:paraId="7D135C87" w14:textId="77777777" w:rsidR="009B0FCC" w:rsidRDefault="009B0FCC" w:rsidP="00721F16">
            <w:pPr>
              <w:spacing w:beforeAutospacing="1" w:afterAutospacing="1"/>
              <w:jc w:val="right"/>
            </w:pPr>
            <w:r>
              <w:rPr>
                <w:color w:val="000000"/>
              </w:rPr>
              <w:t>38,455</w:t>
            </w:r>
          </w:p>
        </w:tc>
        <w:tc>
          <w:tcPr>
            <w:tcW w:w="0" w:type="auto"/>
            <w:vAlign w:val="bottom"/>
          </w:tcPr>
          <w:p w14:paraId="6AD1909D" w14:textId="77777777" w:rsidR="009B0FCC" w:rsidRDefault="009B0FCC" w:rsidP="00721F16">
            <w:pPr>
              <w:spacing w:beforeAutospacing="1" w:afterAutospacing="1"/>
              <w:jc w:val="right"/>
            </w:pPr>
            <w:r>
              <w:rPr>
                <w:color w:val="000000"/>
              </w:rPr>
              <w:t>27,410</w:t>
            </w:r>
          </w:p>
        </w:tc>
        <w:tc>
          <w:tcPr>
            <w:tcW w:w="0" w:type="auto"/>
            <w:vAlign w:val="bottom"/>
          </w:tcPr>
          <w:p w14:paraId="04A5D4B2" w14:textId="77777777" w:rsidR="009B0FCC" w:rsidRDefault="009B0FCC" w:rsidP="00721F16">
            <w:pPr>
              <w:spacing w:beforeAutospacing="1" w:afterAutospacing="1"/>
              <w:jc w:val="right"/>
            </w:pPr>
            <w:r>
              <w:rPr>
                <w:color w:val="000000"/>
              </w:rPr>
              <w:t>144,090</w:t>
            </w:r>
          </w:p>
        </w:tc>
      </w:tr>
      <w:tr w:rsidR="009B0FCC" w14:paraId="0DE0C196" w14:textId="77777777" w:rsidTr="00721F16">
        <w:trPr>
          <w:cantSplit/>
        </w:trPr>
        <w:tc>
          <w:tcPr>
            <w:tcW w:w="0" w:type="auto"/>
          </w:tcPr>
          <w:p w14:paraId="0E1E645C" w14:textId="77777777" w:rsidR="009B0FCC" w:rsidRDefault="009B0FCC" w:rsidP="00721F16">
            <w:pPr>
              <w:spacing w:beforeAutospacing="1" w:afterAutospacing="1"/>
            </w:pPr>
            <w:r>
              <w:rPr>
                <w:color w:val="000000"/>
              </w:rPr>
              <w:t>Large Family Households</w:t>
            </w:r>
          </w:p>
        </w:tc>
        <w:tc>
          <w:tcPr>
            <w:tcW w:w="0" w:type="auto"/>
            <w:vAlign w:val="bottom"/>
          </w:tcPr>
          <w:p w14:paraId="3EFCDACA" w14:textId="77777777" w:rsidR="009B0FCC" w:rsidRDefault="009B0FCC" w:rsidP="00721F16">
            <w:pPr>
              <w:spacing w:beforeAutospacing="1" w:afterAutospacing="1"/>
              <w:jc w:val="right"/>
            </w:pPr>
            <w:r>
              <w:rPr>
                <w:color w:val="000000"/>
              </w:rPr>
              <w:t>3,980</w:t>
            </w:r>
          </w:p>
        </w:tc>
        <w:tc>
          <w:tcPr>
            <w:tcW w:w="0" w:type="auto"/>
            <w:vAlign w:val="bottom"/>
          </w:tcPr>
          <w:p w14:paraId="05624829" w14:textId="77777777" w:rsidR="009B0FCC" w:rsidRDefault="009B0FCC" w:rsidP="00721F16">
            <w:pPr>
              <w:spacing w:beforeAutospacing="1" w:afterAutospacing="1"/>
              <w:jc w:val="right"/>
            </w:pPr>
            <w:r>
              <w:rPr>
                <w:color w:val="000000"/>
              </w:rPr>
              <w:t>6,660</w:t>
            </w:r>
          </w:p>
        </w:tc>
        <w:tc>
          <w:tcPr>
            <w:tcW w:w="0" w:type="auto"/>
            <w:vAlign w:val="bottom"/>
          </w:tcPr>
          <w:p w14:paraId="2676F907" w14:textId="77777777" w:rsidR="009B0FCC" w:rsidRDefault="009B0FCC" w:rsidP="00721F16">
            <w:pPr>
              <w:spacing w:beforeAutospacing="1" w:afterAutospacing="1"/>
              <w:jc w:val="right"/>
            </w:pPr>
            <w:r>
              <w:rPr>
                <w:color w:val="000000"/>
              </w:rPr>
              <w:t>13,885</w:t>
            </w:r>
          </w:p>
        </w:tc>
        <w:tc>
          <w:tcPr>
            <w:tcW w:w="0" w:type="auto"/>
            <w:vAlign w:val="bottom"/>
          </w:tcPr>
          <w:p w14:paraId="3D3C5ADC" w14:textId="77777777" w:rsidR="009B0FCC" w:rsidRDefault="009B0FCC" w:rsidP="00721F16">
            <w:pPr>
              <w:spacing w:beforeAutospacing="1" w:afterAutospacing="1"/>
              <w:jc w:val="right"/>
            </w:pPr>
            <w:r>
              <w:rPr>
                <w:color w:val="000000"/>
              </w:rPr>
              <w:t>8,230</w:t>
            </w:r>
          </w:p>
        </w:tc>
        <w:tc>
          <w:tcPr>
            <w:tcW w:w="0" w:type="auto"/>
            <w:vAlign w:val="bottom"/>
          </w:tcPr>
          <w:p w14:paraId="4F76712E" w14:textId="77777777" w:rsidR="009B0FCC" w:rsidRDefault="009B0FCC" w:rsidP="00721F16">
            <w:pPr>
              <w:spacing w:beforeAutospacing="1" w:afterAutospacing="1"/>
              <w:jc w:val="right"/>
            </w:pPr>
            <w:r>
              <w:rPr>
                <w:color w:val="000000"/>
              </w:rPr>
              <w:t>32,265</w:t>
            </w:r>
          </w:p>
        </w:tc>
      </w:tr>
      <w:tr w:rsidR="009B0FCC" w14:paraId="334CC8B7" w14:textId="77777777" w:rsidTr="00721F16">
        <w:trPr>
          <w:cantSplit/>
        </w:trPr>
        <w:tc>
          <w:tcPr>
            <w:tcW w:w="0" w:type="auto"/>
          </w:tcPr>
          <w:p w14:paraId="026F6319" w14:textId="77777777" w:rsidR="009B0FCC" w:rsidRDefault="009B0FCC" w:rsidP="00721F16">
            <w:pPr>
              <w:spacing w:beforeAutospacing="1" w:afterAutospacing="1"/>
            </w:pPr>
            <w:r>
              <w:rPr>
                <w:color w:val="000000"/>
              </w:rPr>
              <w:t>Household contains at least one person 62-74 years of age</w:t>
            </w:r>
          </w:p>
        </w:tc>
        <w:tc>
          <w:tcPr>
            <w:tcW w:w="0" w:type="auto"/>
            <w:vAlign w:val="bottom"/>
          </w:tcPr>
          <w:p w14:paraId="06397420" w14:textId="77777777" w:rsidR="009B0FCC" w:rsidRDefault="009B0FCC" w:rsidP="00721F16">
            <w:pPr>
              <w:spacing w:beforeAutospacing="1" w:afterAutospacing="1"/>
              <w:jc w:val="right"/>
            </w:pPr>
            <w:r>
              <w:rPr>
                <w:color w:val="000000"/>
              </w:rPr>
              <w:t>12,955</w:t>
            </w:r>
          </w:p>
        </w:tc>
        <w:tc>
          <w:tcPr>
            <w:tcW w:w="0" w:type="auto"/>
            <w:vAlign w:val="bottom"/>
          </w:tcPr>
          <w:p w14:paraId="6528B263" w14:textId="77777777" w:rsidR="009B0FCC" w:rsidRDefault="009B0FCC" w:rsidP="00721F16">
            <w:pPr>
              <w:spacing w:beforeAutospacing="1" w:afterAutospacing="1"/>
              <w:jc w:val="right"/>
            </w:pPr>
            <w:r>
              <w:rPr>
                <w:color w:val="000000"/>
              </w:rPr>
              <w:t>15,310</w:t>
            </w:r>
          </w:p>
        </w:tc>
        <w:tc>
          <w:tcPr>
            <w:tcW w:w="0" w:type="auto"/>
            <w:vAlign w:val="bottom"/>
          </w:tcPr>
          <w:p w14:paraId="65506ABA" w14:textId="77777777" w:rsidR="009B0FCC" w:rsidRDefault="009B0FCC" w:rsidP="00721F16">
            <w:pPr>
              <w:spacing w:beforeAutospacing="1" w:afterAutospacing="1"/>
              <w:jc w:val="right"/>
            </w:pPr>
            <w:r>
              <w:rPr>
                <w:color w:val="000000"/>
              </w:rPr>
              <w:t>24,740</w:t>
            </w:r>
          </w:p>
        </w:tc>
        <w:tc>
          <w:tcPr>
            <w:tcW w:w="0" w:type="auto"/>
            <w:vAlign w:val="bottom"/>
          </w:tcPr>
          <w:p w14:paraId="591B4C44" w14:textId="77777777" w:rsidR="009B0FCC" w:rsidRDefault="009B0FCC" w:rsidP="00721F16">
            <w:pPr>
              <w:spacing w:beforeAutospacing="1" w:afterAutospacing="1"/>
              <w:jc w:val="right"/>
            </w:pPr>
            <w:r>
              <w:rPr>
                <w:color w:val="000000"/>
              </w:rPr>
              <w:t>14,660</w:t>
            </w:r>
          </w:p>
        </w:tc>
        <w:tc>
          <w:tcPr>
            <w:tcW w:w="0" w:type="auto"/>
            <w:vAlign w:val="bottom"/>
          </w:tcPr>
          <w:p w14:paraId="0749BFB9" w14:textId="77777777" w:rsidR="009B0FCC" w:rsidRDefault="009B0FCC" w:rsidP="00721F16">
            <w:pPr>
              <w:spacing w:beforeAutospacing="1" w:afterAutospacing="1"/>
              <w:jc w:val="right"/>
            </w:pPr>
            <w:r>
              <w:rPr>
                <w:color w:val="000000"/>
              </w:rPr>
              <w:t>68,915</w:t>
            </w:r>
          </w:p>
        </w:tc>
      </w:tr>
      <w:tr w:rsidR="009B0FCC" w14:paraId="5D2265E9" w14:textId="77777777" w:rsidTr="00721F16">
        <w:trPr>
          <w:cantSplit/>
        </w:trPr>
        <w:tc>
          <w:tcPr>
            <w:tcW w:w="0" w:type="auto"/>
          </w:tcPr>
          <w:p w14:paraId="23BCEA47" w14:textId="77777777" w:rsidR="009B0FCC" w:rsidRDefault="009B0FCC" w:rsidP="00721F16">
            <w:pPr>
              <w:spacing w:beforeAutospacing="1" w:afterAutospacing="1"/>
            </w:pPr>
            <w:r>
              <w:rPr>
                <w:color w:val="000000"/>
              </w:rPr>
              <w:t xml:space="preserve">Household contains at least </w:t>
            </w:r>
            <w:proofErr w:type="gramStart"/>
            <w:r>
              <w:rPr>
                <w:color w:val="000000"/>
              </w:rPr>
              <w:t>one person</w:t>
            </w:r>
            <w:proofErr w:type="gramEnd"/>
            <w:r>
              <w:rPr>
                <w:color w:val="000000"/>
              </w:rPr>
              <w:t xml:space="preserve"> age 75 or older</w:t>
            </w:r>
          </w:p>
        </w:tc>
        <w:tc>
          <w:tcPr>
            <w:tcW w:w="0" w:type="auto"/>
            <w:vAlign w:val="bottom"/>
          </w:tcPr>
          <w:p w14:paraId="21745872" w14:textId="77777777" w:rsidR="009B0FCC" w:rsidRDefault="009B0FCC" w:rsidP="00721F16">
            <w:pPr>
              <w:spacing w:beforeAutospacing="1" w:afterAutospacing="1"/>
              <w:jc w:val="right"/>
            </w:pPr>
            <w:r>
              <w:rPr>
                <w:color w:val="000000"/>
              </w:rPr>
              <w:t>8,845</w:t>
            </w:r>
          </w:p>
        </w:tc>
        <w:tc>
          <w:tcPr>
            <w:tcW w:w="0" w:type="auto"/>
            <w:vAlign w:val="bottom"/>
          </w:tcPr>
          <w:p w14:paraId="0771DF2A" w14:textId="77777777" w:rsidR="009B0FCC" w:rsidRDefault="009B0FCC" w:rsidP="00721F16">
            <w:pPr>
              <w:spacing w:beforeAutospacing="1" w:afterAutospacing="1"/>
              <w:jc w:val="right"/>
            </w:pPr>
            <w:r>
              <w:rPr>
                <w:color w:val="000000"/>
              </w:rPr>
              <w:t>12,070</w:t>
            </w:r>
          </w:p>
        </w:tc>
        <w:tc>
          <w:tcPr>
            <w:tcW w:w="0" w:type="auto"/>
            <w:vAlign w:val="bottom"/>
          </w:tcPr>
          <w:p w14:paraId="368B0841" w14:textId="77777777" w:rsidR="009B0FCC" w:rsidRDefault="009B0FCC" w:rsidP="00721F16">
            <w:pPr>
              <w:spacing w:beforeAutospacing="1" w:afterAutospacing="1"/>
              <w:jc w:val="right"/>
            </w:pPr>
            <w:r>
              <w:rPr>
                <w:color w:val="000000"/>
              </w:rPr>
              <w:t>16,645</w:t>
            </w:r>
          </w:p>
        </w:tc>
        <w:tc>
          <w:tcPr>
            <w:tcW w:w="0" w:type="auto"/>
            <w:vAlign w:val="bottom"/>
          </w:tcPr>
          <w:p w14:paraId="0EC86FB8" w14:textId="77777777" w:rsidR="009B0FCC" w:rsidRDefault="009B0FCC" w:rsidP="00721F16">
            <w:pPr>
              <w:spacing w:beforeAutospacing="1" w:afterAutospacing="1"/>
              <w:jc w:val="right"/>
            </w:pPr>
            <w:r>
              <w:rPr>
                <w:color w:val="000000"/>
              </w:rPr>
              <w:t>7,540</w:t>
            </w:r>
          </w:p>
        </w:tc>
        <w:tc>
          <w:tcPr>
            <w:tcW w:w="0" w:type="auto"/>
            <w:vAlign w:val="bottom"/>
          </w:tcPr>
          <w:p w14:paraId="3A72B1F9" w14:textId="77777777" w:rsidR="009B0FCC" w:rsidRDefault="009B0FCC" w:rsidP="00721F16">
            <w:pPr>
              <w:spacing w:beforeAutospacing="1" w:afterAutospacing="1"/>
              <w:jc w:val="right"/>
            </w:pPr>
            <w:r>
              <w:rPr>
                <w:color w:val="000000"/>
              </w:rPr>
              <w:t>20,845</w:t>
            </w:r>
          </w:p>
        </w:tc>
      </w:tr>
      <w:tr w:rsidR="009B0FCC" w14:paraId="5AA61E5F" w14:textId="77777777" w:rsidTr="00721F16">
        <w:trPr>
          <w:cantSplit/>
        </w:trPr>
        <w:tc>
          <w:tcPr>
            <w:tcW w:w="0" w:type="auto"/>
          </w:tcPr>
          <w:p w14:paraId="0BAC8E4A" w14:textId="77777777" w:rsidR="009B0FCC" w:rsidRDefault="009B0FCC" w:rsidP="00721F16">
            <w:pPr>
              <w:spacing w:beforeAutospacing="1" w:afterAutospacing="1"/>
            </w:pPr>
            <w:r>
              <w:rPr>
                <w:color w:val="000000"/>
              </w:rPr>
              <w:t>Households with one or more children 6 years old or younger</w:t>
            </w:r>
          </w:p>
        </w:tc>
        <w:tc>
          <w:tcPr>
            <w:tcW w:w="0" w:type="auto"/>
            <w:vAlign w:val="bottom"/>
          </w:tcPr>
          <w:p w14:paraId="75DB5CE9" w14:textId="77777777" w:rsidR="009B0FCC" w:rsidRDefault="009B0FCC" w:rsidP="00721F16">
            <w:pPr>
              <w:spacing w:beforeAutospacing="1" w:afterAutospacing="1"/>
              <w:jc w:val="right"/>
            </w:pPr>
            <w:r>
              <w:rPr>
                <w:color w:val="000000"/>
              </w:rPr>
              <w:t>9,925</w:t>
            </w:r>
          </w:p>
        </w:tc>
        <w:tc>
          <w:tcPr>
            <w:tcW w:w="0" w:type="auto"/>
            <w:vAlign w:val="bottom"/>
          </w:tcPr>
          <w:p w14:paraId="7B88410A" w14:textId="77777777" w:rsidR="009B0FCC" w:rsidRDefault="009B0FCC" w:rsidP="00721F16">
            <w:pPr>
              <w:spacing w:beforeAutospacing="1" w:afterAutospacing="1"/>
              <w:jc w:val="right"/>
            </w:pPr>
            <w:r>
              <w:rPr>
                <w:color w:val="000000"/>
              </w:rPr>
              <w:t>13,170</w:t>
            </w:r>
          </w:p>
        </w:tc>
        <w:tc>
          <w:tcPr>
            <w:tcW w:w="0" w:type="auto"/>
            <w:vAlign w:val="bottom"/>
          </w:tcPr>
          <w:p w14:paraId="35341A24" w14:textId="77777777" w:rsidR="009B0FCC" w:rsidRDefault="009B0FCC" w:rsidP="00721F16">
            <w:pPr>
              <w:spacing w:beforeAutospacing="1" w:afterAutospacing="1"/>
              <w:jc w:val="right"/>
            </w:pPr>
            <w:r>
              <w:rPr>
                <w:color w:val="000000"/>
              </w:rPr>
              <w:t>22,810</w:t>
            </w:r>
          </w:p>
        </w:tc>
        <w:tc>
          <w:tcPr>
            <w:tcW w:w="0" w:type="auto"/>
            <w:vAlign w:val="bottom"/>
          </w:tcPr>
          <w:p w14:paraId="2ADB9425" w14:textId="77777777" w:rsidR="009B0FCC" w:rsidRDefault="009B0FCC" w:rsidP="00721F16">
            <w:pPr>
              <w:spacing w:beforeAutospacing="1" w:afterAutospacing="1"/>
              <w:jc w:val="right"/>
            </w:pPr>
            <w:r>
              <w:rPr>
                <w:color w:val="000000"/>
              </w:rPr>
              <w:t>13,535</w:t>
            </w:r>
          </w:p>
        </w:tc>
        <w:tc>
          <w:tcPr>
            <w:tcW w:w="0" w:type="auto"/>
            <w:vAlign w:val="bottom"/>
          </w:tcPr>
          <w:p w14:paraId="44CF2AB4" w14:textId="77777777" w:rsidR="009B0FCC" w:rsidRDefault="009B0FCC" w:rsidP="00721F16">
            <w:pPr>
              <w:spacing w:beforeAutospacing="1" w:afterAutospacing="1"/>
              <w:jc w:val="right"/>
            </w:pPr>
            <w:r>
              <w:rPr>
                <w:color w:val="000000"/>
              </w:rPr>
              <w:t>34,595</w:t>
            </w:r>
          </w:p>
        </w:tc>
      </w:tr>
    </w:tbl>
    <w:p w14:paraId="31E7FA54" w14:textId="77777777" w:rsidR="009B0FCC" w:rsidRDefault="009B0FCC" w:rsidP="009B0FCC">
      <w:pPr>
        <w:pStyle w:val="Caption"/>
        <w:keepNext/>
        <w:widowControl w:val="0"/>
        <w:rPr>
          <w:rFonts w:ascii="Calibri" w:hAnsi="Calibri"/>
          <w:vanish/>
          <w:sz w:val="10"/>
          <w:szCs w:val="10"/>
        </w:rPr>
      </w:pPr>
      <w:bookmarkStart w:id="12" w:name="_Toc307833504"/>
    </w:p>
    <w:p w14:paraId="2B7B3DDC"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Total Households Table</w:t>
      </w:r>
      <w:bookmarkEnd w:id="12"/>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2A8AD337" w14:textId="77777777" w:rsidTr="00721F16">
        <w:trPr>
          <w:cantSplit/>
        </w:trPr>
        <w:tc>
          <w:tcPr>
            <w:tcW w:w="1080" w:type="dxa"/>
          </w:tcPr>
          <w:p w14:paraId="3200F67E" w14:textId="77777777" w:rsidR="009B0FCC" w:rsidRDefault="009B0FCC" w:rsidP="00721F16">
            <w:pPr>
              <w:spacing w:after="0" w:line="240" w:lineRule="auto"/>
              <w:rPr>
                <w:sz w:val="16"/>
                <w:szCs w:val="16"/>
              </w:rPr>
            </w:pPr>
            <w:r>
              <w:rPr>
                <w:b/>
                <w:bCs/>
                <w:sz w:val="16"/>
                <w:szCs w:val="16"/>
              </w:rPr>
              <w:t>Data Source:</w:t>
            </w:r>
          </w:p>
        </w:tc>
        <w:tc>
          <w:tcPr>
            <w:tcW w:w="8510" w:type="dxa"/>
          </w:tcPr>
          <w:p w14:paraId="69FD03E2" w14:textId="77777777" w:rsidR="009B0FCC" w:rsidRDefault="009B0FCC" w:rsidP="00721F16">
            <w:pPr>
              <w:spacing w:beforeAutospacing="1" w:afterAutospacing="1"/>
              <w:rPr>
                <w:sz w:val="16"/>
                <w:szCs w:val="16"/>
              </w:rPr>
            </w:pPr>
            <w:r>
              <w:rPr>
                <w:sz w:val="16"/>
                <w:szCs w:val="16"/>
              </w:rPr>
              <w:t>2016-2020 CHAS</w:t>
            </w:r>
          </w:p>
        </w:tc>
      </w:tr>
    </w:tbl>
    <w:p w14:paraId="2AD59DDA" w14:textId="77777777" w:rsidR="009B0FCC" w:rsidRDefault="009B0FCC" w:rsidP="009B0FCC">
      <w:pPr>
        <w:spacing w:after="0" w:line="240" w:lineRule="auto"/>
        <w:rPr>
          <w:vanish/>
        </w:rPr>
      </w:pPr>
    </w:p>
    <w:p w14:paraId="601588DD" w14:textId="77777777" w:rsidR="009B0FCC" w:rsidRDefault="009B0FCC" w:rsidP="009B0FCC">
      <w:pPr>
        <w:spacing w:after="0" w:line="240" w:lineRule="auto"/>
        <w:rPr>
          <w:b/>
          <w:bCs/>
          <w:vanish/>
          <w:sz w:val="16"/>
          <w:szCs w:val="16"/>
        </w:rPr>
      </w:pPr>
    </w:p>
    <w:p w14:paraId="353069DE" w14:textId="77777777" w:rsidR="009B0FCC" w:rsidRDefault="009B0FCC" w:rsidP="009B0FCC"/>
    <w:p w14:paraId="1D5A2C7D" w14:textId="77777777" w:rsidR="009B0FCC" w:rsidRDefault="009B0FCC" w:rsidP="009B0FCC">
      <w:pPr>
        <w:rPr>
          <w:b/>
          <w:i/>
          <w:sz w:val="26"/>
          <w:szCs w:val="26"/>
        </w:rPr>
        <w:sectPr w:rsidR="009B0FCC" w:rsidSect="009B0FCC">
          <w:pgSz w:w="12240" w:h="15840"/>
          <w:pgMar w:top="1440" w:right="1440" w:bottom="1440" w:left="1440" w:header="720" w:footer="720" w:gutter="0"/>
          <w:cols w:space="720"/>
          <w:docGrid w:linePitch="360"/>
        </w:sectPr>
      </w:pPr>
    </w:p>
    <w:p w14:paraId="27696BC9" w14:textId="77777777" w:rsidR="009B0FCC" w:rsidRDefault="009B0FCC" w:rsidP="009B0FCC">
      <w:pPr>
        <w:keepNext/>
        <w:rPr>
          <w:b/>
          <w:sz w:val="24"/>
          <w:szCs w:val="24"/>
        </w:rPr>
      </w:pPr>
      <w:r>
        <w:rPr>
          <w:b/>
          <w:sz w:val="24"/>
          <w:szCs w:val="24"/>
        </w:rPr>
        <w:lastRenderedPageBreak/>
        <w:t>Housing Needs Summary Tables</w:t>
      </w:r>
    </w:p>
    <w:p w14:paraId="1258D696" w14:textId="77777777" w:rsidR="009B0FCC" w:rsidRDefault="009B0FCC" w:rsidP="009B0FCC">
      <w:pPr>
        <w:keepNext/>
        <w:widowControl w:val="0"/>
        <w:rPr>
          <w:bCs/>
          <w:sz w:val="24"/>
          <w:szCs w:val="24"/>
        </w:rPr>
      </w:pPr>
      <w:r>
        <w:rPr>
          <w:sz w:val="24"/>
          <w:szCs w:val="24"/>
        </w:rPr>
        <w:t xml:space="preserve">1. </w:t>
      </w:r>
      <w:r>
        <w:rPr>
          <w:bCs/>
          <w:sz w:val="24"/>
          <w:szCs w:val="24"/>
        </w:rPr>
        <w:t>Housing Problems (Households with one of the listed needs)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795"/>
        <w:gridCol w:w="772"/>
        <w:gridCol w:w="771"/>
        <w:gridCol w:w="771"/>
        <w:gridCol w:w="771"/>
        <w:gridCol w:w="771"/>
        <w:gridCol w:w="771"/>
        <w:gridCol w:w="771"/>
        <w:gridCol w:w="771"/>
        <w:gridCol w:w="771"/>
      </w:tblGrid>
      <w:tr w:rsidR="009B0FCC" w14:paraId="7287C008" w14:textId="77777777" w:rsidTr="00721F16">
        <w:trPr>
          <w:cantSplit/>
          <w:tblHeader/>
        </w:trPr>
        <w:tc>
          <w:tcPr>
            <w:tcW w:w="2398" w:type="dxa"/>
            <w:vMerge w:val="restart"/>
          </w:tcPr>
          <w:p w14:paraId="752D06CA" w14:textId="77777777" w:rsidR="009B0FCC" w:rsidRDefault="009B0FCC" w:rsidP="00721F16">
            <w:pPr>
              <w:pStyle w:val="Caption"/>
              <w:keepNext/>
              <w:widowControl w:val="0"/>
              <w:jc w:val="center"/>
              <w:rPr>
                <w:rFonts w:ascii="Calibri" w:hAnsi="Calibri"/>
              </w:rPr>
            </w:pPr>
            <w:bookmarkStart w:id="13" w:name="_Toc307833507"/>
          </w:p>
        </w:tc>
        <w:tc>
          <w:tcPr>
            <w:tcW w:w="5408" w:type="dxa"/>
            <w:gridSpan w:val="5"/>
          </w:tcPr>
          <w:p w14:paraId="5B6A6C77" w14:textId="77777777" w:rsidR="009B0FCC" w:rsidRDefault="009B0FCC" w:rsidP="00721F16">
            <w:pPr>
              <w:keepNext/>
              <w:widowControl w:val="0"/>
              <w:spacing w:after="0" w:line="240" w:lineRule="auto"/>
              <w:jc w:val="center"/>
              <w:rPr>
                <w:sz w:val="20"/>
                <w:szCs w:val="20"/>
              </w:rPr>
            </w:pPr>
            <w:r>
              <w:rPr>
                <w:b/>
                <w:bCs/>
                <w:sz w:val="20"/>
                <w:szCs w:val="20"/>
              </w:rPr>
              <w:t>Renter</w:t>
            </w:r>
          </w:p>
        </w:tc>
        <w:tc>
          <w:tcPr>
            <w:tcW w:w="5370" w:type="dxa"/>
            <w:gridSpan w:val="5"/>
          </w:tcPr>
          <w:p w14:paraId="1CCFFF74" w14:textId="77777777" w:rsidR="009B0FCC" w:rsidRDefault="009B0FCC" w:rsidP="00721F16">
            <w:pPr>
              <w:keepNext/>
              <w:widowControl w:val="0"/>
              <w:spacing w:after="0" w:line="240" w:lineRule="auto"/>
              <w:jc w:val="center"/>
              <w:rPr>
                <w:sz w:val="20"/>
                <w:szCs w:val="20"/>
              </w:rPr>
            </w:pPr>
            <w:r>
              <w:rPr>
                <w:b/>
                <w:bCs/>
                <w:sz w:val="20"/>
                <w:szCs w:val="20"/>
              </w:rPr>
              <w:t>Owner</w:t>
            </w:r>
          </w:p>
        </w:tc>
      </w:tr>
      <w:tr w:rsidR="009B0FCC" w14:paraId="5C88653F" w14:textId="77777777" w:rsidTr="00721F16">
        <w:trPr>
          <w:cantSplit/>
          <w:tblHeader/>
        </w:trPr>
        <w:tc>
          <w:tcPr>
            <w:tcW w:w="2398" w:type="dxa"/>
            <w:vMerge/>
          </w:tcPr>
          <w:p w14:paraId="5CDEEA44" w14:textId="77777777" w:rsidR="009B0FCC" w:rsidRDefault="009B0FCC" w:rsidP="00721F16">
            <w:pPr>
              <w:pStyle w:val="Caption"/>
              <w:keepNext/>
              <w:widowControl w:val="0"/>
              <w:jc w:val="center"/>
              <w:rPr>
                <w:rFonts w:ascii="Calibri" w:hAnsi="Calibri"/>
              </w:rPr>
            </w:pPr>
          </w:p>
        </w:tc>
        <w:tc>
          <w:tcPr>
            <w:tcW w:w="1111" w:type="dxa"/>
          </w:tcPr>
          <w:p w14:paraId="6ECE1A2D"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075" w:type="dxa"/>
          </w:tcPr>
          <w:p w14:paraId="73CF2AA1"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074" w:type="dxa"/>
          </w:tcPr>
          <w:p w14:paraId="6DA34D1C"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074" w:type="dxa"/>
          </w:tcPr>
          <w:p w14:paraId="2CD2174B" w14:textId="77777777" w:rsidR="009B0FCC" w:rsidRDefault="009B0FCC" w:rsidP="00721F16">
            <w:pPr>
              <w:keepNext/>
              <w:widowControl w:val="0"/>
              <w:spacing w:after="0" w:line="240" w:lineRule="auto"/>
              <w:jc w:val="center"/>
              <w:rPr>
                <w:sz w:val="20"/>
                <w:szCs w:val="20"/>
              </w:rPr>
            </w:pPr>
            <w:r>
              <w:rPr>
                <w:b/>
                <w:sz w:val="20"/>
                <w:szCs w:val="20"/>
              </w:rPr>
              <w:t>&gt;80-100% AMI</w:t>
            </w:r>
          </w:p>
        </w:tc>
        <w:tc>
          <w:tcPr>
            <w:tcW w:w="1074" w:type="dxa"/>
          </w:tcPr>
          <w:p w14:paraId="12D47649" w14:textId="77777777" w:rsidR="009B0FCC" w:rsidRDefault="009B0FCC" w:rsidP="00721F16">
            <w:pPr>
              <w:keepNext/>
              <w:widowControl w:val="0"/>
              <w:spacing w:after="0" w:line="240" w:lineRule="auto"/>
              <w:jc w:val="center"/>
              <w:rPr>
                <w:sz w:val="20"/>
                <w:szCs w:val="20"/>
              </w:rPr>
            </w:pPr>
            <w:r>
              <w:rPr>
                <w:b/>
                <w:sz w:val="20"/>
                <w:szCs w:val="20"/>
              </w:rPr>
              <w:t>Total</w:t>
            </w:r>
          </w:p>
        </w:tc>
        <w:tc>
          <w:tcPr>
            <w:tcW w:w="1074" w:type="dxa"/>
          </w:tcPr>
          <w:p w14:paraId="7BCA806B"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074" w:type="dxa"/>
          </w:tcPr>
          <w:p w14:paraId="22AD8807"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074" w:type="dxa"/>
          </w:tcPr>
          <w:p w14:paraId="76483175"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074" w:type="dxa"/>
          </w:tcPr>
          <w:p w14:paraId="4A9E4931" w14:textId="77777777" w:rsidR="009B0FCC" w:rsidRDefault="009B0FCC" w:rsidP="00721F16">
            <w:pPr>
              <w:keepNext/>
              <w:widowControl w:val="0"/>
              <w:spacing w:after="0" w:line="240" w:lineRule="auto"/>
              <w:jc w:val="center"/>
              <w:rPr>
                <w:sz w:val="20"/>
                <w:szCs w:val="20"/>
              </w:rPr>
            </w:pPr>
            <w:r>
              <w:rPr>
                <w:b/>
                <w:sz w:val="20"/>
                <w:szCs w:val="20"/>
              </w:rPr>
              <w:t>&gt;80-100% AMI</w:t>
            </w:r>
          </w:p>
        </w:tc>
        <w:tc>
          <w:tcPr>
            <w:tcW w:w="1074" w:type="dxa"/>
          </w:tcPr>
          <w:p w14:paraId="356AC806" w14:textId="77777777" w:rsidR="009B0FCC" w:rsidRDefault="009B0FCC" w:rsidP="00721F16">
            <w:pPr>
              <w:keepNext/>
              <w:widowControl w:val="0"/>
              <w:spacing w:after="0" w:line="240" w:lineRule="auto"/>
              <w:jc w:val="center"/>
              <w:rPr>
                <w:sz w:val="20"/>
                <w:szCs w:val="20"/>
              </w:rPr>
            </w:pPr>
            <w:r>
              <w:rPr>
                <w:b/>
                <w:sz w:val="20"/>
                <w:szCs w:val="20"/>
              </w:rPr>
              <w:t>Total</w:t>
            </w:r>
          </w:p>
        </w:tc>
      </w:tr>
      <w:tr w:rsidR="009B0FCC" w14:paraId="76479BD8" w14:textId="77777777" w:rsidTr="00721F16">
        <w:trPr>
          <w:cantSplit/>
        </w:trPr>
        <w:tc>
          <w:tcPr>
            <w:tcW w:w="13176" w:type="dxa"/>
            <w:gridSpan w:val="11"/>
          </w:tcPr>
          <w:p w14:paraId="77A0FE45" w14:textId="77777777" w:rsidR="009B0FCC" w:rsidRDefault="009B0FCC" w:rsidP="00721F16">
            <w:pPr>
              <w:keepNext/>
              <w:widowControl w:val="0"/>
              <w:spacing w:after="0" w:line="240" w:lineRule="auto"/>
            </w:pPr>
            <w:r>
              <w:t>NUMBER OF HOUSEHOLDS</w:t>
            </w:r>
          </w:p>
        </w:tc>
      </w:tr>
      <w:tr w:rsidR="009B0FCC" w14:paraId="36E067FF" w14:textId="77777777" w:rsidTr="00721F16">
        <w:trPr>
          <w:cantSplit/>
        </w:trPr>
        <w:tc>
          <w:tcPr>
            <w:tcW w:w="1661" w:type="dxa"/>
          </w:tcPr>
          <w:p w14:paraId="34329432" w14:textId="77777777" w:rsidR="009B0FCC" w:rsidRDefault="009B0FCC" w:rsidP="00721F16">
            <w:pPr>
              <w:spacing w:beforeAutospacing="1" w:afterAutospacing="1"/>
            </w:pPr>
            <w:r>
              <w:rPr>
                <w:color w:val="000000"/>
              </w:rPr>
              <w:t>Substandard Housing - Lacking complete plumbing or kitchen facilities</w:t>
            </w:r>
          </w:p>
        </w:tc>
        <w:tc>
          <w:tcPr>
            <w:tcW w:w="813" w:type="dxa"/>
            <w:vAlign w:val="bottom"/>
          </w:tcPr>
          <w:p w14:paraId="136C1D34" w14:textId="77777777" w:rsidR="009B0FCC" w:rsidRDefault="009B0FCC" w:rsidP="00721F16">
            <w:pPr>
              <w:spacing w:beforeAutospacing="1" w:afterAutospacing="1"/>
              <w:jc w:val="right"/>
            </w:pPr>
            <w:r>
              <w:rPr>
                <w:color w:val="000000"/>
              </w:rPr>
              <w:t>1,940</w:t>
            </w:r>
          </w:p>
        </w:tc>
        <w:tc>
          <w:tcPr>
            <w:tcW w:w="790" w:type="dxa"/>
            <w:vAlign w:val="bottom"/>
          </w:tcPr>
          <w:p w14:paraId="35A921F8" w14:textId="77777777" w:rsidR="009B0FCC" w:rsidRDefault="009B0FCC" w:rsidP="00721F16">
            <w:pPr>
              <w:spacing w:beforeAutospacing="1" w:afterAutospacing="1"/>
              <w:jc w:val="right"/>
            </w:pPr>
            <w:r>
              <w:rPr>
                <w:color w:val="000000"/>
              </w:rPr>
              <w:t>1,075</w:t>
            </w:r>
          </w:p>
        </w:tc>
        <w:tc>
          <w:tcPr>
            <w:tcW w:w="789" w:type="dxa"/>
            <w:vAlign w:val="bottom"/>
          </w:tcPr>
          <w:p w14:paraId="3488E4E9" w14:textId="77777777" w:rsidR="009B0FCC" w:rsidRDefault="009B0FCC" w:rsidP="00721F16">
            <w:pPr>
              <w:spacing w:beforeAutospacing="1" w:afterAutospacing="1"/>
              <w:jc w:val="right"/>
            </w:pPr>
            <w:r>
              <w:rPr>
                <w:color w:val="000000"/>
              </w:rPr>
              <w:t>1,120</w:t>
            </w:r>
          </w:p>
        </w:tc>
        <w:tc>
          <w:tcPr>
            <w:tcW w:w="789" w:type="dxa"/>
            <w:vAlign w:val="bottom"/>
          </w:tcPr>
          <w:p w14:paraId="02C292DE" w14:textId="77777777" w:rsidR="009B0FCC" w:rsidRDefault="009B0FCC" w:rsidP="00721F16">
            <w:pPr>
              <w:spacing w:beforeAutospacing="1" w:afterAutospacing="1"/>
              <w:jc w:val="right"/>
            </w:pPr>
            <w:r>
              <w:rPr>
                <w:color w:val="000000"/>
              </w:rPr>
              <w:t>410</w:t>
            </w:r>
          </w:p>
        </w:tc>
        <w:tc>
          <w:tcPr>
            <w:tcW w:w="789" w:type="dxa"/>
            <w:vAlign w:val="bottom"/>
          </w:tcPr>
          <w:p w14:paraId="7D89086A" w14:textId="77777777" w:rsidR="009B0FCC" w:rsidRDefault="009B0FCC" w:rsidP="00721F16">
            <w:pPr>
              <w:spacing w:beforeAutospacing="1" w:afterAutospacing="1"/>
              <w:jc w:val="right"/>
            </w:pPr>
            <w:r>
              <w:rPr>
                <w:color w:val="000000"/>
              </w:rPr>
              <w:t>4,545</w:t>
            </w:r>
          </w:p>
        </w:tc>
        <w:tc>
          <w:tcPr>
            <w:tcW w:w="789" w:type="dxa"/>
            <w:vAlign w:val="bottom"/>
          </w:tcPr>
          <w:p w14:paraId="0D14CC70" w14:textId="77777777" w:rsidR="009B0FCC" w:rsidRDefault="009B0FCC" w:rsidP="00721F16">
            <w:pPr>
              <w:spacing w:beforeAutospacing="1" w:afterAutospacing="1"/>
              <w:jc w:val="right"/>
            </w:pPr>
            <w:r>
              <w:rPr>
                <w:color w:val="000000"/>
              </w:rPr>
              <w:t>550</w:t>
            </w:r>
          </w:p>
        </w:tc>
        <w:tc>
          <w:tcPr>
            <w:tcW w:w="789" w:type="dxa"/>
            <w:vAlign w:val="bottom"/>
          </w:tcPr>
          <w:p w14:paraId="71F3ADE4" w14:textId="77777777" w:rsidR="009B0FCC" w:rsidRDefault="009B0FCC" w:rsidP="00721F16">
            <w:pPr>
              <w:spacing w:beforeAutospacing="1" w:afterAutospacing="1"/>
              <w:jc w:val="right"/>
            </w:pPr>
            <w:r>
              <w:rPr>
                <w:color w:val="000000"/>
              </w:rPr>
              <w:t>520</w:t>
            </w:r>
          </w:p>
        </w:tc>
        <w:tc>
          <w:tcPr>
            <w:tcW w:w="789" w:type="dxa"/>
            <w:vAlign w:val="bottom"/>
          </w:tcPr>
          <w:p w14:paraId="2C62EF6D" w14:textId="77777777" w:rsidR="009B0FCC" w:rsidRDefault="009B0FCC" w:rsidP="00721F16">
            <w:pPr>
              <w:spacing w:beforeAutospacing="1" w:afterAutospacing="1"/>
              <w:jc w:val="right"/>
            </w:pPr>
            <w:r>
              <w:rPr>
                <w:color w:val="000000"/>
              </w:rPr>
              <w:t>410</w:t>
            </w:r>
          </w:p>
        </w:tc>
        <w:tc>
          <w:tcPr>
            <w:tcW w:w="789" w:type="dxa"/>
            <w:vAlign w:val="bottom"/>
          </w:tcPr>
          <w:p w14:paraId="6A87FC24" w14:textId="77777777" w:rsidR="009B0FCC" w:rsidRDefault="009B0FCC" w:rsidP="00721F16">
            <w:pPr>
              <w:spacing w:beforeAutospacing="1" w:afterAutospacing="1"/>
              <w:jc w:val="right"/>
            </w:pPr>
            <w:r>
              <w:rPr>
                <w:color w:val="000000"/>
              </w:rPr>
              <w:t>240</w:t>
            </w:r>
          </w:p>
        </w:tc>
        <w:tc>
          <w:tcPr>
            <w:tcW w:w="789" w:type="dxa"/>
            <w:vAlign w:val="bottom"/>
          </w:tcPr>
          <w:p w14:paraId="7DE0DF38" w14:textId="77777777" w:rsidR="009B0FCC" w:rsidRDefault="009B0FCC" w:rsidP="00721F16">
            <w:pPr>
              <w:spacing w:beforeAutospacing="1" w:afterAutospacing="1"/>
              <w:jc w:val="right"/>
            </w:pPr>
            <w:r>
              <w:rPr>
                <w:color w:val="000000"/>
              </w:rPr>
              <w:t>1,720</w:t>
            </w:r>
          </w:p>
        </w:tc>
      </w:tr>
      <w:tr w:rsidR="009B0FCC" w14:paraId="0273E864" w14:textId="77777777" w:rsidTr="00721F16">
        <w:trPr>
          <w:cantSplit/>
        </w:trPr>
        <w:tc>
          <w:tcPr>
            <w:tcW w:w="1661" w:type="dxa"/>
          </w:tcPr>
          <w:p w14:paraId="5A0276D4" w14:textId="77777777" w:rsidR="009B0FCC" w:rsidRDefault="009B0FCC" w:rsidP="00721F16">
            <w:pPr>
              <w:spacing w:beforeAutospacing="1" w:afterAutospacing="1"/>
            </w:pPr>
            <w:r>
              <w:rPr>
                <w:color w:val="000000"/>
              </w:rPr>
              <w:t>Severely Overcrowded - With &gt;1.51 people per room (and complete kitchen and plumbing)</w:t>
            </w:r>
          </w:p>
        </w:tc>
        <w:tc>
          <w:tcPr>
            <w:tcW w:w="813" w:type="dxa"/>
            <w:vAlign w:val="bottom"/>
          </w:tcPr>
          <w:p w14:paraId="2B959103" w14:textId="77777777" w:rsidR="009B0FCC" w:rsidRDefault="009B0FCC" w:rsidP="00721F16">
            <w:pPr>
              <w:spacing w:beforeAutospacing="1" w:afterAutospacing="1"/>
              <w:jc w:val="right"/>
            </w:pPr>
            <w:r>
              <w:rPr>
                <w:color w:val="000000"/>
              </w:rPr>
              <w:t>550</w:t>
            </w:r>
          </w:p>
        </w:tc>
        <w:tc>
          <w:tcPr>
            <w:tcW w:w="790" w:type="dxa"/>
            <w:vAlign w:val="bottom"/>
          </w:tcPr>
          <w:p w14:paraId="23E8EC72" w14:textId="77777777" w:rsidR="009B0FCC" w:rsidRDefault="009B0FCC" w:rsidP="00721F16">
            <w:pPr>
              <w:spacing w:beforeAutospacing="1" w:afterAutospacing="1"/>
              <w:jc w:val="right"/>
            </w:pPr>
            <w:r>
              <w:rPr>
                <w:color w:val="000000"/>
              </w:rPr>
              <w:t>415</w:t>
            </w:r>
          </w:p>
        </w:tc>
        <w:tc>
          <w:tcPr>
            <w:tcW w:w="789" w:type="dxa"/>
            <w:vAlign w:val="bottom"/>
          </w:tcPr>
          <w:p w14:paraId="39C3886A" w14:textId="77777777" w:rsidR="009B0FCC" w:rsidRDefault="009B0FCC" w:rsidP="00721F16">
            <w:pPr>
              <w:spacing w:beforeAutospacing="1" w:afterAutospacing="1"/>
              <w:jc w:val="right"/>
            </w:pPr>
            <w:r>
              <w:rPr>
                <w:color w:val="000000"/>
              </w:rPr>
              <w:t>450</w:t>
            </w:r>
          </w:p>
        </w:tc>
        <w:tc>
          <w:tcPr>
            <w:tcW w:w="789" w:type="dxa"/>
            <w:vAlign w:val="bottom"/>
          </w:tcPr>
          <w:p w14:paraId="1D550A6D" w14:textId="77777777" w:rsidR="009B0FCC" w:rsidRDefault="009B0FCC" w:rsidP="00721F16">
            <w:pPr>
              <w:spacing w:beforeAutospacing="1" w:afterAutospacing="1"/>
              <w:jc w:val="right"/>
            </w:pPr>
            <w:r>
              <w:rPr>
                <w:color w:val="000000"/>
              </w:rPr>
              <w:t>145</w:t>
            </w:r>
          </w:p>
        </w:tc>
        <w:tc>
          <w:tcPr>
            <w:tcW w:w="789" w:type="dxa"/>
            <w:vAlign w:val="bottom"/>
          </w:tcPr>
          <w:p w14:paraId="627DA8C0" w14:textId="77777777" w:rsidR="009B0FCC" w:rsidRDefault="009B0FCC" w:rsidP="00721F16">
            <w:pPr>
              <w:spacing w:beforeAutospacing="1" w:afterAutospacing="1"/>
              <w:jc w:val="right"/>
            </w:pPr>
            <w:r>
              <w:rPr>
                <w:color w:val="000000"/>
              </w:rPr>
              <w:t>1,560</w:t>
            </w:r>
          </w:p>
        </w:tc>
        <w:tc>
          <w:tcPr>
            <w:tcW w:w="789" w:type="dxa"/>
            <w:vAlign w:val="bottom"/>
          </w:tcPr>
          <w:p w14:paraId="09BFAD96" w14:textId="77777777" w:rsidR="009B0FCC" w:rsidRDefault="009B0FCC" w:rsidP="00721F16">
            <w:pPr>
              <w:spacing w:beforeAutospacing="1" w:afterAutospacing="1"/>
              <w:jc w:val="right"/>
            </w:pPr>
            <w:r>
              <w:rPr>
                <w:color w:val="000000"/>
              </w:rPr>
              <w:t>120</w:t>
            </w:r>
          </w:p>
        </w:tc>
        <w:tc>
          <w:tcPr>
            <w:tcW w:w="789" w:type="dxa"/>
            <w:vAlign w:val="bottom"/>
          </w:tcPr>
          <w:p w14:paraId="1973132F" w14:textId="77777777" w:rsidR="009B0FCC" w:rsidRDefault="009B0FCC" w:rsidP="00721F16">
            <w:pPr>
              <w:spacing w:beforeAutospacing="1" w:afterAutospacing="1"/>
              <w:jc w:val="right"/>
            </w:pPr>
            <w:r>
              <w:rPr>
                <w:color w:val="000000"/>
              </w:rPr>
              <w:t>270</w:t>
            </w:r>
          </w:p>
        </w:tc>
        <w:tc>
          <w:tcPr>
            <w:tcW w:w="789" w:type="dxa"/>
            <w:vAlign w:val="bottom"/>
          </w:tcPr>
          <w:p w14:paraId="6EB3B4AF" w14:textId="77777777" w:rsidR="009B0FCC" w:rsidRDefault="009B0FCC" w:rsidP="00721F16">
            <w:pPr>
              <w:spacing w:beforeAutospacing="1" w:afterAutospacing="1"/>
              <w:jc w:val="right"/>
            </w:pPr>
            <w:r>
              <w:rPr>
                <w:color w:val="000000"/>
              </w:rPr>
              <w:t>205</w:t>
            </w:r>
          </w:p>
        </w:tc>
        <w:tc>
          <w:tcPr>
            <w:tcW w:w="789" w:type="dxa"/>
            <w:vAlign w:val="bottom"/>
          </w:tcPr>
          <w:p w14:paraId="7F2789C4" w14:textId="77777777" w:rsidR="009B0FCC" w:rsidRDefault="009B0FCC" w:rsidP="00721F16">
            <w:pPr>
              <w:spacing w:beforeAutospacing="1" w:afterAutospacing="1"/>
              <w:jc w:val="right"/>
            </w:pPr>
            <w:r>
              <w:rPr>
                <w:color w:val="000000"/>
              </w:rPr>
              <w:t>215</w:t>
            </w:r>
          </w:p>
        </w:tc>
        <w:tc>
          <w:tcPr>
            <w:tcW w:w="789" w:type="dxa"/>
            <w:vAlign w:val="bottom"/>
          </w:tcPr>
          <w:p w14:paraId="2ADD2F7F" w14:textId="77777777" w:rsidR="009B0FCC" w:rsidRDefault="009B0FCC" w:rsidP="00721F16">
            <w:pPr>
              <w:spacing w:beforeAutospacing="1" w:afterAutospacing="1"/>
              <w:jc w:val="right"/>
            </w:pPr>
            <w:r>
              <w:rPr>
                <w:color w:val="000000"/>
              </w:rPr>
              <w:t>810</w:t>
            </w:r>
          </w:p>
        </w:tc>
      </w:tr>
      <w:tr w:rsidR="009B0FCC" w14:paraId="3DBA8B75" w14:textId="77777777" w:rsidTr="00721F16">
        <w:trPr>
          <w:cantSplit/>
        </w:trPr>
        <w:tc>
          <w:tcPr>
            <w:tcW w:w="1661" w:type="dxa"/>
          </w:tcPr>
          <w:p w14:paraId="33A70238" w14:textId="77777777" w:rsidR="009B0FCC" w:rsidRDefault="009B0FCC" w:rsidP="00721F16">
            <w:pPr>
              <w:spacing w:beforeAutospacing="1" w:afterAutospacing="1"/>
            </w:pPr>
            <w:r>
              <w:rPr>
                <w:color w:val="000000"/>
              </w:rPr>
              <w:t>Overcrowded - With 1.01-1.5 people per room (and none of the above problems)</w:t>
            </w:r>
          </w:p>
        </w:tc>
        <w:tc>
          <w:tcPr>
            <w:tcW w:w="813" w:type="dxa"/>
            <w:vAlign w:val="bottom"/>
          </w:tcPr>
          <w:p w14:paraId="290CF989" w14:textId="77777777" w:rsidR="009B0FCC" w:rsidRDefault="009B0FCC" w:rsidP="00721F16">
            <w:pPr>
              <w:spacing w:beforeAutospacing="1" w:afterAutospacing="1"/>
              <w:jc w:val="right"/>
            </w:pPr>
            <w:r>
              <w:rPr>
                <w:color w:val="000000"/>
              </w:rPr>
              <w:t>1,220</w:t>
            </w:r>
          </w:p>
        </w:tc>
        <w:tc>
          <w:tcPr>
            <w:tcW w:w="790" w:type="dxa"/>
            <w:vAlign w:val="bottom"/>
          </w:tcPr>
          <w:p w14:paraId="71CDC96B" w14:textId="77777777" w:rsidR="009B0FCC" w:rsidRDefault="009B0FCC" w:rsidP="00721F16">
            <w:pPr>
              <w:spacing w:beforeAutospacing="1" w:afterAutospacing="1"/>
              <w:jc w:val="right"/>
            </w:pPr>
            <w:r>
              <w:rPr>
                <w:color w:val="000000"/>
              </w:rPr>
              <w:t>1,840</w:t>
            </w:r>
          </w:p>
        </w:tc>
        <w:tc>
          <w:tcPr>
            <w:tcW w:w="789" w:type="dxa"/>
            <w:vAlign w:val="bottom"/>
          </w:tcPr>
          <w:p w14:paraId="7EB5071A" w14:textId="77777777" w:rsidR="009B0FCC" w:rsidRDefault="009B0FCC" w:rsidP="00721F16">
            <w:pPr>
              <w:spacing w:beforeAutospacing="1" w:afterAutospacing="1"/>
              <w:jc w:val="right"/>
            </w:pPr>
            <w:r>
              <w:rPr>
                <w:color w:val="000000"/>
              </w:rPr>
              <w:t>1,870</w:t>
            </w:r>
          </w:p>
        </w:tc>
        <w:tc>
          <w:tcPr>
            <w:tcW w:w="789" w:type="dxa"/>
            <w:vAlign w:val="bottom"/>
          </w:tcPr>
          <w:p w14:paraId="01DE6CC1" w14:textId="77777777" w:rsidR="009B0FCC" w:rsidRDefault="009B0FCC" w:rsidP="00721F16">
            <w:pPr>
              <w:spacing w:beforeAutospacing="1" w:afterAutospacing="1"/>
              <w:jc w:val="right"/>
            </w:pPr>
            <w:r>
              <w:rPr>
                <w:color w:val="000000"/>
              </w:rPr>
              <w:t>675</w:t>
            </w:r>
          </w:p>
        </w:tc>
        <w:tc>
          <w:tcPr>
            <w:tcW w:w="789" w:type="dxa"/>
            <w:vAlign w:val="bottom"/>
          </w:tcPr>
          <w:p w14:paraId="4CFEE8C7" w14:textId="77777777" w:rsidR="009B0FCC" w:rsidRDefault="009B0FCC" w:rsidP="00721F16">
            <w:pPr>
              <w:spacing w:beforeAutospacing="1" w:afterAutospacing="1"/>
              <w:jc w:val="right"/>
            </w:pPr>
            <w:r>
              <w:rPr>
                <w:color w:val="000000"/>
              </w:rPr>
              <w:t>5,605</w:t>
            </w:r>
          </w:p>
        </w:tc>
        <w:tc>
          <w:tcPr>
            <w:tcW w:w="789" w:type="dxa"/>
            <w:vAlign w:val="bottom"/>
          </w:tcPr>
          <w:p w14:paraId="6A34EAC4" w14:textId="77777777" w:rsidR="009B0FCC" w:rsidRDefault="009B0FCC" w:rsidP="00721F16">
            <w:pPr>
              <w:spacing w:beforeAutospacing="1" w:afterAutospacing="1"/>
              <w:jc w:val="right"/>
            </w:pPr>
            <w:r>
              <w:rPr>
                <w:color w:val="000000"/>
              </w:rPr>
              <w:t>300</w:t>
            </w:r>
          </w:p>
        </w:tc>
        <w:tc>
          <w:tcPr>
            <w:tcW w:w="789" w:type="dxa"/>
            <w:vAlign w:val="bottom"/>
          </w:tcPr>
          <w:p w14:paraId="0B1F5532" w14:textId="77777777" w:rsidR="009B0FCC" w:rsidRDefault="009B0FCC" w:rsidP="00721F16">
            <w:pPr>
              <w:spacing w:beforeAutospacing="1" w:afterAutospacing="1"/>
              <w:jc w:val="right"/>
            </w:pPr>
            <w:r>
              <w:rPr>
                <w:color w:val="000000"/>
              </w:rPr>
              <w:t>930</w:t>
            </w:r>
          </w:p>
        </w:tc>
        <w:tc>
          <w:tcPr>
            <w:tcW w:w="789" w:type="dxa"/>
            <w:vAlign w:val="bottom"/>
          </w:tcPr>
          <w:p w14:paraId="4C141988" w14:textId="77777777" w:rsidR="009B0FCC" w:rsidRDefault="009B0FCC" w:rsidP="00721F16">
            <w:pPr>
              <w:spacing w:beforeAutospacing="1" w:afterAutospacing="1"/>
              <w:jc w:val="right"/>
            </w:pPr>
            <w:r>
              <w:rPr>
                <w:color w:val="000000"/>
              </w:rPr>
              <w:t>1,735</w:t>
            </w:r>
          </w:p>
        </w:tc>
        <w:tc>
          <w:tcPr>
            <w:tcW w:w="789" w:type="dxa"/>
            <w:vAlign w:val="bottom"/>
          </w:tcPr>
          <w:p w14:paraId="3A24635A" w14:textId="77777777" w:rsidR="009B0FCC" w:rsidRDefault="009B0FCC" w:rsidP="00721F16">
            <w:pPr>
              <w:spacing w:beforeAutospacing="1" w:afterAutospacing="1"/>
              <w:jc w:val="right"/>
            </w:pPr>
            <w:r>
              <w:rPr>
                <w:color w:val="000000"/>
              </w:rPr>
              <w:t>630</w:t>
            </w:r>
          </w:p>
        </w:tc>
        <w:tc>
          <w:tcPr>
            <w:tcW w:w="789" w:type="dxa"/>
            <w:vAlign w:val="bottom"/>
          </w:tcPr>
          <w:p w14:paraId="21045195" w14:textId="77777777" w:rsidR="009B0FCC" w:rsidRDefault="009B0FCC" w:rsidP="00721F16">
            <w:pPr>
              <w:spacing w:beforeAutospacing="1" w:afterAutospacing="1"/>
              <w:jc w:val="right"/>
            </w:pPr>
            <w:r>
              <w:rPr>
                <w:color w:val="000000"/>
              </w:rPr>
              <w:t>3,595</w:t>
            </w:r>
          </w:p>
        </w:tc>
      </w:tr>
      <w:tr w:rsidR="009B0FCC" w14:paraId="10ABBF55" w14:textId="77777777" w:rsidTr="00721F16">
        <w:trPr>
          <w:cantSplit/>
        </w:trPr>
        <w:tc>
          <w:tcPr>
            <w:tcW w:w="1661" w:type="dxa"/>
          </w:tcPr>
          <w:p w14:paraId="3884E889" w14:textId="77777777" w:rsidR="009B0FCC" w:rsidRDefault="009B0FCC" w:rsidP="00721F16">
            <w:pPr>
              <w:spacing w:beforeAutospacing="1" w:afterAutospacing="1"/>
            </w:pPr>
            <w:r>
              <w:rPr>
                <w:color w:val="000000"/>
              </w:rPr>
              <w:t>Housing cost burden greater than 50% of income (and none of the above problems)</w:t>
            </w:r>
          </w:p>
        </w:tc>
        <w:tc>
          <w:tcPr>
            <w:tcW w:w="813" w:type="dxa"/>
            <w:vAlign w:val="bottom"/>
          </w:tcPr>
          <w:p w14:paraId="5DD9B239" w14:textId="77777777" w:rsidR="009B0FCC" w:rsidRDefault="009B0FCC" w:rsidP="00721F16">
            <w:pPr>
              <w:spacing w:beforeAutospacing="1" w:afterAutospacing="1"/>
              <w:jc w:val="right"/>
            </w:pPr>
            <w:r>
              <w:rPr>
                <w:color w:val="000000"/>
              </w:rPr>
              <w:t>23,705</w:t>
            </w:r>
          </w:p>
        </w:tc>
        <w:tc>
          <w:tcPr>
            <w:tcW w:w="790" w:type="dxa"/>
            <w:vAlign w:val="bottom"/>
          </w:tcPr>
          <w:p w14:paraId="0397287A" w14:textId="77777777" w:rsidR="009B0FCC" w:rsidRDefault="009B0FCC" w:rsidP="00721F16">
            <w:pPr>
              <w:spacing w:beforeAutospacing="1" w:afterAutospacing="1"/>
              <w:jc w:val="right"/>
            </w:pPr>
            <w:r>
              <w:rPr>
                <w:color w:val="000000"/>
              </w:rPr>
              <w:t>8,165</w:t>
            </w:r>
          </w:p>
        </w:tc>
        <w:tc>
          <w:tcPr>
            <w:tcW w:w="789" w:type="dxa"/>
            <w:vAlign w:val="bottom"/>
          </w:tcPr>
          <w:p w14:paraId="58F875C9" w14:textId="77777777" w:rsidR="009B0FCC" w:rsidRDefault="009B0FCC" w:rsidP="00721F16">
            <w:pPr>
              <w:spacing w:beforeAutospacing="1" w:afterAutospacing="1"/>
              <w:jc w:val="right"/>
            </w:pPr>
            <w:r>
              <w:rPr>
                <w:color w:val="000000"/>
              </w:rPr>
              <w:t>1,295</w:t>
            </w:r>
          </w:p>
        </w:tc>
        <w:tc>
          <w:tcPr>
            <w:tcW w:w="789" w:type="dxa"/>
            <w:vAlign w:val="bottom"/>
          </w:tcPr>
          <w:p w14:paraId="4ECB72F7" w14:textId="77777777" w:rsidR="009B0FCC" w:rsidRDefault="009B0FCC" w:rsidP="00721F16">
            <w:pPr>
              <w:spacing w:beforeAutospacing="1" w:afterAutospacing="1"/>
              <w:jc w:val="right"/>
            </w:pPr>
            <w:r>
              <w:rPr>
                <w:color w:val="000000"/>
              </w:rPr>
              <w:t>105</w:t>
            </w:r>
          </w:p>
        </w:tc>
        <w:tc>
          <w:tcPr>
            <w:tcW w:w="789" w:type="dxa"/>
            <w:vAlign w:val="bottom"/>
          </w:tcPr>
          <w:p w14:paraId="6E064A7D" w14:textId="77777777" w:rsidR="009B0FCC" w:rsidRDefault="009B0FCC" w:rsidP="00721F16">
            <w:pPr>
              <w:spacing w:beforeAutospacing="1" w:afterAutospacing="1"/>
              <w:jc w:val="right"/>
            </w:pPr>
            <w:r>
              <w:rPr>
                <w:color w:val="000000"/>
              </w:rPr>
              <w:t>33,270</w:t>
            </w:r>
          </w:p>
        </w:tc>
        <w:tc>
          <w:tcPr>
            <w:tcW w:w="789" w:type="dxa"/>
            <w:vAlign w:val="bottom"/>
          </w:tcPr>
          <w:p w14:paraId="026498AC" w14:textId="77777777" w:rsidR="009B0FCC" w:rsidRDefault="009B0FCC" w:rsidP="00721F16">
            <w:pPr>
              <w:spacing w:beforeAutospacing="1" w:afterAutospacing="1"/>
              <w:jc w:val="right"/>
            </w:pPr>
            <w:r>
              <w:rPr>
                <w:color w:val="000000"/>
              </w:rPr>
              <w:t>13,135</w:t>
            </w:r>
          </w:p>
        </w:tc>
        <w:tc>
          <w:tcPr>
            <w:tcW w:w="789" w:type="dxa"/>
            <w:vAlign w:val="bottom"/>
          </w:tcPr>
          <w:p w14:paraId="6841AA51" w14:textId="77777777" w:rsidR="009B0FCC" w:rsidRDefault="009B0FCC" w:rsidP="00721F16">
            <w:pPr>
              <w:spacing w:beforeAutospacing="1" w:afterAutospacing="1"/>
              <w:jc w:val="right"/>
            </w:pPr>
            <w:r>
              <w:rPr>
                <w:color w:val="000000"/>
              </w:rPr>
              <w:t>9,240</w:t>
            </w:r>
          </w:p>
        </w:tc>
        <w:tc>
          <w:tcPr>
            <w:tcW w:w="789" w:type="dxa"/>
            <w:vAlign w:val="bottom"/>
          </w:tcPr>
          <w:p w14:paraId="3A2FC93C" w14:textId="77777777" w:rsidR="009B0FCC" w:rsidRDefault="009B0FCC" w:rsidP="00721F16">
            <w:pPr>
              <w:spacing w:beforeAutospacing="1" w:afterAutospacing="1"/>
              <w:jc w:val="right"/>
            </w:pPr>
            <w:r>
              <w:rPr>
                <w:color w:val="000000"/>
              </w:rPr>
              <w:t>6,205</w:t>
            </w:r>
          </w:p>
        </w:tc>
        <w:tc>
          <w:tcPr>
            <w:tcW w:w="789" w:type="dxa"/>
            <w:vAlign w:val="bottom"/>
          </w:tcPr>
          <w:p w14:paraId="5647CB2D" w14:textId="77777777" w:rsidR="009B0FCC" w:rsidRDefault="009B0FCC" w:rsidP="00721F16">
            <w:pPr>
              <w:spacing w:beforeAutospacing="1" w:afterAutospacing="1"/>
              <w:jc w:val="right"/>
            </w:pPr>
            <w:r>
              <w:rPr>
                <w:color w:val="000000"/>
              </w:rPr>
              <w:t>1,225</w:t>
            </w:r>
          </w:p>
        </w:tc>
        <w:tc>
          <w:tcPr>
            <w:tcW w:w="789" w:type="dxa"/>
            <w:vAlign w:val="bottom"/>
          </w:tcPr>
          <w:p w14:paraId="1B4A6906" w14:textId="77777777" w:rsidR="009B0FCC" w:rsidRDefault="009B0FCC" w:rsidP="00721F16">
            <w:pPr>
              <w:spacing w:beforeAutospacing="1" w:afterAutospacing="1"/>
              <w:jc w:val="right"/>
            </w:pPr>
            <w:r>
              <w:rPr>
                <w:color w:val="000000"/>
              </w:rPr>
              <w:t>29,805</w:t>
            </w:r>
          </w:p>
        </w:tc>
      </w:tr>
      <w:tr w:rsidR="009B0FCC" w14:paraId="5673CD56" w14:textId="77777777" w:rsidTr="00721F16">
        <w:trPr>
          <w:cantSplit/>
        </w:trPr>
        <w:tc>
          <w:tcPr>
            <w:tcW w:w="1661" w:type="dxa"/>
          </w:tcPr>
          <w:p w14:paraId="27D7E38A" w14:textId="77777777" w:rsidR="009B0FCC" w:rsidRDefault="009B0FCC" w:rsidP="00721F16">
            <w:pPr>
              <w:spacing w:beforeAutospacing="1" w:afterAutospacing="1"/>
            </w:pPr>
            <w:r>
              <w:rPr>
                <w:color w:val="000000"/>
              </w:rPr>
              <w:lastRenderedPageBreak/>
              <w:t>Housing cost burden greater than 30% of income (and none of the above problems)</w:t>
            </w:r>
          </w:p>
        </w:tc>
        <w:tc>
          <w:tcPr>
            <w:tcW w:w="813" w:type="dxa"/>
            <w:vAlign w:val="bottom"/>
          </w:tcPr>
          <w:p w14:paraId="2040FFCC" w14:textId="77777777" w:rsidR="009B0FCC" w:rsidRDefault="009B0FCC" w:rsidP="00721F16">
            <w:pPr>
              <w:spacing w:beforeAutospacing="1" w:afterAutospacing="1"/>
              <w:jc w:val="right"/>
            </w:pPr>
            <w:r>
              <w:rPr>
                <w:color w:val="000000"/>
              </w:rPr>
              <w:t>4,220</w:t>
            </w:r>
          </w:p>
        </w:tc>
        <w:tc>
          <w:tcPr>
            <w:tcW w:w="790" w:type="dxa"/>
            <w:vAlign w:val="bottom"/>
          </w:tcPr>
          <w:p w14:paraId="78A206B4" w14:textId="77777777" w:rsidR="009B0FCC" w:rsidRDefault="009B0FCC" w:rsidP="00721F16">
            <w:pPr>
              <w:spacing w:beforeAutospacing="1" w:afterAutospacing="1"/>
              <w:jc w:val="right"/>
            </w:pPr>
            <w:r>
              <w:rPr>
                <w:color w:val="000000"/>
              </w:rPr>
              <w:t>15,610</w:t>
            </w:r>
          </w:p>
        </w:tc>
        <w:tc>
          <w:tcPr>
            <w:tcW w:w="789" w:type="dxa"/>
            <w:vAlign w:val="bottom"/>
          </w:tcPr>
          <w:p w14:paraId="7AE8202C" w14:textId="77777777" w:rsidR="009B0FCC" w:rsidRDefault="009B0FCC" w:rsidP="00721F16">
            <w:pPr>
              <w:spacing w:beforeAutospacing="1" w:afterAutospacing="1"/>
              <w:jc w:val="right"/>
            </w:pPr>
            <w:r>
              <w:rPr>
                <w:color w:val="000000"/>
              </w:rPr>
              <w:t>13,880</w:t>
            </w:r>
          </w:p>
        </w:tc>
        <w:tc>
          <w:tcPr>
            <w:tcW w:w="789" w:type="dxa"/>
            <w:vAlign w:val="bottom"/>
          </w:tcPr>
          <w:p w14:paraId="362730B2" w14:textId="77777777" w:rsidR="009B0FCC" w:rsidRDefault="009B0FCC" w:rsidP="00721F16">
            <w:pPr>
              <w:spacing w:beforeAutospacing="1" w:afterAutospacing="1"/>
              <w:jc w:val="right"/>
            </w:pPr>
            <w:r>
              <w:rPr>
                <w:color w:val="000000"/>
              </w:rPr>
              <w:t>1,515</w:t>
            </w:r>
          </w:p>
        </w:tc>
        <w:tc>
          <w:tcPr>
            <w:tcW w:w="789" w:type="dxa"/>
            <w:vAlign w:val="bottom"/>
          </w:tcPr>
          <w:p w14:paraId="1883E81F" w14:textId="77777777" w:rsidR="009B0FCC" w:rsidRDefault="009B0FCC" w:rsidP="00721F16">
            <w:pPr>
              <w:spacing w:beforeAutospacing="1" w:afterAutospacing="1"/>
              <w:jc w:val="right"/>
            </w:pPr>
            <w:r>
              <w:rPr>
                <w:color w:val="000000"/>
              </w:rPr>
              <w:t>35,225</w:t>
            </w:r>
          </w:p>
        </w:tc>
        <w:tc>
          <w:tcPr>
            <w:tcW w:w="789" w:type="dxa"/>
            <w:vAlign w:val="bottom"/>
          </w:tcPr>
          <w:p w14:paraId="176C9D5E" w14:textId="77777777" w:rsidR="009B0FCC" w:rsidRDefault="009B0FCC" w:rsidP="00721F16">
            <w:pPr>
              <w:spacing w:beforeAutospacing="1" w:afterAutospacing="1"/>
              <w:jc w:val="right"/>
            </w:pPr>
            <w:r>
              <w:rPr>
                <w:color w:val="000000"/>
              </w:rPr>
              <w:t>4,200</w:t>
            </w:r>
          </w:p>
        </w:tc>
        <w:tc>
          <w:tcPr>
            <w:tcW w:w="789" w:type="dxa"/>
            <w:vAlign w:val="bottom"/>
          </w:tcPr>
          <w:p w14:paraId="3CDDEA27" w14:textId="77777777" w:rsidR="009B0FCC" w:rsidRDefault="009B0FCC" w:rsidP="00721F16">
            <w:pPr>
              <w:spacing w:beforeAutospacing="1" w:afterAutospacing="1"/>
              <w:jc w:val="right"/>
            </w:pPr>
            <w:r>
              <w:rPr>
                <w:color w:val="000000"/>
              </w:rPr>
              <w:t>8,760</w:t>
            </w:r>
          </w:p>
        </w:tc>
        <w:tc>
          <w:tcPr>
            <w:tcW w:w="789" w:type="dxa"/>
            <w:vAlign w:val="bottom"/>
          </w:tcPr>
          <w:p w14:paraId="286CAD31" w14:textId="77777777" w:rsidR="009B0FCC" w:rsidRDefault="009B0FCC" w:rsidP="00721F16">
            <w:pPr>
              <w:spacing w:beforeAutospacing="1" w:afterAutospacing="1"/>
              <w:jc w:val="right"/>
            </w:pPr>
            <w:r>
              <w:rPr>
                <w:color w:val="000000"/>
              </w:rPr>
              <w:t>18,470</w:t>
            </w:r>
          </w:p>
        </w:tc>
        <w:tc>
          <w:tcPr>
            <w:tcW w:w="789" w:type="dxa"/>
            <w:vAlign w:val="bottom"/>
          </w:tcPr>
          <w:p w14:paraId="6C3CEE2A" w14:textId="77777777" w:rsidR="009B0FCC" w:rsidRDefault="009B0FCC" w:rsidP="00721F16">
            <w:pPr>
              <w:spacing w:beforeAutospacing="1" w:afterAutospacing="1"/>
              <w:jc w:val="right"/>
            </w:pPr>
            <w:r>
              <w:rPr>
                <w:color w:val="000000"/>
              </w:rPr>
              <w:t>7,765</w:t>
            </w:r>
          </w:p>
        </w:tc>
        <w:tc>
          <w:tcPr>
            <w:tcW w:w="789" w:type="dxa"/>
            <w:vAlign w:val="bottom"/>
          </w:tcPr>
          <w:p w14:paraId="7889B864" w14:textId="77777777" w:rsidR="009B0FCC" w:rsidRDefault="009B0FCC" w:rsidP="00721F16">
            <w:pPr>
              <w:spacing w:beforeAutospacing="1" w:afterAutospacing="1"/>
              <w:jc w:val="right"/>
            </w:pPr>
            <w:r>
              <w:rPr>
                <w:color w:val="000000"/>
              </w:rPr>
              <w:t>39,195</w:t>
            </w:r>
          </w:p>
        </w:tc>
      </w:tr>
      <w:tr w:rsidR="009B0FCC" w14:paraId="7FBAD0A5" w14:textId="77777777" w:rsidTr="00721F16">
        <w:trPr>
          <w:cantSplit/>
        </w:trPr>
        <w:tc>
          <w:tcPr>
            <w:tcW w:w="1661" w:type="dxa"/>
          </w:tcPr>
          <w:p w14:paraId="33994392" w14:textId="77777777" w:rsidR="009B0FCC" w:rsidRDefault="009B0FCC" w:rsidP="00721F16">
            <w:pPr>
              <w:spacing w:beforeAutospacing="1" w:afterAutospacing="1"/>
            </w:pPr>
            <w:r>
              <w:rPr>
                <w:color w:val="000000"/>
              </w:rPr>
              <w:t>Zero/negative Income (and none of the above problems)</w:t>
            </w:r>
          </w:p>
        </w:tc>
        <w:tc>
          <w:tcPr>
            <w:tcW w:w="813" w:type="dxa"/>
            <w:vAlign w:val="bottom"/>
          </w:tcPr>
          <w:p w14:paraId="19C1FE06" w14:textId="77777777" w:rsidR="009B0FCC" w:rsidRDefault="009B0FCC" w:rsidP="00721F16">
            <w:pPr>
              <w:spacing w:beforeAutospacing="1" w:afterAutospacing="1"/>
              <w:jc w:val="right"/>
            </w:pPr>
            <w:r>
              <w:rPr>
                <w:color w:val="000000"/>
              </w:rPr>
              <w:t>4,940</w:t>
            </w:r>
          </w:p>
        </w:tc>
        <w:tc>
          <w:tcPr>
            <w:tcW w:w="790" w:type="dxa"/>
            <w:vAlign w:val="bottom"/>
          </w:tcPr>
          <w:p w14:paraId="423AF8AF" w14:textId="77777777" w:rsidR="009B0FCC" w:rsidRDefault="009B0FCC" w:rsidP="00721F16">
            <w:pPr>
              <w:spacing w:beforeAutospacing="1" w:afterAutospacing="1"/>
              <w:jc w:val="right"/>
            </w:pPr>
            <w:r>
              <w:rPr>
                <w:color w:val="000000"/>
              </w:rPr>
              <w:t>0</w:t>
            </w:r>
          </w:p>
        </w:tc>
        <w:tc>
          <w:tcPr>
            <w:tcW w:w="789" w:type="dxa"/>
            <w:vAlign w:val="bottom"/>
          </w:tcPr>
          <w:p w14:paraId="6B631682" w14:textId="77777777" w:rsidR="009B0FCC" w:rsidRDefault="009B0FCC" w:rsidP="00721F16">
            <w:pPr>
              <w:spacing w:beforeAutospacing="1" w:afterAutospacing="1"/>
              <w:jc w:val="right"/>
            </w:pPr>
            <w:r>
              <w:rPr>
                <w:color w:val="000000"/>
              </w:rPr>
              <w:t>0</w:t>
            </w:r>
          </w:p>
        </w:tc>
        <w:tc>
          <w:tcPr>
            <w:tcW w:w="789" w:type="dxa"/>
            <w:vAlign w:val="bottom"/>
          </w:tcPr>
          <w:p w14:paraId="53635743" w14:textId="77777777" w:rsidR="009B0FCC" w:rsidRDefault="009B0FCC" w:rsidP="00721F16">
            <w:pPr>
              <w:spacing w:beforeAutospacing="1" w:afterAutospacing="1"/>
              <w:jc w:val="right"/>
            </w:pPr>
            <w:r>
              <w:rPr>
                <w:color w:val="000000"/>
              </w:rPr>
              <w:t>0</w:t>
            </w:r>
          </w:p>
        </w:tc>
        <w:tc>
          <w:tcPr>
            <w:tcW w:w="789" w:type="dxa"/>
            <w:vAlign w:val="bottom"/>
          </w:tcPr>
          <w:p w14:paraId="25177DAF" w14:textId="77777777" w:rsidR="009B0FCC" w:rsidRDefault="009B0FCC" w:rsidP="00721F16">
            <w:pPr>
              <w:spacing w:beforeAutospacing="1" w:afterAutospacing="1"/>
              <w:jc w:val="right"/>
            </w:pPr>
            <w:r>
              <w:rPr>
                <w:color w:val="000000"/>
              </w:rPr>
              <w:t>4,940</w:t>
            </w:r>
          </w:p>
        </w:tc>
        <w:tc>
          <w:tcPr>
            <w:tcW w:w="789" w:type="dxa"/>
            <w:vAlign w:val="bottom"/>
          </w:tcPr>
          <w:p w14:paraId="113D5BF9" w14:textId="77777777" w:rsidR="009B0FCC" w:rsidRDefault="009B0FCC" w:rsidP="00721F16">
            <w:pPr>
              <w:spacing w:beforeAutospacing="1" w:afterAutospacing="1"/>
              <w:jc w:val="right"/>
            </w:pPr>
            <w:r>
              <w:rPr>
                <w:color w:val="000000"/>
              </w:rPr>
              <w:t>4,385</w:t>
            </w:r>
          </w:p>
        </w:tc>
        <w:tc>
          <w:tcPr>
            <w:tcW w:w="789" w:type="dxa"/>
            <w:vAlign w:val="bottom"/>
          </w:tcPr>
          <w:p w14:paraId="79FE182D" w14:textId="77777777" w:rsidR="009B0FCC" w:rsidRDefault="009B0FCC" w:rsidP="00721F16">
            <w:pPr>
              <w:spacing w:beforeAutospacing="1" w:afterAutospacing="1"/>
              <w:jc w:val="right"/>
            </w:pPr>
            <w:r>
              <w:rPr>
                <w:color w:val="000000"/>
              </w:rPr>
              <w:t>0</w:t>
            </w:r>
          </w:p>
        </w:tc>
        <w:tc>
          <w:tcPr>
            <w:tcW w:w="789" w:type="dxa"/>
            <w:vAlign w:val="bottom"/>
          </w:tcPr>
          <w:p w14:paraId="23F26372" w14:textId="77777777" w:rsidR="009B0FCC" w:rsidRDefault="009B0FCC" w:rsidP="00721F16">
            <w:pPr>
              <w:spacing w:beforeAutospacing="1" w:afterAutospacing="1"/>
              <w:jc w:val="right"/>
            </w:pPr>
            <w:r>
              <w:rPr>
                <w:color w:val="000000"/>
              </w:rPr>
              <w:t>0</w:t>
            </w:r>
          </w:p>
        </w:tc>
        <w:tc>
          <w:tcPr>
            <w:tcW w:w="789" w:type="dxa"/>
            <w:vAlign w:val="bottom"/>
          </w:tcPr>
          <w:p w14:paraId="24DDD1E0" w14:textId="77777777" w:rsidR="009B0FCC" w:rsidRDefault="009B0FCC" w:rsidP="00721F16">
            <w:pPr>
              <w:spacing w:beforeAutospacing="1" w:afterAutospacing="1"/>
              <w:jc w:val="right"/>
            </w:pPr>
            <w:r>
              <w:rPr>
                <w:color w:val="000000"/>
              </w:rPr>
              <w:t>0</w:t>
            </w:r>
          </w:p>
        </w:tc>
        <w:tc>
          <w:tcPr>
            <w:tcW w:w="789" w:type="dxa"/>
            <w:vAlign w:val="bottom"/>
          </w:tcPr>
          <w:p w14:paraId="6CC94076" w14:textId="77777777" w:rsidR="009B0FCC" w:rsidRDefault="009B0FCC" w:rsidP="00721F16">
            <w:pPr>
              <w:spacing w:beforeAutospacing="1" w:afterAutospacing="1"/>
              <w:jc w:val="right"/>
            </w:pPr>
            <w:r>
              <w:rPr>
                <w:color w:val="000000"/>
              </w:rPr>
              <w:t>4,385</w:t>
            </w:r>
          </w:p>
        </w:tc>
      </w:tr>
    </w:tbl>
    <w:p w14:paraId="3CE34BCB"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Housing Problems Table</w:t>
      </w:r>
      <w:bookmarkEnd w:id="13"/>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9B0FCC" w14:paraId="27DEE4AD" w14:textId="77777777" w:rsidTr="00721F16">
        <w:trPr>
          <w:cantSplit/>
        </w:trPr>
        <w:tc>
          <w:tcPr>
            <w:tcW w:w="1080" w:type="dxa"/>
          </w:tcPr>
          <w:p w14:paraId="76DF7C57" w14:textId="77777777" w:rsidR="009B0FCC" w:rsidRDefault="009B0FCC" w:rsidP="00721F16">
            <w:pPr>
              <w:spacing w:after="0" w:line="240" w:lineRule="auto"/>
              <w:rPr>
                <w:sz w:val="16"/>
                <w:szCs w:val="16"/>
              </w:rPr>
            </w:pPr>
            <w:r>
              <w:rPr>
                <w:b/>
                <w:bCs/>
                <w:sz w:val="16"/>
                <w:szCs w:val="16"/>
              </w:rPr>
              <w:t>Data Source:</w:t>
            </w:r>
          </w:p>
        </w:tc>
        <w:tc>
          <w:tcPr>
            <w:tcW w:w="12110" w:type="dxa"/>
          </w:tcPr>
          <w:p w14:paraId="76B20E63" w14:textId="77777777" w:rsidR="009B0FCC" w:rsidRDefault="009B0FCC" w:rsidP="00721F16">
            <w:pPr>
              <w:spacing w:beforeAutospacing="1" w:afterAutospacing="1"/>
              <w:rPr>
                <w:sz w:val="16"/>
                <w:szCs w:val="16"/>
              </w:rPr>
            </w:pPr>
            <w:r>
              <w:rPr>
                <w:sz w:val="16"/>
                <w:szCs w:val="16"/>
              </w:rPr>
              <w:t>2016-2020 CHAS</w:t>
            </w:r>
          </w:p>
        </w:tc>
      </w:tr>
    </w:tbl>
    <w:p w14:paraId="2CF78C4D" w14:textId="77777777" w:rsidR="009B0FCC" w:rsidRDefault="009B0FCC" w:rsidP="009B0FCC">
      <w:pPr>
        <w:spacing w:after="0" w:line="240" w:lineRule="auto"/>
        <w:rPr>
          <w:vanish/>
        </w:rPr>
      </w:pPr>
    </w:p>
    <w:p w14:paraId="2FCE3C71" w14:textId="77777777" w:rsidR="009B0FCC" w:rsidRDefault="009B0FCC" w:rsidP="009B0FCC">
      <w:pPr>
        <w:spacing w:after="0" w:line="240" w:lineRule="auto"/>
        <w:rPr>
          <w:b/>
          <w:bCs/>
          <w:vanish/>
          <w:sz w:val="16"/>
          <w:szCs w:val="16"/>
        </w:rPr>
      </w:pPr>
    </w:p>
    <w:p w14:paraId="15F1860F" w14:textId="77777777" w:rsidR="009B0FCC" w:rsidRDefault="009B0FCC" w:rsidP="009B0FCC"/>
    <w:p w14:paraId="6DB09A1B" w14:textId="77777777" w:rsidR="009B0FCC" w:rsidRDefault="009B0FCC" w:rsidP="009B0FCC">
      <w:pPr>
        <w:keepNext/>
        <w:widowControl w:val="0"/>
        <w:rPr>
          <w:bCs/>
          <w:sz w:val="24"/>
          <w:szCs w:val="24"/>
        </w:rPr>
      </w:pPr>
      <w:r>
        <w:rPr>
          <w:sz w:val="24"/>
          <w:szCs w:val="24"/>
        </w:rPr>
        <w:t xml:space="preserve">2. </w:t>
      </w:r>
      <w:r>
        <w:rPr>
          <w:bCs/>
          <w:sz w:val="24"/>
          <w:szCs w:val="24"/>
        </w:rPr>
        <w:t>Housing Problems 2 (Households with one or more Severe Housing Problems: Lacks kitchen or complete plumbing, severe overcrowding, severe cost burden)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829"/>
        <w:gridCol w:w="829"/>
        <w:gridCol w:w="829"/>
        <w:gridCol w:w="829"/>
        <w:gridCol w:w="829"/>
        <w:gridCol w:w="829"/>
        <w:gridCol w:w="829"/>
        <w:gridCol w:w="829"/>
        <w:gridCol w:w="829"/>
        <w:gridCol w:w="940"/>
      </w:tblGrid>
      <w:tr w:rsidR="009B0FCC" w14:paraId="1D80E680" w14:textId="77777777" w:rsidTr="00721F16">
        <w:trPr>
          <w:cantSplit/>
          <w:tblHeader/>
        </w:trPr>
        <w:tc>
          <w:tcPr>
            <w:tcW w:w="2432" w:type="dxa"/>
            <w:vMerge w:val="restart"/>
          </w:tcPr>
          <w:p w14:paraId="2B14E18A" w14:textId="77777777" w:rsidR="009B0FCC" w:rsidRDefault="009B0FCC" w:rsidP="00721F16">
            <w:pPr>
              <w:pStyle w:val="Caption"/>
              <w:keepNext/>
              <w:widowControl w:val="0"/>
              <w:jc w:val="center"/>
              <w:rPr>
                <w:rFonts w:ascii="Calibri" w:hAnsi="Calibri"/>
              </w:rPr>
            </w:pPr>
          </w:p>
        </w:tc>
        <w:tc>
          <w:tcPr>
            <w:tcW w:w="5372" w:type="dxa"/>
            <w:gridSpan w:val="5"/>
          </w:tcPr>
          <w:p w14:paraId="5B1D3BFB" w14:textId="77777777" w:rsidR="009B0FCC" w:rsidRDefault="009B0FCC" w:rsidP="00721F16">
            <w:pPr>
              <w:keepNext/>
              <w:widowControl w:val="0"/>
              <w:spacing w:after="0" w:line="240" w:lineRule="auto"/>
              <w:jc w:val="center"/>
              <w:rPr>
                <w:sz w:val="20"/>
                <w:szCs w:val="20"/>
              </w:rPr>
            </w:pPr>
            <w:r>
              <w:rPr>
                <w:b/>
                <w:bCs/>
                <w:sz w:val="20"/>
                <w:szCs w:val="20"/>
              </w:rPr>
              <w:t>Renter</w:t>
            </w:r>
          </w:p>
        </w:tc>
        <w:tc>
          <w:tcPr>
            <w:tcW w:w="5372" w:type="dxa"/>
            <w:gridSpan w:val="5"/>
          </w:tcPr>
          <w:p w14:paraId="0B92E5A7" w14:textId="77777777" w:rsidR="009B0FCC" w:rsidRDefault="009B0FCC" w:rsidP="00721F16">
            <w:pPr>
              <w:keepNext/>
              <w:widowControl w:val="0"/>
              <w:spacing w:after="0" w:line="240" w:lineRule="auto"/>
              <w:jc w:val="center"/>
              <w:rPr>
                <w:sz w:val="20"/>
                <w:szCs w:val="20"/>
              </w:rPr>
            </w:pPr>
            <w:r>
              <w:rPr>
                <w:b/>
                <w:bCs/>
                <w:sz w:val="20"/>
                <w:szCs w:val="20"/>
              </w:rPr>
              <w:t>Owner</w:t>
            </w:r>
          </w:p>
        </w:tc>
      </w:tr>
      <w:tr w:rsidR="009B0FCC" w14:paraId="62AF6F4D" w14:textId="77777777" w:rsidTr="00721F16">
        <w:trPr>
          <w:cantSplit/>
          <w:tblHeader/>
        </w:trPr>
        <w:tc>
          <w:tcPr>
            <w:tcW w:w="2432" w:type="dxa"/>
            <w:vMerge/>
          </w:tcPr>
          <w:p w14:paraId="75178421" w14:textId="77777777" w:rsidR="009B0FCC" w:rsidRDefault="009B0FCC" w:rsidP="00721F16">
            <w:pPr>
              <w:pStyle w:val="Caption"/>
              <w:keepNext/>
              <w:widowControl w:val="0"/>
              <w:jc w:val="center"/>
              <w:rPr>
                <w:rFonts w:ascii="Calibri" w:hAnsi="Calibri"/>
              </w:rPr>
            </w:pPr>
          </w:p>
        </w:tc>
        <w:tc>
          <w:tcPr>
            <w:tcW w:w="1074" w:type="dxa"/>
          </w:tcPr>
          <w:p w14:paraId="2234D8B5"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074" w:type="dxa"/>
          </w:tcPr>
          <w:p w14:paraId="606A4ED3"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074" w:type="dxa"/>
          </w:tcPr>
          <w:p w14:paraId="695EE1E5"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075" w:type="dxa"/>
          </w:tcPr>
          <w:p w14:paraId="780D07F2" w14:textId="77777777" w:rsidR="009B0FCC" w:rsidRDefault="009B0FCC" w:rsidP="00721F16">
            <w:pPr>
              <w:keepNext/>
              <w:widowControl w:val="0"/>
              <w:spacing w:after="0" w:line="240" w:lineRule="auto"/>
              <w:jc w:val="center"/>
              <w:rPr>
                <w:sz w:val="20"/>
                <w:szCs w:val="20"/>
              </w:rPr>
            </w:pPr>
            <w:r>
              <w:rPr>
                <w:b/>
                <w:sz w:val="20"/>
                <w:szCs w:val="20"/>
              </w:rPr>
              <w:t>&gt;80-100% AMI</w:t>
            </w:r>
          </w:p>
        </w:tc>
        <w:tc>
          <w:tcPr>
            <w:tcW w:w="1075" w:type="dxa"/>
          </w:tcPr>
          <w:p w14:paraId="26F6D57D" w14:textId="77777777" w:rsidR="009B0FCC" w:rsidRDefault="009B0FCC" w:rsidP="00721F16">
            <w:pPr>
              <w:keepNext/>
              <w:widowControl w:val="0"/>
              <w:spacing w:after="0" w:line="240" w:lineRule="auto"/>
              <w:jc w:val="center"/>
              <w:rPr>
                <w:sz w:val="20"/>
                <w:szCs w:val="20"/>
              </w:rPr>
            </w:pPr>
            <w:r>
              <w:rPr>
                <w:b/>
                <w:sz w:val="20"/>
                <w:szCs w:val="20"/>
              </w:rPr>
              <w:t>Total</w:t>
            </w:r>
          </w:p>
        </w:tc>
        <w:tc>
          <w:tcPr>
            <w:tcW w:w="1074" w:type="dxa"/>
          </w:tcPr>
          <w:p w14:paraId="6668D893"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074" w:type="dxa"/>
          </w:tcPr>
          <w:p w14:paraId="5F497A22"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074" w:type="dxa"/>
          </w:tcPr>
          <w:p w14:paraId="20DF586C"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075" w:type="dxa"/>
          </w:tcPr>
          <w:p w14:paraId="334FFA8E" w14:textId="77777777" w:rsidR="009B0FCC" w:rsidRDefault="009B0FCC" w:rsidP="00721F16">
            <w:pPr>
              <w:keepNext/>
              <w:widowControl w:val="0"/>
              <w:spacing w:after="0" w:line="240" w:lineRule="auto"/>
              <w:jc w:val="center"/>
              <w:rPr>
                <w:sz w:val="20"/>
                <w:szCs w:val="20"/>
              </w:rPr>
            </w:pPr>
            <w:r>
              <w:rPr>
                <w:b/>
                <w:sz w:val="20"/>
                <w:szCs w:val="20"/>
              </w:rPr>
              <w:t>&gt;80-100% AMI</w:t>
            </w:r>
          </w:p>
        </w:tc>
        <w:tc>
          <w:tcPr>
            <w:tcW w:w="1075" w:type="dxa"/>
          </w:tcPr>
          <w:p w14:paraId="1E4BF2D4" w14:textId="77777777" w:rsidR="009B0FCC" w:rsidRDefault="009B0FCC" w:rsidP="00721F16">
            <w:pPr>
              <w:keepNext/>
              <w:widowControl w:val="0"/>
              <w:spacing w:after="0" w:line="240" w:lineRule="auto"/>
              <w:jc w:val="center"/>
              <w:rPr>
                <w:sz w:val="20"/>
                <w:szCs w:val="20"/>
              </w:rPr>
            </w:pPr>
            <w:r>
              <w:rPr>
                <w:b/>
                <w:sz w:val="20"/>
                <w:szCs w:val="20"/>
              </w:rPr>
              <w:t>Total</w:t>
            </w:r>
          </w:p>
        </w:tc>
      </w:tr>
      <w:tr w:rsidR="009B0FCC" w14:paraId="684AA31B" w14:textId="77777777" w:rsidTr="00721F16">
        <w:trPr>
          <w:cantSplit/>
        </w:trPr>
        <w:tc>
          <w:tcPr>
            <w:tcW w:w="13176" w:type="dxa"/>
            <w:gridSpan w:val="11"/>
          </w:tcPr>
          <w:p w14:paraId="7F4DD754" w14:textId="77777777" w:rsidR="009B0FCC" w:rsidRDefault="009B0FCC" w:rsidP="00721F16">
            <w:pPr>
              <w:keepNext/>
              <w:widowControl w:val="0"/>
              <w:spacing w:after="0" w:line="240" w:lineRule="auto"/>
            </w:pPr>
            <w:r>
              <w:t>NUMBER OF HOUSEHOLDS</w:t>
            </w:r>
          </w:p>
        </w:tc>
      </w:tr>
      <w:tr w:rsidR="009B0FCC" w14:paraId="09D7A0FE" w14:textId="77777777" w:rsidTr="00721F16">
        <w:trPr>
          <w:cantSplit/>
        </w:trPr>
        <w:tc>
          <w:tcPr>
            <w:tcW w:w="0" w:type="auto"/>
          </w:tcPr>
          <w:p w14:paraId="12602ABD" w14:textId="77777777" w:rsidR="009B0FCC" w:rsidRDefault="009B0FCC" w:rsidP="00721F16">
            <w:pPr>
              <w:spacing w:beforeAutospacing="1" w:afterAutospacing="1"/>
            </w:pPr>
            <w:r>
              <w:rPr>
                <w:color w:val="000000"/>
              </w:rPr>
              <w:t>Having 1 or more of four housing problems</w:t>
            </w:r>
          </w:p>
        </w:tc>
        <w:tc>
          <w:tcPr>
            <w:tcW w:w="0" w:type="auto"/>
            <w:vAlign w:val="bottom"/>
          </w:tcPr>
          <w:p w14:paraId="0E5445AB" w14:textId="77777777" w:rsidR="009B0FCC" w:rsidRDefault="009B0FCC" w:rsidP="00721F16">
            <w:pPr>
              <w:spacing w:beforeAutospacing="1" w:afterAutospacing="1"/>
              <w:jc w:val="right"/>
            </w:pPr>
            <w:r>
              <w:rPr>
                <w:color w:val="000000"/>
              </w:rPr>
              <w:t>27,415</w:t>
            </w:r>
          </w:p>
        </w:tc>
        <w:tc>
          <w:tcPr>
            <w:tcW w:w="0" w:type="auto"/>
            <w:vAlign w:val="bottom"/>
          </w:tcPr>
          <w:p w14:paraId="52015CA7" w14:textId="77777777" w:rsidR="009B0FCC" w:rsidRDefault="009B0FCC" w:rsidP="00721F16">
            <w:pPr>
              <w:spacing w:beforeAutospacing="1" w:afterAutospacing="1"/>
              <w:jc w:val="right"/>
            </w:pPr>
            <w:r>
              <w:rPr>
                <w:color w:val="000000"/>
              </w:rPr>
              <w:t>11,495</w:t>
            </w:r>
          </w:p>
        </w:tc>
        <w:tc>
          <w:tcPr>
            <w:tcW w:w="0" w:type="auto"/>
            <w:vAlign w:val="bottom"/>
          </w:tcPr>
          <w:p w14:paraId="194C60F7" w14:textId="77777777" w:rsidR="009B0FCC" w:rsidRDefault="009B0FCC" w:rsidP="00721F16">
            <w:pPr>
              <w:spacing w:beforeAutospacing="1" w:afterAutospacing="1"/>
              <w:jc w:val="right"/>
            </w:pPr>
            <w:r>
              <w:rPr>
                <w:color w:val="000000"/>
              </w:rPr>
              <w:t>4,740</w:t>
            </w:r>
          </w:p>
        </w:tc>
        <w:tc>
          <w:tcPr>
            <w:tcW w:w="0" w:type="auto"/>
            <w:vAlign w:val="bottom"/>
          </w:tcPr>
          <w:p w14:paraId="2230A598" w14:textId="77777777" w:rsidR="009B0FCC" w:rsidRDefault="009B0FCC" w:rsidP="00721F16">
            <w:pPr>
              <w:spacing w:beforeAutospacing="1" w:afterAutospacing="1"/>
              <w:jc w:val="right"/>
            </w:pPr>
            <w:r>
              <w:rPr>
                <w:color w:val="000000"/>
              </w:rPr>
              <w:t>1,335</w:t>
            </w:r>
          </w:p>
        </w:tc>
        <w:tc>
          <w:tcPr>
            <w:tcW w:w="0" w:type="auto"/>
            <w:vAlign w:val="bottom"/>
          </w:tcPr>
          <w:p w14:paraId="3F4D8518" w14:textId="77777777" w:rsidR="009B0FCC" w:rsidRDefault="009B0FCC" w:rsidP="00721F16">
            <w:pPr>
              <w:spacing w:beforeAutospacing="1" w:afterAutospacing="1"/>
              <w:jc w:val="right"/>
            </w:pPr>
            <w:r>
              <w:rPr>
                <w:color w:val="000000"/>
              </w:rPr>
              <w:t>44,985</w:t>
            </w:r>
          </w:p>
        </w:tc>
        <w:tc>
          <w:tcPr>
            <w:tcW w:w="0" w:type="auto"/>
            <w:vAlign w:val="bottom"/>
          </w:tcPr>
          <w:p w14:paraId="1BF7D17F" w14:textId="77777777" w:rsidR="009B0FCC" w:rsidRDefault="009B0FCC" w:rsidP="00721F16">
            <w:pPr>
              <w:spacing w:beforeAutospacing="1" w:afterAutospacing="1"/>
              <w:jc w:val="right"/>
            </w:pPr>
            <w:r>
              <w:rPr>
                <w:color w:val="000000"/>
              </w:rPr>
              <w:t>14,105</w:t>
            </w:r>
          </w:p>
        </w:tc>
        <w:tc>
          <w:tcPr>
            <w:tcW w:w="0" w:type="auto"/>
            <w:vAlign w:val="bottom"/>
          </w:tcPr>
          <w:p w14:paraId="0D2CBE92" w14:textId="77777777" w:rsidR="009B0FCC" w:rsidRDefault="009B0FCC" w:rsidP="00721F16">
            <w:pPr>
              <w:spacing w:beforeAutospacing="1" w:afterAutospacing="1"/>
              <w:jc w:val="right"/>
            </w:pPr>
            <w:r>
              <w:rPr>
                <w:color w:val="000000"/>
              </w:rPr>
              <w:t>10,955</w:t>
            </w:r>
          </w:p>
        </w:tc>
        <w:tc>
          <w:tcPr>
            <w:tcW w:w="0" w:type="auto"/>
            <w:vAlign w:val="bottom"/>
          </w:tcPr>
          <w:p w14:paraId="08979AD1" w14:textId="77777777" w:rsidR="009B0FCC" w:rsidRDefault="009B0FCC" w:rsidP="00721F16">
            <w:pPr>
              <w:spacing w:beforeAutospacing="1" w:afterAutospacing="1"/>
              <w:jc w:val="right"/>
            </w:pPr>
            <w:r>
              <w:rPr>
                <w:color w:val="000000"/>
              </w:rPr>
              <w:t>8,560</w:t>
            </w:r>
          </w:p>
        </w:tc>
        <w:tc>
          <w:tcPr>
            <w:tcW w:w="0" w:type="auto"/>
            <w:vAlign w:val="bottom"/>
          </w:tcPr>
          <w:p w14:paraId="3B1B0B1C" w14:textId="77777777" w:rsidR="009B0FCC" w:rsidRDefault="009B0FCC" w:rsidP="00721F16">
            <w:pPr>
              <w:spacing w:beforeAutospacing="1" w:afterAutospacing="1"/>
              <w:jc w:val="right"/>
            </w:pPr>
            <w:r>
              <w:rPr>
                <w:color w:val="000000"/>
              </w:rPr>
              <w:t>2,310</w:t>
            </w:r>
          </w:p>
        </w:tc>
        <w:tc>
          <w:tcPr>
            <w:tcW w:w="0" w:type="auto"/>
            <w:vAlign w:val="bottom"/>
          </w:tcPr>
          <w:p w14:paraId="1785FA14" w14:textId="77777777" w:rsidR="009B0FCC" w:rsidRDefault="009B0FCC" w:rsidP="00721F16">
            <w:pPr>
              <w:spacing w:beforeAutospacing="1" w:afterAutospacing="1"/>
              <w:jc w:val="right"/>
            </w:pPr>
            <w:r>
              <w:rPr>
                <w:color w:val="000000"/>
              </w:rPr>
              <w:t>35,930</w:t>
            </w:r>
          </w:p>
        </w:tc>
      </w:tr>
      <w:tr w:rsidR="009B0FCC" w14:paraId="47614E4D" w14:textId="77777777" w:rsidTr="00721F16">
        <w:trPr>
          <w:cantSplit/>
        </w:trPr>
        <w:tc>
          <w:tcPr>
            <w:tcW w:w="0" w:type="auto"/>
          </w:tcPr>
          <w:p w14:paraId="3047EDF1" w14:textId="77777777" w:rsidR="009B0FCC" w:rsidRDefault="009B0FCC" w:rsidP="00721F16">
            <w:pPr>
              <w:spacing w:beforeAutospacing="1" w:afterAutospacing="1"/>
            </w:pPr>
            <w:r>
              <w:rPr>
                <w:color w:val="000000"/>
              </w:rPr>
              <w:t>Having none of four housing problems</w:t>
            </w:r>
          </w:p>
        </w:tc>
        <w:tc>
          <w:tcPr>
            <w:tcW w:w="0" w:type="auto"/>
            <w:vAlign w:val="bottom"/>
          </w:tcPr>
          <w:p w14:paraId="527FFCD5" w14:textId="77777777" w:rsidR="009B0FCC" w:rsidRDefault="009B0FCC" w:rsidP="00721F16">
            <w:pPr>
              <w:spacing w:beforeAutospacing="1" w:afterAutospacing="1"/>
              <w:jc w:val="right"/>
            </w:pPr>
            <w:r>
              <w:rPr>
                <w:color w:val="000000"/>
              </w:rPr>
              <w:t>8,745</w:t>
            </w:r>
          </w:p>
        </w:tc>
        <w:tc>
          <w:tcPr>
            <w:tcW w:w="0" w:type="auto"/>
            <w:vAlign w:val="bottom"/>
          </w:tcPr>
          <w:p w14:paraId="13135FC2" w14:textId="77777777" w:rsidR="009B0FCC" w:rsidRDefault="009B0FCC" w:rsidP="00721F16">
            <w:pPr>
              <w:spacing w:beforeAutospacing="1" w:afterAutospacing="1"/>
              <w:jc w:val="right"/>
            </w:pPr>
            <w:r>
              <w:rPr>
                <w:color w:val="000000"/>
              </w:rPr>
              <w:t>23,180</w:t>
            </w:r>
          </w:p>
        </w:tc>
        <w:tc>
          <w:tcPr>
            <w:tcW w:w="0" w:type="auto"/>
            <w:vAlign w:val="bottom"/>
          </w:tcPr>
          <w:p w14:paraId="694D49ED" w14:textId="77777777" w:rsidR="009B0FCC" w:rsidRDefault="009B0FCC" w:rsidP="00721F16">
            <w:pPr>
              <w:spacing w:beforeAutospacing="1" w:afterAutospacing="1"/>
              <w:jc w:val="right"/>
            </w:pPr>
            <w:r>
              <w:rPr>
                <w:color w:val="000000"/>
              </w:rPr>
              <w:t>39,265</w:t>
            </w:r>
          </w:p>
        </w:tc>
        <w:tc>
          <w:tcPr>
            <w:tcW w:w="0" w:type="auto"/>
            <w:vAlign w:val="bottom"/>
          </w:tcPr>
          <w:p w14:paraId="5519E8A1" w14:textId="77777777" w:rsidR="009B0FCC" w:rsidRDefault="009B0FCC" w:rsidP="00721F16">
            <w:pPr>
              <w:spacing w:beforeAutospacing="1" w:afterAutospacing="1"/>
              <w:jc w:val="right"/>
            </w:pPr>
            <w:r>
              <w:rPr>
                <w:color w:val="000000"/>
              </w:rPr>
              <w:t>19,645</w:t>
            </w:r>
          </w:p>
        </w:tc>
        <w:tc>
          <w:tcPr>
            <w:tcW w:w="0" w:type="auto"/>
            <w:vAlign w:val="bottom"/>
          </w:tcPr>
          <w:p w14:paraId="5DFE5907" w14:textId="77777777" w:rsidR="009B0FCC" w:rsidRDefault="009B0FCC" w:rsidP="00721F16">
            <w:pPr>
              <w:spacing w:beforeAutospacing="1" w:afterAutospacing="1"/>
              <w:jc w:val="right"/>
            </w:pPr>
            <w:r>
              <w:rPr>
                <w:color w:val="000000"/>
              </w:rPr>
              <w:t>90,835</w:t>
            </w:r>
          </w:p>
        </w:tc>
        <w:tc>
          <w:tcPr>
            <w:tcW w:w="0" w:type="auto"/>
            <w:vAlign w:val="bottom"/>
          </w:tcPr>
          <w:p w14:paraId="01AA5B01" w14:textId="77777777" w:rsidR="009B0FCC" w:rsidRDefault="009B0FCC" w:rsidP="00721F16">
            <w:pPr>
              <w:spacing w:beforeAutospacing="1" w:afterAutospacing="1"/>
              <w:jc w:val="right"/>
            </w:pPr>
            <w:r>
              <w:rPr>
                <w:color w:val="000000"/>
              </w:rPr>
              <w:t>8,200</w:t>
            </w:r>
          </w:p>
        </w:tc>
        <w:tc>
          <w:tcPr>
            <w:tcW w:w="0" w:type="auto"/>
            <w:vAlign w:val="bottom"/>
          </w:tcPr>
          <w:p w14:paraId="7F71F9B2" w14:textId="77777777" w:rsidR="009B0FCC" w:rsidRDefault="009B0FCC" w:rsidP="00721F16">
            <w:pPr>
              <w:spacing w:beforeAutospacing="1" w:afterAutospacing="1"/>
              <w:jc w:val="right"/>
            </w:pPr>
            <w:r>
              <w:rPr>
                <w:color w:val="000000"/>
              </w:rPr>
              <w:t>24,595</w:t>
            </w:r>
          </w:p>
        </w:tc>
        <w:tc>
          <w:tcPr>
            <w:tcW w:w="0" w:type="auto"/>
            <w:vAlign w:val="bottom"/>
          </w:tcPr>
          <w:p w14:paraId="528514AE" w14:textId="77777777" w:rsidR="009B0FCC" w:rsidRDefault="009B0FCC" w:rsidP="00721F16">
            <w:pPr>
              <w:spacing w:beforeAutospacing="1" w:afterAutospacing="1"/>
              <w:jc w:val="right"/>
            </w:pPr>
            <w:r>
              <w:rPr>
                <w:color w:val="000000"/>
              </w:rPr>
              <w:t>60,980</w:t>
            </w:r>
          </w:p>
        </w:tc>
        <w:tc>
          <w:tcPr>
            <w:tcW w:w="0" w:type="auto"/>
            <w:vAlign w:val="bottom"/>
          </w:tcPr>
          <w:p w14:paraId="567735B2" w14:textId="77777777" w:rsidR="009B0FCC" w:rsidRDefault="009B0FCC" w:rsidP="00721F16">
            <w:pPr>
              <w:spacing w:beforeAutospacing="1" w:afterAutospacing="1"/>
              <w:jc w:val="right"/>
            </w:pPr>
            <w:r>
              <w:rPr>
                <w:color w:val="000000"/>
              </w:rPr>
              <w:t>44,235</w:t>
            </w:r>
          </w:p>
        </w:tc>
        <w:tc>
          <w:tcPr>
            <w:tcW w:w="0" w:type="auto"/>
            <w:vAlign w:val="bottom"/>
          </w:tcPr>
          <w:p w14:paraId="3653C961" w14:textId="77777777" w:rsidR="009B0FCC" w:rsidRDefault="009B0FCC" w:rsidP="00721F16">
            <w:pPr>
              <w:spacing w:beforeAutospacing="1" w:afterAutospacing="1"/>
              <w:jc w:val="right"/>
            </w:pPr>
            <w:r>
              <w:rPr>
                <w:color w:val="000000"/>
              </w:rPr>
              <w:t>138,010</w:t>
            </w:r>
          </w:p>
        </w:tc>
      </w:tr>
      <w:tr w:rsidR="009B0FCC" w14:paraId="59EB83E1" w14:textId="77777777" w:rsidTr="00721F16">
        <w:trPr>
          <w:cantSplit/>
        </w:trPr>
        <w:tc>
          <w:tcPr>
            <w:tcW w:w="0" w:type="auto"/>
          </w:tcPr>
          <w:p w14:paraId="7B05C56C" w14:textId="77777777" w:rsidR="009B0FCC" w:rsidRDefault="009B0FCC" w:rsidP="00721F16">
            <w:pPr>
              <w:spacing w:beforeAutospacing="1" w:afterAutospacing="1"/>
            </w:pPr>
            <w:r>
              <w:rPr>
                <w:color w:val="000000"/>
              </w:rPr>
              <w:lastRenderedPageBreak/>
              <w:t>Household has negative income, but none of the other housing problems</w:t>
            </w:r>
          </w:p>
        </w:tc>
        <w:tc>
          <w:tcPr>
            <w:tcW w:w="0" w:type="auto"/>
            <w:vAlign w:val="bottom"/>
          </w:tcPr>
          <w:p w14:paraId="2773BE31" w14:textId="77777777" w:rsidR="009B0FCC" w:rsidRDefault="009B0FCC" w:rsidP="00721F16">
            <w:pPr>
              <w:spacing w:beforeAutospacing="1" w:afterAutospacing="1"/>
              <w:jc w:val="right"/>
            </w:pPr>
            <w:r>
              <w:rPr>
                <w:color w:val="000000"/>
              </w:rPr>
              <w:t>4,940</w:t>
            </w:r>
          </w:p>
        </w:tc>
        <w:tc>
          <w:tcPr>
            <w:tcW w:w="0" w:type="auto"/>
            <w:vAlign w:val="bottom"/>
          </w:tcPr>
          <w:p w14:paraId="1E541E51" w14:textId="77777777" w:rsidR="009B0FCC" w:rsidRDefault="009B0FCC" w:rsidP="00721F16">
            <w:pPr>
              <w:spacing w:beforeAutospacing="1" w:afterAutospacing="1"/>
              <w:jc w:val="right"/>
            </w:pPr>
            <w:r>
              <w:rPr>
                <w:color w:val="000000"/>
              </w:rPr>
              <w:t>0</w:t>
            </w:r>
          </w:p>
        </w:tc>
        <w:tc>
          <w:tcPr>
            <w:tcW w:w="0" w:type="auto"/>
            <w:vAlign w:val="bottom"/>
          </w:tcPr>
          <w:p w14:paraId="1C1BCBF7" w14:textId="77777777" w:rsidR="009B0FCC" w:rsidRDefault="009B0FCC" w:rsidP="00721F16">
            <w:pPr>
              <w:spacing w:beforeAutospacing="1" w:afterAutospacing="1"/>
              <w:jc w:val="right"/>
            </w:pPr>
            <w:r>
              <w:rPr>
                <w:color w:val="000000"/>
              </w:rPr>
              <w:t>0</w:t>
            </w:r>
          </w:p>
        </w:tc>
        <w:tc>
          <w:tcPr>
            <w:tcW w:w="0" w:type="auto"/>
            <w:vAlign w:val="bottom"/>
          </w:tcPr>
          <w:p w14:paraId="716C8198" w14:textId="77777777" w:rsidR="009B0FCC" w:rsidRDefault="009B0FCC" w:rsidP="00721F16">
            <w:pPr>
              <w:spacing w:beforeAutospacing="1" w:afterAutospacing="1"/>
              <w:jc w:val="right"/>
            </w:pPr>
            <w:r>
              <w:rPr>
                <w:color w:val="000000"/>
              </w:rPr>
              <w:t>0</w:t>
            </w:r>
          </w:p>
        </w:tc>
        <w:tc>
          <w:tcPr>
            <w:tcW w:w="0" w:type="auto"/>
            <w:vAlign w:val="bottom"/>
          </w:tcPr>
          <w:p w14:paraId="6AB48D44" w14:textId="77777777" w:rsidR="009B0FCC" w:rsidRDefault="009B0FCC" w:rsidP="00721F16">
            <w:pPr>
              <w:spacing w:beforeAutospacing="1" w:afterAutospacing="1"/>
              <w:jc w:val="right"/>
            </w:pPr>
            <w:r>
              <w:rPr>
                <w:color w:val="000000"/>
              </w:rPr>
              <w:t>4,940</w:t>
            </w:r>
          </w:p>
        </w:tc>
        <w:tc>
          <w:tcPr>
            <w:tcW w:w="0" w:type="auto"/>
            <w:vAlign w:val="bottom"/>
          </w:tcPr>
          <w:p w14:paraId="2B9C5D05" w14:textId="77777777" w:rsidR="009B0FCC" w:rsidRDefault="009B0FCC" w:rsidP="00721F16">
            <w:pPr>
              <w:spacing w:beforeAutospacing="1" w:afterAutospacing="1"/>
              <w:jc w:val="right"/>
            </w:pPr>
            <w:r>
              <w:rPr>
                <w:color w:val="000000"/>
              </w:rPr>
              <w:t>4,385</w:t>
            </w:r>
          </w:p>
        </w:tc>
        <w:tc>
          <w:tcPr>
            <w:tcW w:w="0" w:type="auto"/>
            <w:vAlign w:val="bottom"/>
          </w:tcPr>
          <w:p w14:paraId="28A95133" w14:textId="77777777" w:rsidR="009B0FCC" w:rsidRDefault="009B0FCC" w:rsidP="00721F16">
            <w:pPr>
              <w:spacing w:beforeAutospacing="1" w:afterAutospacing="1"/>
              <w:jc w:val="right"/>
            </w:pPr>
            <w:r>
              <w:rPr>
                <w:color w:val="000000"/>
              </w:rPr>
              <w:t>0</w:t>
            </w:r>
          </w:p>
        </w:tc>
        <w:tc>
          <w:tcPr>
            <w:tcW w:w="0" w:type="auto"/>
            <w:vAlign w:val="bottom"/>
          </w:tcPr>
          <w:p w14:paraId="029CD6D7" w14:textId="77777777" w:rsidR="009B0FCC" w:rsidRDefault="009B0FCC" w:rsidP="00721F16">
            <w:pPr>
              <w:spacing w:beforeAutospacing="1" w:afterAutospacing="1"/>
              <w:jc w:val="right"/>
            </w:pPr>
            <w:r>
              <w:rPr>
                <w:color w:val="000000"/>
              </w:rPr>
              <w:t>0</w:t>
            </w:r>
          </w:p>
        </w:tc>
        <w:tc>
          <w:tcPr>
            <w:tcW w:w="0" w:type="auto"/>
            <w:vAlign w:val="bottom"/>
          </w:tcPr>
          <w:p w14:paraId="55EAAA41" w14:textId="77777777" w:rsidR="009B0FCC" w:rsidRDefault="009B0FCC" w:rsidP="00721F16">
            <w:pPr>
              <w:spacing w:beforeAutospacing="1" w:afterAutospacing="1"/>
              <w:jc w:val="right"/>
            </w:pPr>
            <w:r>
              <w:rPr>
                <w:color w:val="000000"/>
              </w:rPr>
              <w:t>0</w:t>
            </w:r>
          </w:p>
        </w:tc>
        <w:tc>
          <w:tcPr>
            <w:tcW w:w="0" w:type="auto"/>
            <w:vAlign w:val="bottom"/>
          </w:tcPr>
          <w:p w14:paraId="269269A4" w14:textId="77777777" w:rsidR="009B0FCC" w:rsidRDefault="009B0FCC" w:rsidP="00721F16">
            <w:pPr>
              <w:spacing w:beforeAutospacing="1" w:afterAutospacing="1"/>
              <w:jc w:val="right"/>
            </w:pPr>
            <w:r>
              <w:rPr>
                <w:color w:val="000000"/>
              </w:rPr>
              <w:t>4,385</w:t>
            </w:r>
          </w:p>
        </w:tc>
      </w:tr>
    </w:tbl>
    <w:p w14:paraId="3B2F3DA2" w14:textId="77777777" w:rsidR="009B0FCC" w:rsidRDefault="009B0FCC" w:rsidP="009B0FCC">
      <w:pPr>
        <w:pStyle w:val="Caption"/>
        <w:jc w:val="center"/>
        <w:rPr>
          <w:rFonts w:asciiTheme="minorHAnsi" w:hAnsiTheme="minorHAnsi"/>
        </w:rPr>
      </w:pPr>
      <w:bookmarkStart w:id="14" w:name="_Toc307833510"/>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Housing Problems 2</w:t>
      </w:r>
      <w:bookmarkEnd w:id="14"/>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9B0FCC" w14:paraId="568CAF78" w14:textId="77777777" w:rsidTr="00721F16">
        <w:trPr>
          <w:cantSplit/>
        </w:trPr>
        <w:tc>
          <w:tcPr>
            <w:tcW w:w="1080" w:type="dxa"/>
          </w:tcPr>
          <w:p w14:paraId="1E5C4319" w14:textId="77777777" w:rsidR="009B0FCC" w:rsidRDefault="009B0FCC" w:rsidP="00721F16">
            <w:pPr>
              <w:spacing w:after="0" w:line="240" w:lineRule="auto"/>
              <w:rPr>
                <w:sz w:val="16"/>
                <w:szCs w:val="16"/>
              </w:rPr>
            </w:pPr>
            <w:r>
              <w:rPr>
                <w:b/>
                <w:bCs/>
                <w:sz w:val="16"/>
                <w:szCs w:val="16"/>
              </w:rPr>
              <w:t>Data Source:</w:t>
            </w:r>
          </w:p>
        </w:tc>
        <w:tc>
          <w:tcPr>
            <w:tcW w:w="12110" w:type="dxa"/>
          </w:tcPr>
          <w:p w14:paraId="5486E85A" w14:textId="77777777" w:rsidR="009B0FCC" w:rsidRDefault="009B0FCC" w:rsidP="00721F16">
            <w:pPr>
              <w:spacing w:beforeAutospacing="1" w:afterAutospacing="1"/>
              <w:rPr>
                <w:sz w:val="16"/>
                <w:szCs w:val="16"/>
              </w:rPr>
            </w:pPr>
            <w:r>
              <w:rPr>
                <w:sz w:val="16"/>
                <w:szCs w:val="16"/>
              </w:rPr>
              <w:t>2016-2020 CHAS</w:t>
            </w:r>
          </w:p>
        </w:tc>
      </w:tr>
    </w:tbl>
    <w:p w14:paraId="6E346236" w14:textId="77777777" w:rsidR="009B0FCC" w:rsidRDefault="009B0FCC" w:rsidP="009B0FCC">
      <w:pPr>
        <w:spacing w:after="0" w:line="240" w:lineRule="auto"/>
        <w:rPr>
          <w:vanish/>
        </w:rPr>
      </w:pPr>
    </w:p>
    <w:p w14:paraId="6AA8A6BA" w14:textId="77777777" w:rsidR="009B0FCC" w:rsidRDefault="009B0FCC" w:rsidP="009B0FCC">
      <w:pPr>
        <w:spacing w:after="0" w:line="240" w:lineRule="auto"/>
        <w:rPr>
          <w:b/>
          <w:bCs/>
          <w:vanish/>
          <w:sz w:val="16"/>
          <w:szCs w:val="16"/>
        </w:rPr>
      </w:pPr>
    </w:p>
    <w:p w14:paraId="63112A2D" w14:textId="77777777" w:rsidR="009B0FCC" w:rsidRDefault="009B0FCC" w:rsidP="009B0FCC">
      <w:pPr>
        <w:rPr>
          <w:rFonts w:cs="Arial"/>
          <w:sz w:val="16"/>
          <w:szCs w:val="16"/>
        </w:rPr>
      </w:pPr>
    </w:p>
    <w:p w14:paraId="248BDCD0" w14:textId="77777777" w:rsidR="009B0FCC" w:rsidRDefault="009B0FCC" w:rsidP="009B0FCC">
      <w:pPr>
        <w:keepNext/>
        <w:widowControl w:val="0"/>
        <w:rPr>
          <w:sz w:val="24"/>
          <w:szCs w:val="24"/>
        </w:rPr>
      </w:pPr>
      <w:r>
        <w:rPr>
          <w:sz w:val="24"/>
          <w:szCs w:val="24"/>
        </w:rPr>
        <w:t xml:space="preserve">3. </w:t>
      </w:r>
      <w:r>
        <w:rPr>
          <w:bCs/>
          <w:sz w:val="24"/>
          <w:szCs w:val="24"/>
        </w:rPr>
        <w:t>Cost Burden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2"/>
        <w:gridCol w:w="966"/>
        <w:gridCol w:w="966"/>
        <w:gridCol w:w="966"/>
        <w:gridCol w:w="1081"/>
        <w:gridCol w:w="966"/>
        <w:gridCol w:w="966"/>
        <w:gridCol w:w="966"/>
        <w:gridCol w:w="1081"/>
      </w:tblGrid>
      <w:tr w:rsidR="009B0FCC" w14:paraId="014831CE" w14:textId="77777777" w:rsidTr="00721F16">
        <w:trPr>
          <w:cantSplit/>
          <w:tblHeader/>
        </w:trPr>
        <w:tc>
          <w:tcPr>
            <w:tcW w:w="2432" w:type="dxa"/>
            <w:vMerge w:val="restart"/>
          </w:tcPr>
          <w:p w14:paraId="24A2D096" w14:textId="77777777" w:rsidR="009B0FCC" w:rsidRDefault="009B0FCC" w:rsidP="00721F16">
            <w:pPr>
              <w:keepNext/>
              <w:widowControl w:val="0"/>
              <w:spacing w:after="0" w:line="240" w:lineRule="auto"/>
              <w:jc w:val="center"/>
              <w:rPr>
                <w:sz w:val="20"/>
                <w:szCs w:val="20"/>
              </w:rPr>
            </w:pPr>
          </w:p>
        </w:tc>
        <w:tc>
          <w:tcPr>
            <w:tcW w:w="5372" w:type="dxa"/>
            <w:gridSpan w:val="4"/>
          </w:tcPr>
          <w:p w14:paraId="1528C6BD" w14:textId="77777777" w:rsidR="009B0FCC" w:rsidRDefault="009B0FCC" w:rsidP="00721F16">
            <w:pPr>
              <w:keepNext/>
              <w:widowControl w:val="0"/>
              <w:spacing w:after="0" w:line="240" w:lineRule="auto"/>
              <w:jc w:val="center"/>
              <w:rPr>
                <w:sz w:val="20"/>
                <w:szCs w:val="20"/>
              </w:rPr>
            </w:pPr>
            <w:r>
              <w:rPr>
                <w:b/>
                <w:bCs/>
                <w:sz w:val="20"/>
                <w:szCs w:val="20"/>
              </w:rPr>
              <w:t>Renter</w:t>
            </w:r>
          </w:p>
        </w:tc>
        <w:tc>
          <w:tcPr>
            <w:tcW w:w="5372" w:type="dxa"/>
            <w:gridSpan w:val="4"/>
          </w:tcPr>
          <w:p w14:paraId="585CF5A2" w14:textId="77777777" w:rsidR="009B0FCC" w:rsidRDefault="009B0FCC" w:rsidP="00721F16">
            <w:pPr>
              <w:keepNext/>
              <w:widowControl w:val="0"/>
              <w:spacing w:after="0" w:line="240" w:lineRule="auto"/>
              <w:jc w:val="center"/>
              <w:rPr>
                <w:sz w:val="20"/>
                <w:szCs w:val="20"/>
              </w:rPr>
            </w:pPr>
            <w:r>
              <w:rPr>
                <w:b/>
                <w:bCs/>
                <w:sz w:val="20"/>
                <w:szCs w:val="20"/>
              </w:rPr>
              <w:t>Owner</w:t>
            </w:r>
          </w:p>
        </w:tc>
      </w:tr>
      <w:tr w:rsidR="009B0FCC" w14:paraId="390BE7BA" w14:textId="77777777" w:rsidTr="00721F16">
        <w:trPr>
          <w:cantSplit/>
          <w:tblHeader/>
        </w:trPr>
        <w:tc>
          <w:tcPr>
            <w:tcW w:w="2432" w:type="dxa"/>
            <w:vMerge/>
          </w:tcPr>
          <w:p w14:paraId="49AB592B" w14:textId="77777777" w:rsidR="009B0FCC" w:rsidRDefault="009B0FCC" w:rsidP="00721F16">
            <w:pPr>
              <w:keepNext/>
              <w:widowControl w:val="0"/>
              <w:spacing w:after="0" w:line="240" w:lineRule="auto"/>
              <w:rPr>
                <w:sz w:val="20"/>
                <w:szCs w:val="20"/>
              </w:rPr>
            </w:pPr>
          </w:p>
        </w:tc>
        <w:tc>
          <w:tcPr>
            <w:tcW w:w="1253" w:type="dxa"/>
          </w:tcPr>
          <w:p w14:paraId="4D889C57"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254" w:type="dxa"/>
          </w:tcPr>
          <w:p w14:paraId="0CE2931F"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254" w:type="dxa"/>
          </w:tcPr>
          <w:p w14:paraId="6B32B3BF"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611" w:type="dxa"/>
          </w:tcPr>
          <w:p w14:paraId="13269C07" w14:textId="77777777" w:rsidR="009B0FCC" w:rsidRDefault="009B0FCC" w:rsidP="00721F16">
            <w:pPr>
              <w:keepNext/>
              <w:widowControl w:val="0"/>
              <w:spacing w:after="0" w:line="240" w:lineRule="auto"/>
              <w:jc w:val="center"/>
              <w:rPr>
                <w:sz w:val="20"/>
                <w:szCs w:val="20"/>
              </w:rPr>
            </w:pPr>
            <w:r>
              <w:rPr>
                <w:b/>
                <w:sz w:val="20"/>
                <w:szCs w:val="20"/>
              </w:rPr>
              <w:t>Total</w:t>
            </w:r>
          </w:p>
        </w:tc>
        <w:tc>
          <w:tcPr>
            <w:tcW w:w="1253" w:type="dxa"/>
          </w:tcPr>
          <w:p w14:paraId="4B3C72E9"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254" w:type="dxa"/>
          </w:tcPr>
          <w:p w14:paraId="69114197"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254" w:type="dxa"/>
          </w:tcPr>
          <w:p w14:paraId="560E1BBD"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611" w:type="dxa"/>
          </w:tcPr>
          <w:p w14:paraId="764B1259" w14:textId="77777777" w:rsidR="009B0FCC" w:rsidRDefault="009B0FCC" w:rsidP="00721F16">
            <w:pPr>
              <w:keepNext/>
              <w:widowControl w:val="0"/>
              <w:spacing w:after="0" w:line="240" w:lineRule="auto"/>
              <w:jc w:val="center"/>
              <w:rPr>
                <w:sz w:val="20"/>
                <w:szCs w:val="20"/>
              </w:rPr>
            </w:pPr>
            <w:r>
              <w:rPr>
                <w:b/>
                <w:sz w:val="20"/>
                <w:szCs w:val="20"/>
              </w:rPr>
              <w:t>Total</w:t>
            </w:r>
          </w:p>
        </w:tc>
      </w:tr>
      <w:tr w:rsidR="009B0FCC" w14:paraId="728E92D0" w14:textId="77777777" w:rsidTr="00721F16">
        <w:trPr>
          <w:cantSplit/>
        </w:trPr>
        <w:tc>
          <w:tcPr>
            <w:tcW w:w="13176" w:type="dxa"/>
            <w:gridSpan w:val="9"/>
          </w:tcPr>
          <w:p w14:paraId="18C5AD1B" w14:textId="77777777" w:rsidR="009B0FCC" w:rsidRDefault="009B0FCC" w:rsidP="00721F16">
            <w:pPr>
              <w:keepNext/>
              <w:widowControl w:val="0"/>
              <w:spacing w:after="0" w:line="240" w:lineRule="auto"/>
            </w:pPr>
            <w:r>
              <w:t>NUMBER OF HOUSEHOLDS</w:t>
            </w:r>
          </w:p>
        </w:tc>
      </w:tr>
      <w:tr w:rsidR="009B0FCC" w14:paraId="6F6A3CEC" w14:textId="77777777" w:rsidTr="00721F16">
        <w:trPr>
          <w:cantSplit/>
        </w:trPr>
        <w:tc>
          <w:tcPr>
            <w:tcW w:w="0" w:type="auto"/>
          </w:tcPr>
          <w:p w14:paraId="62A323A1" w14:textId="77777777" w:rsidR="009B0FCC" w:rsidRDefault="009B0FCC" w:rsidP="00721F16">
            <w:pPr>
              <w:spacing w:beforeAutospacing="1" w:afterAutospacing="1"/>
            </w:pPr>
            <w:r>
              <w:rPr>
                <w:color w:val="000000"/>
              </w:rPr>
              <w:t>Small Related</w:t>
            </w:r>
          </w:p>
        </w:tc>
        <w:tc>
          <w:tcPr>
            <w:tcW w:w="0" w:type="auto"/>
            <w:vAlign w:val="bottom"/>
          </w:tcPr>
          <w:p w14:paraId="279AD140" w14:textId="77777777" w:rsidR="009B0FCC" w:rsidRDefault="009B0FCC" w:rsidP="00721F16">
            <w:pPr>
              <w:spacing w:beforeAutospacing="1" w:afterAutospacing="1"/>
              <w:jc w:val="right"/>
            </w:pPr>
            <w:r>
              <w:rPr>
                <w:color w:val="000000"/>
              </w:rPr>
              <w:t>10,500</w:t>
            </w:r>
          </w:p>
        </w:tc>
        <w:tc>
          <w:tcPr>
            <w:tcW w:w="0" w:type="auto"/>
            <w:vAlign w:val="bottom"/>
          </w:tcPr>
          <w:p w14:paraId="795A3E17" w14:textId="77777777" w:rsidR="009B0FCC" w:rsidRDefault="009B0FCC" w:rsidP="00721F16">
            <w:pPr>
              <w:spacing w:beforeAutospacing="1" w:afterAutospacing="1"/>
              <w:jc w:val="right"/>
            </w:pPr>
            <w:r>
              <w:rPr>
                <w:color w:val="000000"/>
              </w:rPr>
              <w:t>10,415</w:t>
            </w:r>
          </w:p>
        </w:tc>
        <w:tc>
          <w:tcPr>
            <w:tcW w:w="0" w:type="auto"/>
            <w:vAlign w:val="bottom"/>
          </w:tcPr>
          <w:p w14:paraId="160D0141" w14:textId="77777777" w:rsidR="009B0FCC" w:rsidRDefault="009B0FCC" w:rsidP="00721F16">
            <w:pPr>
              <w:spacing w:beforeAutospacing="1" w:afterAutospacing="1"/>
              <w:jc w:val="right"/>
            </w:pPr>
            <w:r>
              <w:rPr>
                <w:color w:val="000000"/>
              </w:rPr>
              <w:t>6,355</w:t>
            </w:r>
          </w:p>
        </w:tc>
        <w:tc>
          <w:tcPr>
            <w:tcW w:w="0" w:type="auto"/>
            <w:vAlign w:val="bottom"/>
          </w:tcPr>
          <w:p w14:paraId="0BF5C8B3" w14:textId="77777777" w:rsidR="009B0FCC" w:rsidRDefault="009B0FCC" w:rsidP="00721F16">
            <w:pPr>
              <w:spacing w:beforeAutospacing="1" w:afterAutospacing="1"/>
              <w:jc w:val="right"/>
            </w:pPr>
            <w:r>
              <w:rPr>
                <w:color w:val="000000"/>
              </w:rPr>
              <w:t>27,270</w:t>
            </w:r>
          </w:p>
        </w:tc>
        <w:tc>
          <w:tcPr>
            <w:tcW w:w="0" w:type="auto"/>
            <w:vAlign w:val="bottom"/>
          </w:tcPr>
          <w:p w14:paraId="6F212356" w14:textId="77777777" w:rsidR="009B0FCC" w:rsidRDefault="009B0FCC" w:rsidP="00721F16">
            <w:pPr>
              <w:spacing w:beforeAutospacing="1" w:afterAutospacing="1"/>
              <w:jc w:val="right"/>
            </w:pPr>
            <w:r>
              <w:rPr>
                <w:color w:val="000000"/>
              </w:rPr>
              <w:t>3,965</w:t>
            </w:r>
          </w:p>
        </w:tc>
        <w:tc>
          <w:tcPr>
            <w:tcW w:w="0" w:type="auto"/>
            <w:vAlign w:val="bottom"/>
          </w:tcPr>
          <w:p w14:paraId="65558FCD" w14:textId="77777777" w:rsidR="009B0FCC" w:rsidRDefault="009B0FCC" w:rsidP="00721F16">
            <w:pPr>
              <w:spacing w:beforeAutospacing="1" w:afterAutospacing="1"/>
              <w:jc w:val="right"/>
            </w:pPr>
            <w:r>
              <w:rPr>
                <w:color w:val="000000"/>
              </w:rPr>
              <w:t>5,310</w:t>
            </w:r>
          </w:p>
        </w:tc>
        <w:tc>
          <w:tcPr>
            <w:tcW w:w="0" w:type="auto"/>
            <w:vAlign w:val="bottom"/>
          </w:tcPr>
          <w:p w14:paraId="1E7AAB87" w14:textId="77777777" w:rsidR="009B0FCC" w:rsidRDefault="009B0FCC" w:rsidP="00721F16">
            <w:pPr>
              <w:spacing w:beforeAutospacing="1" w:afterAutospacing="1"/>
              <w:jc w:val="right"/>
            </w:pPr>
            <w:r>
              <w:rPr>
                <w:color w:val="000000"/>
              </w:rPr>
              <w:t>8,645</w:t>
            </w:r>
          </w:p>
        </w:tc>
        <w:tc>
          <w:tcPr>
            <w:tcW w:w="0" w:type="auto"/>
            <w:vAlign w:val="bottom"/>
          </w:tcPr>
          <w:p w14:paraId="63131DC7" w14:textId="77777777" w:rsidR="009B0FCC" w:rsidRDefault="009B0FCC" w:rsidP="00721F16">
            <w:pPr>
              <w:spacing w:beforeAutospacing="1" w:afterAutospacing="1"/>
              <w:jc w:val="right"/>
            </w:pPr>
            <w:r>
              <w:rPr>
                <w:color w:val="000000"/>
              </w:rPr>
              <w:t>17,920</w:t>
            </w:r>
          </w:p>
        </w:tc>
      </w:tr>
      <w:tr w:rsidR="009B0FCC" w14:paraId="57685004" w14:textId="77777777" w:rsidTr="00721F16">
        <w:trPr>
          <w:cantSplit/>
        </w:trPr>
        <w:tc>
          <w:tcPr>
            <w:tcW w:w="0" w:type="auto"/>
          </w:tcPr>
          <w:p w14:paraId="59B01D93" w14:textId="77777777" w:rsidR="009B0FCC" w:rsidRDefault="009B0FCC" w:rsidP="00721F16">
            <w:pPr>
              <w:spacing w:beforeAutospacing="1" w:afterAutospacing="1"/>
            </w:pPr>
            <w:r>
              <w:rPr>
                <w:color w:val="000000"/>
              </w:rPr>
              <w:t>Large Related</w:t>
            </w:r>
          </w:p>
        </w:tc>
        <w:tc>
          <w:tcPr>
            <w:tcW w:w="0" w:type="auto"/>
            <w:vAlign w:val="bottom"/>
          </w:tcPr>
          <w:p w14:paraId="546B6359" w14:textId="77777777" w:rsidR="009B0FCC" w:rsidRDefault="009B0FCC" w:rsidP="00721F16">
            <w:pPr>
              <w:spacing w:beforeAutospacing="1" w:afterAutospacing="1"/>
              <w:jc w:val="right"/>
            </w:pPr>
            <w:r>
              <w:rPr>
                <w:color w:val="000000"/>
              </w:rPr>
              <w:t>2,060</w:t>
            </w:r>
          </w:p>
        </w:tc>
        <w:tc>
          <w:tcPr>
            <w:tcW w:w="0" w:type="auto"/>
            <w:vAlign w:val="bottom"/>
          </w:tcPr>
          <w:p w14:paraId="36CF2A18" w14:textId="77777777" w:rsidR="009B0FCC" w:rsidRDefault="009B0FCC" w:rsidP="00721F16">
            <w:pPr>
              <w:spacing w:beforeAutospacing="1" w:afterAutospacing="1"/>
              <w:jc w:val="right"/>
            </w:pPr>
            <w:r>
              <w:rPr>
                <w:color w:val="000000"/>
              </w:rPr>
              <w:t>2,340</w:t>
            </w:r>
          </w:p>
        </w:tc>
        <w:tc>
          <w:tcPr>
            <w:tcW w:w="0" w:type="auto"/>
            <w:vAlign w:val="bottom"/>
          </w:tcPr>
          <w:p w14:paraId="448EAF9D" w14:textId="77777777" w:rsidR="009B0FCC" w:rsidRDefault="009B0FCC" w:rsidP="00721F16">
            <w:pPr>
              <w:spacing w:beforeAutospacing="1" w:afterAutospacing="1"/>
              <w:jc w:val="right"/>
            </w:pPr>
            <w:r>
              <w:rPr>
                <w:color w:val="000000"/>
              </w:rPr>
              <w:t>1,725</w:t>
            </w:r>
          </w:p>
        </w:tc>
        <w:tc>
          <w:tcPr>
            <w:tcW w:w="0" w:type="auto"/>
            <w:vAlign w:val="bottom"/>
          </w:tcPr>
          <w:p w14:paraId="30F3EC28" w14:textId="77777777" w:rsidR="009B0FCC" w:rsidRDefault="009B0FCC" w:rsidP="00721F16">
            <w:pPr>
              <w:spacing w:beforeAutospacing="1" w:afterAutospacing="1"/>
              <w:jc w:val="right"/>
            </w:pPr>
            <w:r>
              <w:rPr>
                <w:color w:val="000000"/>
              </w:rPr>
              <w:t>6,125</w:t>
            </w:r>
          </w:p>
        </w:tc>
        <w:tc>
          <w:tcPr>
            <w:tcW w:w="0" w:type="auto"/>
            <w:vAlign w:val="bottom"/>
          </w:tcPr>
          <w:p w14:paraId="18B7975F" w14:textId="77777777" w:rsidR="009B0FCC" w:rsidRDefault="009B0FCC" w:rsidP="00721F16">
            <w:pPr>
              <w:spacing w:beforeAutospacing="1" w:afterAutospacing="1"/>
              <w:jc w:val="right"/>
            </w:pPr>
            <w:r>
              <w:rPr>
                <w:color w:val="000000"/>
              </w:rPr>
              <w:t>1,115</w:t>
            </w:r>
          </w:p>
        </w:tc>
        <w:tc>
          <w:tcPr>
            <w:tcW w:w="0" w:type="auto"/>
            <w:vAlign w:val="bottom"/>
          </w:tcPr>
          <w:p w14:paraId="5636CD02" w14:textId="77777777" w:rsidR="009B0FCC" w:rsidRDefault="009B0FCC" w:rsidP="00721F16">
            <w:pPr>
              <w:spacing w:beforeAutospacing="1" w:afterAutospacing="1"/>
              <w:jc w:val="right"/>
            </w:pPr>
            <w:r>
              <w:rPr>
                <w:color w:val="000000"/>
              </w:rPr>
              <w:t>1,950</w:t>
            </w:r>
          </w:p>
        </w:tc>
        <w:tc>
          <w:tcPr>
            <w:tcW w:w="0" w:type="auto"/>
            <w:vAlign w:val="bottom"/>
          </w:tcPr>
          <w:p w14:paraId="0F63BA18" w14:textId="77777777" w:rsidR="009B0FCC" w:rsidRDefault="009B0FCC" w:rsidP="00721F16">
            <w:pPr>
              <w:spacing w:beforeAutospacing="1" w:afterAutospacing="1"/>
              <w:jc w:val="right"/>
            </w:pPr>
            <w:r>
              <w:rPr>
                <w:color w:val="000000"/>
              </w:rPr>
              <w:t>3,010</w:t>
            </w:r>
          </w:p>
        </w:tc>
        <w:tc>
          <w:tcPr>
            <w:tcW w:w="0" w:type="auto"/>
            <w:vAlign w:val="bottom"/>
          </w:tcPr>
          <w:p w14:paraId="7FE6E190" w14:textId="77777777" w:rsidR="009B0FCC" w:rsidRDefault="009B0FCC" w:rsidP="00721F16">
            <w:pPr>
              <w:spacing w:beforeAutospacing="1" w:afterAutospacing="1"/>
              <w:jc w:val="right"/>
            </w:pPr>
            <w:r>
              <w:rPr>
                <w:color w:val="000000"/>
              </w:rPr>
              <w:t>6,075</w:t>
            </w:r>
          </w:p>
        </w:tc>
      </w:tr>
      <w:tr w:rsidR="009B0FCC" w14:paraId="1205DE55" w14:textId="77777777" w:rsidTr="00721F16">
        <w:trPr>
          <w:cantSplit/>
        </w:trPr>
        <w:tc>
          <w:tcPr>
            <w:tcW w:w="0" w:type="auto"/>
          </w:tcPr>
          <w:p w14:paraId="57D28949" w14:textId="77777777" w:rsidR="009B0FCC" w:rsidRDefault="009B0FCC" w:rsidP="00721F16">
            <w:pPr>
              <w:spacing w:beforeAutospacing="1" w:afterAutospacing="1"/>
            </w:pPr>
            <w:r>
              <w:rPr>
                <w:color w:val="000000"/>
              </w:rPr>
              <w:t>Elderly</w:t>
            </w:r>
          </w:p>
        </w:tc>
        <w:tc>
          <w:tcPr>
            <w:tcW w:w="0" w:type="auto"/>
            <w:vAlign w:val="bottom"/>
          </w:tcPr>
          <w:p w14:paraId="42E99B92" w14:textId="77777777" w:rsidR="009B0FCC" w:rsidRDefault="009B0FCC" w:rsidP="00721F16">
            <w:pPr>
              <w:spacing w:beforeAutospacing="1" w:afterAutospacing="1"/>
              <w:jc w:val="right"/>
            </w:pPr>
            <w:r>
              <w:rPr>
                <w:color w:val="000000"/>
              </w:rPr>
              <w:t>5,380</w:t>
            </w:r>
          </w:p>
        </w:tc>
        <w:tc>
          <w:tcPr>
            <w:tcW w:w="0" w:type="auto"/>
            <w:vAlign w:val="bottom"/>
          </w:tcPr>
          <w:p w14:paraId="17021904" w14:textId="77777777" w:rsidR="009B0FCC" w:rsidRDefault="009B0FCC" w:rsidP="00721F16">
            <w:pPr>
              <w:spacing w:beforeAutospacing="1" w:afterAutospacing="1"/>
              <w:jc w:val="right"/>
            </w:pPr>
            <w:r>
              <w:rPr>
                <w:color w:val="000000"/>
              </w:rPr>
              <w:t>4,810</w:t>
            </w:r>
          </w:p>
        </w:tc>
        <w:tc>
          <w:tcPr>
            <w:tcW w:w="0" w:type="auto"/>
            <w:vAlign w:val="bottom"/>
          </w:tcPr>
          <w:p w14:paraId="46867449" w14:textId="77777777" w:rsidR="009B0FCC" w:rsidRDefault="009B0FCC" w:rsidP="00721F16">
            <w:pPr>
              <w:spacing w:beforeAutospacing="1" w:afterAutospacing="1"/>
              <w:jc w:val="right"/>
            </w:pPr>
            <w:r>
              <w:rPr>
                <w:color w:val="000000"/>
              </w:rPr>
              <w:t>2,805</w:t>
            </w:r>
          </w:p>
        </w:tc>
        <w:tc>
          <w:tcPr>
            <w:tcW w:w="0" w:type="auto"/>
            <w:vAlign w:val="bottom"/>
          </w:tcPr>
          <w:p w14:paraId="2F27F973" w14:textId="77777777" w:rsidR="009B0FCC" w:rsidRDefault="009B0FCC" w:rsidP="00721F16">
            <w:pPr>
              <w:spacing w:beforeAutospacing="1" w:afterAutospacing="1"/>
              <w:jc w:val="right"/>
            </w:pPr>
            <w:r>
              <w:rPr>
                <w:color w:val="000000"/>
              </w:rPr>
              <w:t>12,995</w:t>
            </w:r>
          </w:p>
        </w:tc>
        <w:tc>
          <w:tcPr>
            <w:tcW w:w="0" w:type="auto"/>
            <w:vAlign w:val="bottom"/>
          </w:tcPr>
          <w:p w14:paraId="2B997DF4" w14:textId="77777777" w:rsidR="009B0FCC" w:rsidRDefault="009B0FCC" w:rsidP="00721F16">
            <w:pPr>
              <w:spacing w:beforeAutospacing="1" w:afterAutospacing="1"/>
              <w:jc w:val="right"/>
            </w:pPr>
            <w:r>
              <w:rPr>
                <w:color w:val="000000"/>
              </w:rPr>
              <w:t>8,840</w:t>
            </w:r>
          </w:p>
        </w:tc>
        <w:tc>
          <w:tcPr>
            <w:tcW w:w="0" w:type="auto"/>
            <w:vAlign w:val="bottom"/>
          </w:tcPr>
          <w:p w14:paraId="3A81D6ED" w14:textId="77777777" w:rsidR="009B0FCC" w:rsidRDefault="009B0FCC" w:rsidP="00721F16">
            <w:pPr>
              <w:spacing w:beforeAutospacing="1" w:afterAutospacing="1"/>
              <w:jc w:val="right"/>
            </w:pPr>
            <w:r>
              <w:rPr>
                <w:color w:val="000000"/>
              </w:rPr>
              <w:t>8,185</w:t>
            </w:r>
          </w:p>
        </w:tc>
        <w:tc>
          <w:tcPr>
            <w:tcW w:w="0" w:type="auto"/>
            <w:vAlign w:val="bottom"/>
          </w:tcPr>
          <w:p w14:paraId="221F2169" w14:textId="77777777" w:rsidR="009B0FCC" w:rsidRDefault="009B0FCC" w:rsidP="00721F16">
            <w:pPr>
              <w:spacing w:beforeAutospacing="1" w:afterAutospacing="1"/>
              <w:jc w:val="right"/>
            </w:pPr>
            <w:r>
              <w:rPr>
                <w:color w:val="000000"/>
              </w:rPr>
              <w:t>8,315</w:t>
            </w:r>
          </w:p>
        </w:tc>
        <w:tc>
          <w:tcPr>
            <w:tcW w:w="0" w:type="auto"/>
            <w:vAlign w:val="bottom"/>
          </w:tcPr>
          <w:p w14:paraId="1F516E6C" w14:textId="77777777" w:rsidR="009B0FCC" w:rsidRDefault="009B0FCC" w:rsidP="00721F16">
            <w:pPr>
              <w:spacing w:beforeAutospacing="1" w:afterAutospacing="1"/>
              <w:jc w:val="right"/>
            </w:pPr>
            <w:r>
              <w:rPr>
                <w:color w:val="000000"/>
              </w:rPr>
              <w:t>25,340</w:t>
            </w:r>
          </w:p>
        </w:tc>
      </w:tr>
      <w:tr w:rsidR="009B0FCC" w14:paraId="0FD902F3" w14:textId="77777777" w:rsidTr="00721F16">
        <w:trPr>
          <w:cantSplit/>
        </w:trPr>
        <w:tc>
          <w:tcPr>
            <w:tcW w:w="0" w:type="auto"/>
          </w:tcPr>
          <w:p w14:paraId="062F2618" w14:textId="77777777" w:rsidR="009B0FCC" w:rsidRDefault="009B0FCC" w:rsidP="00721F16">
            <w:pPr>
              <w:spacing w:beforeAutospacing="1" w:afterAutospacing="1"/>
            </w:pPr>
            <w:r>
              <w:rPr>
                <w:color w:val="000000"/>
              </w:rPr>
              <w:t>Other</w:t>
            </w:r>
          </w:p>
        </w:tc>
        <w:tc>
          <w:tcPr>
            <w:tcW w:w="0" w:type="auto"/>
            <w:vAlign w:val="bottom"/>
          </w:tcPr>
          <w:p w14:paraId="59D51792" w14:textId="77777777" w:rsidR="009B0FCC" w:rsidRDefault="009B0FCC" w:rsidP="00721F16">
            <w:pPr>
              <w:spacing w:beforeAutospacing="1" w:afterAutospacing="1"/>
              <w:jc w:val="right"/>
            </w:pPr>
            <w:r>
              <w:rPr>
                <w:color w:val="000000"/>
              </w:rPr>
              <w:t>12,750</w:t>
            </w:r>
          </w:p>
        </w:tc>
        <w:tc>
          <w:tcPr>
            <w:tcW w:w="0" w:type="auto"/>
            <w:vAlign w:val="bottom"/>
          </w:tcPr>
          <w:p w14:paraId="5EF6265C" w14:textId="77777777" w:rsidR="009B0FCC" w:rsidRDefault="009B0FCC" w:rsidP="00721F16">
            <w:pPr>
              <w:spacing w:beforeAutospacing="1" w:afterAutospacing="1"/>
              <w:jc w:val="right"/>
            </w:pPr>
            <w:r>
              <w:rPr>
                <w:color w:val="000000"/>
              </w:rPr>
              <w:t>8,610</w:t>
            </w:r>
          </w:p>
        </w:tc>
        <w:tc>
          <w:tcPr>
            <w:tcW w:w="0" w:type="auto"/>
            <w:vAlign w:val="bottom"/>
          </w:tcPr>
          <w:p w14:paraId="242A8DF6" w14:textId="77777777" w:rsidR="009B0FCC" w:rsidRDefault="009B0FCC" w:rsidP="00721F16">
            <w:pPr>
              <w:spacing w:beforeAutospacing="1" w:afterAutospacing="1"/>
              <w:jc w:val="right"/>
            </w:pPr>
            <w:r>
              <w:rPr>
                <w:color w:val="000000"/>
              </w:rPr>
              <w:t>5,455</w:t>
            </w:r>
          </w:p>
        </w:tc>
        <w:tc>
          <w:tcPr>
            <w:tcW w:w="0" w:type="auto"/>
            <w:vAlign w:val="bottom"/>
          </w:tcPr>
          <w:p w14:paraId="0F94D77C" w14:textId="77777777" w:rsidR="009B0FCC" w:rsidRDefault="009B0FCC" w:rsidP="00721F16">
            <w:pPr>
              <w:spacing w:beforeAutospacing="1" w:afterAutospacing="1"/>
              <w:jc w:val="right"/>
            </w:pPr>
            <w:r>
              <w:rPr>
                <w:color w:val="000000"/>
              </w:rPr>
              <w:t>26,815</w:t>
            </w:r>
          </w:p>
        </w:tc>
        <w:tc>
          <w:tcPr>
            <w:tcW w:w="0" w:type="auto"/>
            <w:vAlign w:val="bottom"/>
          </w:tcPr>
          <w:p w14:paraId="5C1B5D9A" w14:textId="77777777" w:rsidR="009B0FCC" w:rsidRDefault="009B0FCC" w:rsidP="00721F16">
            <w:pPr>
              <w:spacing w:beforeAutospacing="1" w:afterAutospacing="1"/>
              <w:jc w:val="right"/>
            </w:pPr>
            <w:r>
              <w:rPr>
                <w:color w:val="000000"/>
              </w:rPr>
              <w:t>3,920</w:t>
            </w:r>
          </w:p>
        </w:tc>
        <w:tc>
          <w:tcPr>
            <w:tcW w:w="0" w:type="auto"/>
            <w:vAlign w:val="bottom"/>
          </w:tcPr>
          <w:p w14:paraId="20E2C792" w14:textId="77777777" w:rsidR="009B0FCC" w:rsidRDefault="009B0FCC" w:rsidP="00721F16">
            <w:pPr>
              <w:spacing w:beforeAutospacing="1" w:afterAutospacing="1"/>
              <w:jc w:val="right"/>
            </w:pPr>
            <w:r>
              <w:rPr>
                <w:color w:val="000000"/>
              </w:rPr>
              <w:t>3,215</w:t>
            </w:r>
          </w:p>
        </w:tc>
        <w:tc>
          <w:tcPr>
            <w:tcW w:w="0" w:type="auto"/>
            <w:vAlign w:val="bottom"/>
          </w:tcPr>
          <w:p w14:paraId="370EF1B9" w14:textId="77777777" w:rsidR="009B0FCC" w:rsidRDefault="009B0FCC" w:rsidP="00721F16">
            <w:pPr>
              <w:spacing w:beforeAutospacing="1" w:afterAutospacing="1"/>
              <w:jc w:val="right"/>
            </w:pPr>
            <w:r>
              <w:rPr>
                <w:color w:val="000000"/>
              </w:rPr>
              <w:t>5,245</w:t>
            </w:r>
          </w:p>
        </w:tc>
        <w:tc>
          <w:tcPr>
            <w:tcW w:w="0" w:type="auto"/>
            <w:vAlign w:val="bottom"/>
          </w:tcPr>
          <w:p w14:paraId="535C1D33" w14:textId="77777777" w:rsidR="009B0FCC" w:rsidRDefault="009B0FCC" w:rsidP="00721F16">
            <w:pPr>
              <w:spacing w:beforeAutospacing="1" w:afterAutospacing="1"/>
              <w:jc w:val="right"/>
            </w:pPr>
            <w:r>
              <w:rPr>
                <w:color w:val="000000"/>
              </w:rPr>
              <w:t>12,380</w:t>
            </w:r>
          </w:p>
        </w:tc>
      </w:tr>
      <w:tr w:rsidR="009B0FCC" w14:paraId="2B1B2118" w14:textId="77777777" w:rsidTr="00721F16">
        <w:trPr>
          <w:cantSplit/>
        </w:trPr>
        <w:tc>
          <w:tcPr>
            <w:tcW w:w="0" w:type="auto"/>
          </w:tcPr>
          <w:p w14:paraId="1352DA74" w14:textId="77777777" w:rsidR="009B0FCC" w:rsidRDefault="009B0FCC" w:rsidP="00721F16">
            <w:pPr>
              <w:spacing w:beforeAutospacing="1" w:afterAutospacing="1"/>
            </w:pPr>
            <w:r>
              <w:rPr>
                <w:color w:val="000000"/>
              </w:rPr>
              <w:t>Total need by income</w:t>
            </w:r>
          </w:p>
        </w:tc>
        <w:tc>
          <w:tcPr>
            <w:tcW w:w="0" w:type="auto"/>
          </w:tcPr>
          <w:p w14:paraId="6C935421" w14:textId="77777777" w:rsidR="009B0FCC" w:rsidRDefault="009B0FCC" w:rsidP="00721F16">
            <w:pPr>
              <w:spacing w:beforeAutospacing="1" w:afterAutospacing="1"/>
              <w:jc w:val="right"/>
            </w:pPr>
            <w:r>
              <w:rPr>
                <w:color w:val="000000"/>
              </w:rPr>
              <w:t>30,690</w:t>
            </w:r>
          </w:p>
        </w:tc>
        <w:tc>
          <w:tcPr>
            <w:tcW w:w="0" w:type="auto"/>
          </w:tcPr>
          <w:p w14:paraId="6B0F5478" w14:textId="77777777" w:rsidR="009B0FCC" w:rsidRDefault="009B0FCC" w:rsidP="00721F16">
            <w:pPr>
              <w:spacing w:beforeAutospacing="1" w:afterAutospacing="1"/>
              <w:jc w:val="right"/>
            </w:pPr>
            <w:r>
              <w:rPr>
                <w:color w:val="000000"/>
              </w:rPr>
              <w:t>26,175</w:t>
            </w:r>
          </w:p>
        </w:tc>
        <w:tc>
          <w:tcPr>
            <w:tcW w:w="0" w:type="auto"/>
          </w:tcPr>
          <w:p w14:paraId="462881BF" w14:textId="77777777" w:rsidR="009B0FCC" w:rsidRDefault="009B0FCC" w:rsidP="00721F16">
            <w:pPr>
              <w:spacing w:beforeAutospacing="1" w:afterAutospacing="1"/>
              <w:jc w:val="right"/>
            </w:pPr>
            <w:r>
              <w:rPr>
                <w:color w:val="000000"/>
              </w:rPr>
              <w:t>16,340</w:t>
            </w:r>
          </w:p>
        </w:tc>
        <w:tc>
          <w:tcPr>
            <w:tcW w:w="0" w:type="auto"/>
          </w:tcPr>
          <w:p w14:paraId="1B06437F" w14:textId="77777777" w:rsidR="009B0FCC" w:rsidRDefault="009B0FCC" w:rsidP="00721F16">
            <w:pPr>
              <w:spacing w:beforeAutospacing="1" w:afterAutospacing="1"/>
              <w:jc w:val="right"/>
            </w:pPr>
            <w:r>
              <w:rPr>
                <w:color w:val="000000"/>
              </w:rPr>
              <w:t>73,205</w:t>
            </w:r>
          </w:p>
        </w:tc>
        <w:tc>
          <w:tcPr>
            <w:tcW w:w="0" w:type="auto"/>
          </w:tcPr>
          <w:p w14:paraId="5A582113" w14:textId="77777777" w:rsidR="009B0FCC" w:rsidRDefault="009B0FCC" w:rsidP="00721F16">
            <w:pPr>
              <w:spacing w:beforeAutospacing="1" w:afterAutospacing="1"/>
              <w:jc w:val="right"/>
            </w:pPr>
            <w:r>
              <w:rPr>
                <w:color w:val="000000"/>
              </w:rPr>
              <w:t>17,840</w:t>
            </w:r>
          </w:p>
        </w:tc>
        <w:tc>
          <w:tcPr>
            <w:tcW w:w="0" w:type="auto"/>
          </w:tcPr>
          <w:p w14:paraId="01F9A9C0" w14:textId="77777777" w:rsidR="009B0FCC" w:rsidRDefault="009B0FCC" w:rsidP="00721F16">
            <w:pPr>
              <w:spacing w:beforeAutospacing="1" w:afterAutospacing="1"/>
              <w:jc w:val="right"/>
            </w:pPr>
            <w:r>
              <w:rPr>
                <w:color w:val="000000"/>
              </w:rPr>
              <w:t>18,660</w:t>
            </w:r>
          </w:p>
        </w:tc>
        <w:tc>
          <w:tcPr>
            <w:tcW w:w="0" w:type="auto"/>
          </w:tcPr>
          <w:p w14:paraId="61F1E80A" w14:textId="77777777" w:rsidR="009B0FCC" w:rsidRDefault="009B0FCC" w:rsidP="00721F16">
            <w:pPr>
              <w:spacing w:beforeAutospacing="1" w:afterAutospacing="1"/>
              <w:jc w:val="right"/>
            </w:pPr>
            <w:r>
              <w:rPr>
                <w:color w:val="000000"/>
              </w:rPr>
              <w:t>25,215</w:t>
            </w:r>
          </w:p>
        </w:tc>
        <w:tc>
          <w:tcPr>
            <w:tcW w:w="0" w:type="auto"/>
          </w:tcPr>
          <w:p w14:paraId="185FB7CE" w14:textId="77777777" w:rsidR="009B0FCC" w:rsidRDefault="009B0FCC" w:rsidP="00721F16">
            <w:pPr>
              <w:spacing w:beforeAutospacing="1" w:afterAutospacing="1"/>
              <w:jc w:val="right"/>
            </w:pPr>
            <w:r>
              <w:rPr>
                <w:color w:val="000000"/>
              </w:rPr>
              <w:t>61,715</w:t>
            </w:r>
          </w:p>
        </w:tc>
      </w:tr>
    </w:tbl>
    <w:p w14:paraId="4AD16598" w14:textId="77777777" w:rsidR="009B0FCC" w:rsidRDefault="009B0FCC" w:rsidP="009B0FCC">
      <w:pPr>
        <w:pStyle w:val="Caption"/>
        <w:jc w:val="center"/>
        <w:rPr>
          <w:rFonts w:asciiTheme="minorHAnsi" w:hAnsiTheme="minorHAnsi"/>
        </w:rPr>
      </w:pPr>
      <w:bookmarkStart w:id="15" w:name="_Toc307833513"/>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Cost Burden &gt; 30%</w:t>
      </w:r>
      <w:bookmarkEnd w:id="15"/>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9B0FCC" w14:paraId="5BA3766C" w14:textId="77777777" w:rsidTr="00721F16">
        <w:trPr>
          <w:cantSplit/>
        </w:trPr>
        <w:tc>
          <w:tcPr>
            <w:tcW w:w="1080" w:type="dxa"/>
          </w:tcPr>
          <w:p w14:paraId="5E3343D2" w14:textId="77777777" w:rsidR="009B0FCC" w:rsidRDefault="009B0FCC" w:rsidP="00721F16">
            <w:pPr>
              <w:spacing w:after="0" w:line="240" w:lineRule="auto"/>
              <w:rPr>
                <w:sz w:val="16"/>
                <w:szCs w:val="16"/>
              </w:rPr>
            </w:pPr>
            <w:r>
              <w:rPr>
                <w:b/>
                <w:bCs/>
                <w:sz w:val="16"/>
                <w:szCs w:val="16"/>
              </w:rPr>
              <w:t>Data Source:</w:t>
            </w:r>
          </w:p>
        </w:tc>
        <w:tc>
          <w:tcPr>
            <w:tcW w:w="12110" w:type="dxa"/>
          </w:tcPr>
          <w:p w14:paraId="6FBDB3B1" w14:textId="77777777" w:rsidR="009B0FCC" w:rsidRDefault="009B0FCC" w:rsidP="00721F16">
            <w:pPr>
              <w:spacing w:beforeAutospacing="1" w:afterAutospacing="1"/>
              <w:rPr>
                <w:sz w:val="16"/>
                <w:szCs w:val="16"/>
              </w:rPr>
            </w:pPr>
            <w:r>
              <w:rPr>
                <w:sz w:val="16"/>
                <w:szCs w:val="16"/>
              </w:rPr>
              <w:t>2016-2020 CHAS</w:t>
            </w:r>
          </w:p>
        </w:tc>
      </w:tr>
    </w:tbl>
    <w:p w14:paraId="29030772" w14:textId="77777777" w:rsidR="009B0FCC" w:rsidRDefault="009B0FCC" w:rsidP="009B0FCC">
      <w:pPr>
        <w:spacing w:after="0" w:line="240" w:lineRule="auto"/>
        <w:rPr>
          <w:vanish/>
        </w:rPr>
      </w:pPr>
    </w:p>
    <w:p w14:paraId="74415DB4" w14:textId="77777777" w:rsidR="009B0FCC" w:rsidRDefault="009B0FCC" w:rsidP="009B0FCC">
      <w:pPr>
        <w:spacing w:after="0" w:line="240" w:lineRule="auto"/>
        <w:rPr>
          <w:b/>
          <w:bCs/>
          <w:vanish/>
          <w:sz w:val="16"/>
          <w:szCs w:val="16"/>
        </w:rPr>
      </w:pPr>
    </w:p>
    <w:p w14:paraId="0AB4B290" w14:textId="77777777" w:rsidR="009B0FCC" w:rsidRDefault="009B0FCC" w:rsidP="009B0FCC"/>
    <w:p w14:paraId="5132EEA4" w14:textId="77777777" w:rsidR="009B0FCC" w:rsidRDefault="009B0FCC" w:rsidP="009B0FCC">
      <w:pPr>
        <w:keepNext/>
        <w:widowControl w:val="0"/>
        <w:rPr>
          <w:sz w:val="24"/>
          <w:szCs w:val="24"/>
        </w:rPr>
      </w:pPr>
      <w:r>
        <w:rPr>
          <w:sz w:val="24"/>
          <w:szCs w:val="24"/>
        </w:rPr>
        <w:t xml:space="preserve">4. </w:t>
      </w:r>
      <w:r>
        <w:rPr>
          <w:bCs/>
          <w:sz w:val="24"/>
          <w:szCs w:val="24"/>
        </w:rPr>
        <w:t>Cost Burden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986"/>
        <w:gridCol w:w="917"/>
        <w:gridCol w:w="917"/>
        <w:gridCol w:w="1120"/>
        <w:gridCol w:w="987"/>
        <w:gridCol w:w="917"/>
        <w:gridCol w:w="917"/>
        <w:gridCol w:w="1120"/>
      </w:tblGrid>
      <w:tr w:rsidR="009B0FCC" w14:paraId="6210A543" w14:textId="77777777" w:rsidTr="00721F16">
        <w:trPr>
          <w:cantSplit/>
          <w:tblHeader/>
        </w:trPr>
        <w:tc>
          <w:tcPr>
            <w:tcW w:w="2432" w:type="dxa"/>
            <w:vMerge w:val="restart"/>
          </w:tcPr>
          <w:p w14:paraId="29F9E97D" w14:textId="77777777" w:rsidR="009B0FCC" w:rsidRDefault="009B0FCC" w:rsidP="00721F16">
            <w:pPr>
              <w:keepNext/>
              <w:widowControl w:val="0"/>
              <w:spacing w:after="0" w:line="240" w:lineRule="auto"/>
              <w:jc w:val="center"/>
              <w:rPr>
                <w:sz w:val="20"/>
                <w:szCs w:val="20"/>
              </w:rPr>
            </w:pPr>
          </w:p>
        </w:tc>
        <w:tc>
          <w:tcPr>
            <w:tcW w:w="5372" w:type="dxa"/>
            <w:gridSpan w:val="4"/>
          </w:tcPr>
          <w:p w14:paraId="737F2711" w14:textId="77777777" w:rsidR="009B0FCC" w:rsidRDefault="009B0FCC" w:rsidP="00721F16">
            <w:pPr>
              <w:keepNext/>
              <w:widowControl w:val="0"/>
              <w:spacing w:after="0" w:line="240" w:lineRule="auto"/>
              <w:jc w:val="center"/>
              <w:rPr>
                <w:sz w:val="20"/>
                <w:szCs w:val="20"/>
              </w:rPr>
            </w:pPr>
            <w:r>
              <w:rPr>
                <w:b/>
                <w:bCs/>
                <w:sz w:val="20"/>
                <w:szCs w:val="20"/>
              </w:rPr>
              <w:t>Renter</w:t>
            </w:r>
          </w:p>
        </w:tc>
        <w:tc>
          <w:tcPr>
            <w:tcW w:w="5372" w:type="dxa"/>
            <w:gridSpan w:val="4"/>
          </w:tcPr>
          <w:p w14:paraId="700A9C07" w14:textId="77777777" w:rsidR="009B0FCC" w:rsidRDefault="009B0FCC" w:rsidP="00721F16">
            <w:pPr>
              <w:keepNext/>
              <w:widowControl w:val="0"/>
              <w:spacing w:after="0" w:line="240" w:lineRule="auto"/>
              <w:jc w:val="center"/>
              <w:rPr>
                <w:sz w:val="20"/>
                <w:szCs w:val="20"/>
              </w:rPr>
            </w:pPr>
            <w:r>
              <w:rPr>
                <w:b/>
                <w:bCs/>
                <w:sz w:val="20"/>
                <w:szCs w:val="20"/>
              </w:rPr>
              <w:t>Owner</w:t>
            </w:r>
          </w:p>
        </w:tc>
      </w:tr>
      <w:tr w:rsidR="009B0FCC" w14:paraId="09926577" w14:textId="77777777" w:rsidTr="00721F16">
        <w:trPr>
          <w:cantSplit/>
          <w:tblHeader/>
        </w:trPr>
        <w:tc>
          <w:tcPr>
            <w:tcW w:w="2432" w:type="dxa"/>
            <w:vMerge/>
          </w:tcPr>
          <w:p w14:paraId="33A0EAC2" w14:textId="77777777" w:rsidR="009B0FCC" w:rsidRDefault="009B0FCC" w:rsidP="00721F16">
            <w:pPr>
              <w:keepNext/>
              <w:widowControl w:val="0"/>
              <w:spacing w:after="0" w:line="240" w:lineRule="auto"/>
              <w:rPr>
                <w:sz w:val="20"/>
                <w:szCs w:val="20"/>
              </w:rPr>
            </w:pPr>
          </w:p>
        </w:tc>
        <w:tc>
          <w:tcPr>
            <w:tcW w:w="1253" w:type="dxa"/>
          </w:tcPr>
          <w:p w14:paraId="3F5AF223"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254" w:type="dxa"/>
          </w:tcPr>
          <w:p w14:paraId="1F080481"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254" w:type="dxa"/>
          </w:tcPr>
          <w:p w14:paraId="11A18FE6"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611" w:type="dxa"/>
          </w:tcPr>
          <w:p w14:paraId="7E1A2585" w14:textId="77777777" w:rsidR="009B0FCC" w:rsidRDefault="009B0FCC" w:rsidP="00721F16">
            <w:pPr>
              <w:keepNext/>
              <w:widowControl w:val="0"/>
              <w:spacing w:after="0" w:line="240" w:lineRule="auto"/>
              <w:jc w:val="center"/>
              <w:rPr>
                <w:sz w:val="20"/>
                <w:szCs w:val="20"/>
              </w:rPr>
            </w:pPr>
            <w:r>
              <w:rPr>
                <w:b/>
                <w:sz w:val="20"/>
                <w:szCs w:val="20"/>
              </w:rPr>
              <w:t>Total</w:t>
            </w:r>
          </w:p>
        </w:tc>
        <w:tc>
          <w:tcPr>
            <w:tcW w:w="1253" w:type="dxa"/>
          </w:tcPr>
          <w:p w14:paraId="4C1E5DA5"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254" w:type="dxa"/>
          </w:tcPr>
          <w:p w14:paraId="43FB665F"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254" w:type="dxa"/>
          </w:tcPr>
          <w:p w14:paraId="1E9325C7"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611" w:type="dxa"/>
          </w:tcPr>
          <w:p w14:paraId="0E1CFFEA" w14:textId="77777777" w:rsidR="009B0FCC" w:rsidRDefault="009B0FCC" w:rsidP="00721F16">
            <w:pPr>
              <w:keepNext/>
              <w:widowControl w:val="0"/>
              <w:spacing w:after="0" w:line="240" w:lineRule="auto"/>
              <w:jc w:val="center"/>
              <w:rPr>
                <w:sz w:val="20"/>
                <w:szCs w:val="20"/>
              </w:rPr>
            </w:pPr>
            <w:r>
              <w:rPr>
                <w:b/>
                <w:sz w:val="20"/>
                <w:szCs w:val="20"/>
              </w:rPr>
              <w:t>Total</w:t>
            </w:r>
          </w:p>
        </w:tc>
      </w:tr>
      <w:tr w:rsidR="009B0FCC" w14:paraId="70452E2F" w14:textId="77777777" w:rsidTr="00721F16">
        <w:trPr>
          <w:cantSplit/>
        </w:trPr>
        <w:tc>
          <w:tcPr>
            <w:tcW w:w="13176" w:type="dxa"/>
            <w:gridSpan w:val="9"/>
          </w:tcPr>
          <w:p w14:paraId="504B3536" w14:textId="77777777" w:rsidR="009B0FCC" w:rsidRDefault="009B0FCC" w:rsidP="00721F16">
            <w:pPr>
              <w:keepNext/>
              <w:widowControl w:val="0"/>
              <w:spacing w:after="0" w:line="240" w:lineRule="auto"/>
            </w:pPr>
            <w:r>
              <w:t>NUMBER OF HOUSEHOLDS</w:t>
            </w:r>
          </w:p>
        </w:tc>
      </w:tr>
      <w:tr w:rsidR="009B0FCC" w14:paraId="44FCCD12" w14:textId="77777777" w:rsidTr="00721F16">
        <w:trPr>
          <w:cantSplit/>
        </w:trPr>
        <w:tc>
          <w:tcPr>
            <w:tcW w:w="0" w:type="auto"/>
          </w:tcPr>
          <w:p w14:paraId="2909AB8D" w14:textId="77777777" w:rsidR="009B0FCC" w:rsidRDefault="009B0FCC" w:rsidP="00721F16">
            <w:pPr>
              <w:spacing w:beforeAutospacing="1" w:afterAutospacing="1"/>
            </w:pPr>
            <w:r>
              <w:rPr>
                <w:color w:val="000000"/>
              </w:rPr>
              <w:t>Small Related</w:t>
            </w:r>
          </w:p>
        </w:tc>
        <w:tc>
          <w:tcPr>
            <w:tcW w:w="0" w:type="auto"/>
            <w:vAlign w:val="bottom"/>
          </w:tcPr>
          <w:p w14:paraId="7306F80B" w14:textId="77777777" w:rsidR="009B0FCC" w:rsidRDefault="009B0FCC" w:rsidP="00721F16">
            <w:pPr>
              <w:spacing w:beforeAutospacing="1" w:afterAutospacing="1"/>
              <w:jc w:val="right"/>
            </w:pPr>
            <w:r>
              <w:rPr>
                <w:color w:val="000000"/>
              </w:rPr>
              <w:t>9,110</w:t>
            </w:r>
          </w:p>
        </w:tc>
        <w:tc>
          <w:tcPr>
            <w:tcW w:w="0" w:type="auto"/>
            <w:vAlign w:val="bottom"/>
          </w:tcPr>
          <w:p w14:paraId="6D66A432" w14:textId="77777777" w:rsidR="009B0FCC" w:rsidRDefault="009B0FCC" w:rsidP="00721F16">
            <w:pPr>
              <w:spacing w:beforeAutospacing="1" w:afterAutospacing="1"/>
              <w:jc w:val="right"/>
            </w:pPr>
            <w:r>
              <w:rPr>
                <w:color w:val="000000"/>
              </w:rPr>
              <w:t>3,075</w:t>
            </w:r>
          </w:p>
        </w:tc>
        <w:tc>
          <w:tcPr>
            <w:tcW w:w="0" w:type="auto"/>
            <w:vAlign w:val="bottom"/>
          </w:tcPr>
          <w:p w14:paraId="15B60914" w14:textId="77777777" w:rsidR="009B0FCC" w:rsidRDefault="009B0FCC" w:rsidP="00721F16">
            <w:pPr>
              <w:spacing w:beforeAutospacing="1" w:afterAutospacing="1"/>
              <w:jc w:val="right"/>
            </w:pPr>
            <w:r>
              <w:rPr>
                <w:color w:val="000000"/>
              </w:rPr>
              <w:t>320</w:t>
            </w:r>
          </w:p>
        </w:tc>
        <w:tc>
          <w:tcPr>
            <w:tcW w:w="0" w:type="auto"/>
            <w:vAlign w:val="bottom"/>
          </w:tcPr>
          <w:p w14:paraId="038701F0" w14:textId="77777777" w:rsidR="009B0FCC" w:rsidRDefault="009B0FCC" w:rsidP="00721F16">
            <w:pPr>
              <w:spacing w:beforeAutospacing="1" w:afterAutospacing="1"/>
              <w:jc w:val="right"/>
            </w:pPr>
            <w:r>
              <w:rPr>
                <w:color w:val="000000"/>
              </w:rPr>
              <w:t>12,505</w:t>
            </w:r>
          </w:p>
        </w:tc>
        <w:tc>
          <w:tcPr>
            <w:tcW w:w="0" w:type="auto"/>
            <w:vAlign w:val="bottom"/>
          </w:tcPr>
          <w:p w14:paraId="6D61F41B" w14:textId="77777777" w:rsidR="009B0FCC" w:rsidRDefault="009B0FCC" w:rsidP="00721F16">
            <w:pPr>
              <w:spacing w:beforeAutospacing="1" w:afterAutospacing="1"/>
              <w:jc w:val="right"/>
            </w:pPr>
            <w:r>
              <w:rPr>
                <w:color w:val="000000"/>
              </w:rPr>
              <w:t>3,335</w:t>
            </w:r>
          </w:p>
        </w:tc>
        <w:tc>
          <w:tcPr>
            <w:tcW w:w="0" w:type="auto"/>
            <w:vAlign w:val="bottom"/>
          </w:tcPr>
          <w:p w14:paraId="61DE982F" w14:textId="77777777" w:rsidR="009B0FCC" w:rsidRDefault="009B0FCC" w:rsidP="00721F16">
            <w:pPr>
              <w:spacing w:beforeAutospacing="1" w:afterAutospacing="1"/>
              <w:jc w:val="right"/>
            </w:pPr>
            <w:r>
              <w:rPr>
                <w:color w:val="000000"/>
              </w:rPr>
              <w:t>2,745</w:t>
            </w:r>
          </w:p>
        </w:tc>
        <w:tc>
          <w:tcPr>
            <w:tcW w:w="0" w:type="auto"/>
            <w:vAlign w:val="bottom"/>
          </w:tcPr>
          <w:p w14:paraId="33811DF7" w14:textId="77777777" w:rsidR="009B0FCC" w:rsidRDefault="009B0FCC" w:rsidP="00721F16">
            <w:pPr>
              <w:spacing w:beforeAutospacing="1" w:afterAutospacing="1"/>
              <w:jc w:val="right"/>
            </w:pPr>
            <w:r>
              <w:rPr>
                <w:color w:val="000000"/>
              </w:rPr>
              <w:t>1,755</w:t>
            </w:r>
          </w:p>
        </w:tc>
        <w:tc>
          <w:tcPr>
            <w:tcW w:w="0" w:type="auto"/>
            <w:vAlign w:val="bottom"/>
          </w:tcPr>
          <w:p w14:paraId="7B674CDE" w14:textId="77777777" w:rsidR="009B0FCC" w:rsidRDefault="009B0FCC" w:rsidP="00721F16">
            <w:pPr>
              <w:spacing w:beforeAutospacing="1" w:afterAutospacing="1"/>
              <w:jc w:val="right"/>
            </w:pPr>
            <w:r>
              <w:rPr>
                <w:color w:val="000000"/>
              </w:rPr>
              <w:t>7,835</w:t>
            </w:r>
          </w:p>
        </w:tc>
      </w:tr>
      <w:tr w:rsidR="009B0FCC" w14:paraId="3E894547" w14:textId="77777777" w:rsidTr="00721F16">
        <w:trPr>
          <w:cantSplit/>
        </w:trPr>
        <w:tc>
          <w:tcPr>
            <w:tcW w:w="0" w:type="auto"/>
          </w:tcPr>
          <w:p w14:paraId="3153FF16" w14:textId="77777777" w:rsidR="009B0FCC" w:rsidRDefault="009B0FCC" w:rsidP="00721F16">
            <w:pPr>
              <w:spacing w:beforeAutospacing="1" w:afterAutospacing="1"/>
            </w:pPr>
            <w:r>
              <w:rPr>
                <w:color w:val="000000"/>
              </w:rPr>
              <w:t>Large Related</w:t>
            </w:r>
          </w:p>
        </w:tc>
        <w:tc>
          <w:tcPr>
            <w:tcW w:w="0" w:type="auto"/>
            <w:vAlign w:val="bottom"/>
          </w:tcPr>
          <w:p w14:paraId="7E6DB6C5" w14:textId="77777777" w:rsidR="009B0FCC" w:rsidRDefault="009B0FCC" w:rsidP="00721F16">
            <w:pPr>
              <w:spacing w:beforeAutospacing="1" w:afterAutospacing="1"/>
              <w:jc w:val="right"/>
            </w:pPr>
            <w:r>
              <w:rPr>
                <w:color w:val="000000"/>
              </w:rPr>
              <w:t>1,615</w:t>
            </w:r>
          </w:p>
        </w:tc>
        <w:tc>
          <w:tcPr>
            <w:tcW w:w="0" w:type="auto"/>
            <w:vAlign w:val="bottom"/>
          </w:tcPr>
          <w:p w14:paraId="5209A438" w14:textId="77777777" w:rsidR="009B0FCC" w:rsidRDefault="009B0FCC" w:rsidP="00721F16">
            <w:pPr>
              <w:spacing w:beforeAutospacing="1" w:afterAutospacing="1"/>
              <w:jc w:val="right"/>
            </w:pPr>
            <w:r>
              <w:rPr>
                <w:color w:val="000000"/>
              </w:rPr>
              <w:t>535</w:t>
            </w:r>
          </w:p>
        </w:tc>
        <w:tc>
          <w:tcPr>
            <w:tcW w:w="0" w:type="auto"/>
            <w:vAlign w:val="bottom"/>
          </w:tcPr>
          <w:p w14:paraId="56EDCD89" w14:textId="77777777" w:rsidR="009B0FCC" w:rsidRDefault="009B0FCC" w:rsidP="00721F16">
            <w:pPr>
              <w:spacing w:beforeAutospacing="1" w:afterAutospacing="1"/>
              <w:jc w:val="right"/>
            </w:pPr>
            <w:r>
              <w:rPr>
                <w:color w:val="000000"/>
              </w:rPr>
              <w:t>35</w:t>
            </w:r>
          </w:p>
        </w:tc>
        <w:tc>
          <w:tcPr>
            <w:tcW w:w="0" w:type="auto"/>
            <w:vAlign w:val="bottom"/>
          </w:tcPr>
          <w:p w14:paraId="7BF2EEC3" w14:textId="77777777" w:rsidR="009B0FCC" w:rsidRDefault="009B0FCC" w:rsidP="00721F16">
            <w:pPr>
              <w:spacing w:beforeAutospacing="1" w:afterAutospacing="1"/>
              <w:jc w:val="right"/>
            </w:pPr>
            <w:r>
              <w:rPr>
                <w:color w:val="000000"/>
              </w:rPr>
              <w:t>2,185</w:t>
            </w:r>
          </w:p>
        </w:tc>
        <w:tc>
          <w:tcPr>
            <w:tcW w:w="0" w:type="auto"/>
            <w:vAlign w:val="bottom"/>
          </w:tcPr>
          <w:p w14:paraId="31BEA18E" w14:textId="77777777" w:rsidR="009B0FCC" w:rsidRDefault="009B0FCC" w:rsidP="00721F16">
            <w:pPr>
              <w:spacing w:beforeAutospacing="1" w:afterAutospacing="1"/>
              <w:jc w:val="right"/>
            </w:pPr>
            <w:r>
              <w:rPr>
                <w:color w:val="000000"/>
              </w:rPr>
              <w:t>870</w:t>
            </w:r>
          </w:p>
        </w:tc>
        <w:tc>
          <w:tcPr>
            <w:tcW w:w="0" w:type="auto"/>
            <w:vAlign w:val="bottom"/>
          </w:tcPr>
          <w:p w14:paraId="7948A205" w14:textId="77777777" w:rsidR="009B0FCC" w:rsidRDefault="009B0FCC" w:rsidP="00721F16">
            <w:pPr>
              <w:spacing w:beforeAutospacing="1" w:afterAutospacing="1"/>
              <w:jc w:val="right"/>
            </w:pPr>
            <w:r>
              <w:rPr>
                <w:color w:val="000000"/>
              </w:rPr>
              <w:t>665</w:t>
            </w:r>
          </w:p>
        </w:tc>
        <w:tc>
          <w:tcPr>
            <w:tcW w:w="0" w:type="auto"/>
            <w:vAlign w:val="bottom"/>
          </w:tcPr>
          <w:p w14:paraId="727C870F" w14:textId="77777777" w:rsidR="009B0FCC" w:rsidRDefault="009B0FCC" w:rsidP="00721F16">
            <w:pPr>
              <w:spacing w:beforeAutospacing="1" w:afterAutospacing="1"/>
              <w:jc w:val="right"/>
            </w:pPr>
            <w:r>
              <w:rPr>
                <w:color w:val="000000"/>
              </w:rPr>
              <w:t>410</w:t>
            </w:r>
          </w:p>
        </w:tc>
        <w:tc>
          <w:tcPr>
            <w:tcW w:w="0" w:type="auto"/>
            <w:vAlign w:val="bottom"/>
          </w:tcPr>
          <w:p w14:paraId="2E56445C" w14:textId="77777777" w:rsidR="009B0FCC" w:rsidRDefault="009B0FCC" w:rsidP="00721F16">
            <w:pPr>
              <w:spacing w:beforeAutospacing="1" w:afterAutospacing="1"/>
              <w:jc w:val="right"/>
            </w:pPr>
            <w:r>
              <w:rPr>
                <w:color w:val="000000"/>
              </w:rPr>
              <w:t>1,945</w:t>
            </w:r>
          </w:p>
        </w:tc>
      </w:tr>
      <w:tr w:rsidR="009B0FCC" w14:paraId="55713CD8" w14:textId="77777777" w:rsidTr="00721F16">
        <w:trPr>
          <w:cantSplit/>
        </w:trPr>
        <w:tc>
          <w:tcPr>
            <w:tcW w:w="0" w:type="auto"/>
          </w:tcPr>
          <w:p w14:paraId="3333960D" w14:textId="77777777" w:rsidR="009B0FCC" w:rsidRDefault="009B0FCC" w:rsidP="00721F16">
            <w:pPr>
              <w:spacing w:beforeAutospacing="1" w:afterAutospacing="1"/>
            </w:pPr>
            <w:r>
              <w:rPr>
                <w:color w:val="000000"/>
              </w:rPr>
              <w:t>Elderly</w:t>
            </w:r>
          </w:p>
        </w:tc>
        <w:tc>
          <w:tcPr>
            <w:tcW w:w="0" w:type="auto"/>
            <w:vAlign w:val="bottom"/>
          </w:tcPr>
          <w:p w14:paraId="5D1041B8" w14:textId="77777777" w:rsidR="009B0FCC" w:rsidRDefault="009B0FCC" w:rsidP="00721F16">
            <w:pPr>
              <w:spacing w:beforeAutospacing="1" w:afterAutospacing="1"/>
              <w:jc w:val="right"/>
            </w:pPr>
            <w:r>
              <w:rPr>
                <w:color w:val="000000"/>
              </w:rPr>
              <w:t>4,045</w:t>
            </w:r>
          </w:p>
        </w:tc>
        <w:tc>
          <w:tcPr>
            <w:tcW w:w="0" w:type="auto"/>
            <w:vAlign w:val="bottom"/>
          </w:tcPr>
          <w:p w14:paraId="53B6173E" w14:textId="77777777" w:rsidR="009B0FCC" w:rsidRDefault="009B0FCC" w:rsidP="00721F16">
            <w:pPr>
              <w:spacing w:beforeAutospacing="1" w:afterAutospacing="1"/>
              <w:jc w:val="right"/>
            </w:pPr>
            <w:r>
              <w:rPr>
                <w:color w:val="000000"/>
              </w:rPr>
              <w:t>1,960</w:t>
            </w:r>
          </w:p>
        </w:tc>
        <w:tc>
          <w:tcPr>
            <w:tcW w:w="0" w:type="auto"/>
            <w:vAlign w:val="bottom"/>
          </w:tcPr>
          <w:p w14:paraId="0BA698D7" w14:textId="77777777" w:rsidR="009B0FCC" w:rsidRDefault="009B0FCC" w:rsidP="00721F16">
            <w:pPr>
              <w:spacing w:beforeAutospacing="1" w:afterAutospacing="1"/>
              <w:jc w:val="right"/>
            </w:pPr>
            <w:r>
              <w:rPr>
                <w:color w:val="000000"/>
              </w:rPr>
              <w:t>745</w:t>
            </w:r>
          </w:p>
        </w:tc>
        <w:tc>
          <w:tcPr>
            <w:tcW w:w="0" w:type="auto"/>
            <w:vAlign w:val="bottom"/>
          </w:tcPr>
          <w:p w14:paraId="1142387D" w14:textId="77777777" w:rsidR="009B0FCC" w:rsidRDefault="009B0FCC" w:rsidP="00721F16">
            <w:pPr>
              <w:spacing w:beforeAutospacing="1" w:afterAutospacing="1"/>
              <w:jc w:val="right"/>
            </w:pPr>
            <w:r>
              <w:rPr>
                <w:color w:val="000000"/>
              </w:rPr>
              <w:t>6,750</w:t>
            </w:r>
          </w:p>
        </w:tc>
        <w:tc>
          <w:tcPr>
            <w:tcW w:w="0" w:type="auto"/>
            <w:vAlign w:val="bottom"/>
          </w:tcPr>
          <w:p w14:paraId="347DD8B8" w14:textId="77777777" w:rsidR="009B0FCC" w:rsidRDefault="009B0FCC" w:rsidP="00721F16">
            <w:pPr>
              <w:spacing w:beforeAutospacing="1" w:afterAutospacing="1"/>
              <w:jc w:val="right"/>
            </w:pPr>
            <w:r>
              <w:rPr>
                <w:color w:val="000000"/>
              </w:rPr>
              <w:t>6,225</w:t>
            </w:r>
          </w:p>
        </w:tc>
        <w:tc>
          <w:tcPr>
            <w:tcW w:w="0" w:type="auto"/>
            <w:vAlign w:val="bottom"/>
          </w:tcPr>
          <w:p w14:paraId="5AEFE55B" w14:textId="77777777" w:rsidR="009B0FCC" w:rsidRDefault="009B0FCC" w:rsidP="00721F16">
            <w:pPr>
              <w:spacing w:beforeAutospacing="1" w:afterAutospacing="1"/>
              <w:jc w:val="right"/>
            </w:pPr>
            <w:r>
              <w:rPr>
                <w:color w:val="000000"/>
              </w:rPr>
              <w:t>4,060</w:t>
            </w:r>
          </w:p>
        </w:tc>
        <w:tc>
          <w:tcPr>
            <w:tcW w:w="0" w:type="auto"/>
            <w:vAlign w:val="bottom"/>
          </w:tcPr>
          <w:p w14:paraId="403EBE15" w14:textId="77777777" w:rsidR="009B0FCC" w:rsidRDefault="009B0FCC" w:rsidP="00721F16">
            <w:pPr>
              <w:spacing w:beforeAutospacing="1" w:afterAutospacing="1"/>
              <w:jc w:val="right"/>
            </w:pPr>
            <w:r>
              <w:rPr>
                <w:color w:val="000000"/>
              </w:rPr>
              <w:t>2,650</w:t>
            </w:r>
          </w:p>
        </w:tc>
        <w:tc>
          <w:tcPr>
            <w:tcW w:w="0" w:type="auto"/>
            <w:vAlign w:val="bottom"/>
          </w:tcPr>
          <w:p w14:paraId="420F064B" w14:textId="77777777" w:rsidR="009B0FCC" w:rsidRDefault="009B0FCC" w:rsidP="00721F16">
            <w:pPr>
              <w:spacing w:beforeAutospacing="1" w:afterAutospacing="1"/>
              <w:jc w:val="right"/>
            </w:pPr>
            <w:r>
              <w:rPr>
                <w:color w:val="000000"/>
              </w:rPr>
              <w:t>12,935</w:t>
            </w:r>
          </w:p>
        </w:tc>
      </w:tr>
      <w:tr w:rsidR="009B0FCC" w14:paraId="5D2CED8A" w14:textId="77777777" w:rsidTr="00721F16">
        <w:trPr>
          <w:cantSplit/>
        </w:trPr>
        <w:tc>
          <w:tcPr>
            <w:tcW w:w="0" w:type="auto"/>
          </w:tcPr>
          <w:p w14:paraId="7437FCE3" w14:textId="77777777" w:rsidR="009B0FCC" w:rsidRDefault="009B0FCC" w:rsidP="00721F16">
            <w:pPr>
              <w:spacing w:beforeAutospacing="1" w:afterAutospacing="1"/>
            </w:pPr>
            <w:r>
              <w:rPr>
                <w:color w:val="000000"/>
              </w:rPr>
              <w:lastRenderedPageBreak/>
              <w:t>Other</w:t>
            </w:r>
          </w:p>
        </w:tc>
        <w:tc>
          <w:tcPr>
            <w:tcW w:w="0" w:type="auto"/>
            <w:vAlign w:val="bottom"/>
          </w:tcPr>
          <w:p w14:paraId="22ED892D" w14:textId="77777777" w:rsidR="009B0FCC" w:rsidRDefault="009B0FCC" w:rsidP="00721F16">
            <w:pPr>
              <w:spacing w:beforeAutospacing="1" w:afterAutospacing="1"/>
              <w:jc w:val="right"/>
            </w:pPr>
            <w:r>
              <w:rPr>
                <w:color w:val="000000"/>
              </w:rPr>
              <w:t>10,955</w:t>
            </w:r>
          </w:p>
        </w:tc>
        <w:tc>
          <w:tcPr>
            <w:tcW w:w="0" w:type="auto"/>
            <w:vAlign w:val="bottom"/>
          </w:tcPr>
          <w:p w14:paraId="0DB44ECE" w14:textId="77777777" w:rsidR="009B0FCC" w:rsidRDefault="009B0FCC" w:rsidP="00721F16">
            <w:pPr>
              <w:spacing w:beforeAutospacing="1" w:afterAutospacing="1"/>
              <w:jc w:val="right"/>
            </w:pPr>
            <w:r>
              <w:rPr>
                <w:color w:val="000000"/>
              </w:rPr>
              <w:t>3,480</w:t>
            </w:r>
          </w:p>
        </w:tc>
        <w:tc>
          <w:tcPr>
            <w:tcW w:w="0" w:type="auto"/>
            <w:vAlign w:val="bottom"/>
          </w:tcPr>
          <w:p w14:paraId="593FE4F0" w14:textId="77777777" w:rsidR="009B0FCC" w:rsidRDefault="009B0FCC" w:rsidP="00721F16">
            <w:pPr>
              <w:spacing w:beforeAutospacing="1" w:afterAutospacing="1"/>
              <w:jc w:val="right"/>
            </w:pPr>
            <w:r>
              <w:rPr>
                <w:color w:val="000000"/>
              </w:rPr>
              <w:t>610</w:t>
            </w:r>
          </w:p>
        </w:tc>
        <w:tc>
          <w:tcPr>
            <w:tcW w:w="0" w:type="auto"/>
            <w:vAlign w:val="bottom"/>
          </w:tcPr>
          <w:p w14:paraId="033EBC8F" w14:textId="77777777" w:rsidR="009B0FCC" w:rsidRDefault="009B0FCC" w:rsidP="00721F16">
            <w:pPr>
              <w:spacing w:beforeAutospacing="1" w:afterAutospacing="1"/>
              <w:jc w:val="right"/>
            </w:pPr>
            <w:r>
              <w:rPr>
                <w:color w:val="000000"/>
              </w:rPr>
              <w:t>15,045</w:t>
            </w:r>
          </w:p>
        </w:tc>
        <w:tc>
          <w:tcPr>
            <w:tcW w:w="0" w:type="auto"/>
            <w:vAlign w:val="bottom"/>
          </w:tcPr>
          <w:p w14:paraId="18D4669C" w14:textId="77777777" w:rsidR="009B0FCC" w:rsidRDefault="009B0FCC" w:rsidP="00721F16">
            <w:pPr>
              <w:spacing w:beforeAutospacing="1" w:afterAutospacing="1"/>
              <w:jc w:val="right"/>
            </w:pPr>
            <w:r>
              <w:rPr>
                <w:color w:val="000000"/>
              </w:rPr>
              <w:t>3,055</w:t>
            </w:r>
          </w:p>
        </w:tc>
        <w:tc>
          <w:tcPr>
            <w:tcW w:w="0" w:type="auto"/>
            <w:vAlign w:val="bottom"/>
          </w:tcPr>
          <w:p w14:paraId="27712C0B" w14:textId="77777777" w:rsidR="009B0FCC" w:rsidRDefault="009B0FCC" w:rsidP="00721F16">
            <w:pPr>
              <w:spacing w:beforeAutospacing="1" w:afterAutospacing="1"/>
              <w:jc w:val="right"/>
            </w:pPr>
            <w:r>
              <w:rPr>
                <w:color w:val="000000"/>
              </w:rPr>
              <w:t>1,970</w:t>
            </w:r>
          </w:p>
        </w:tc>
        <w:tc>
          <w:tcPr>
            <w:tcW w:w="0" w:type="auto"/>
            <w:vAlign w:val="bottom"/>
          </w:tcPr>
          <w:p w14:paraId="3BB36369" w14:textId="77777777" w:rsidR="009B0FCC" w:rsidRDefault="009B0FCC" w:rsidP="00721F16">
            <w:pPr>
              <w:spacing w:beforeAutospacing="1" w:afterAutospacing="1"/>
              <w:jc w:val="right"/>
            </w:pPr>
            <w:r>
              <w:rPr>
                <w:color w:val="000000"/>
              </w:rPr>
              <w:t>1,410</w:t>
            </w:r>
          </w:p>
        </w:tc>
        <w:tc>
          <w:tcPr>
            <w:tcW w:w="0" w:type="auto"/>
            <w:vAlign w:val="bottom"/>
          </w:tcPr>
          <w:p w14:paraId="6BF97C92" w14:textId="77777777" w:rsidR="009B0FCC" w:rsidRDefault="009B0FCC" w:rsidP="00721F16">
            <w:pPr>
              <w:spacing w:beforeAutospacing="1" w:afterAutospacing="1"/>
              <w:jc w:val="right"/>
            </w:pPr>
            <w:r>
              <w:rPr>
                <w:color w:val="000000"/>
              </w:rPr>
              <w:t>6,435</w:t>
            </w:r>
          </w:p>
        </w:tc>
      </w:tr>
      <w:tr w:rsidR="009B0FCC" w14:paraId="2F5C7B23" w14:textId="77777777" w:rsidTr="00721F16">
        <w:trPr>
          <w:cantSplit/>
        </w:trPr>
        <w:tc>
          <w:tcPr>
            <w:tcW w:w="0" w:type="auto"/>
          </w:tcPr>
          <w:p w14:paraId="1FA1B4C1" w14:textId="77777777" w:rsidR="009B0FCC" w:rsidRDefault="009B0FCC" w:rsidP="00721F16">
            <w:pPr>
              <w:spacing w:beforeAutospacing="1" w:afterAutospacing="1"/>
            </w:pPr>
            <w:r>
              <w:rPr>
                <w:color w:val="000000"/>
              </w:rPr>
              <w:t>Total need by income</w:t>
            </w:r>
          </w:p>
        </w:tc>
        <w:tc>
          <w:tcPr>
            <w:tcW w:w="0" w:type="auto"/>
          </w:tcPr>
          <w:p w14:paraId="19A01FFD" w14:textId="77777777" w:rsidR="009B0FCC" w:rsidRDefault="009B0FCC" w:rsidP="00721F16">
            <w:pPr>
              <w:spacing w:beforeAutospacing="1" w:afterAutospacing="1"/>
              <w:jc w:val="right"/>
            </w:pPr>
            <w:r>
              <w:rPr>
                <w:color w:val="000000"/>
              </w:rPr>
              <w:t>25,725</w:t>
            </w:r>
          </w:p>
        </w:tc>
        <w:tc>
          <w:tcPr>
            <w:tcW w:w="0" w:type="auto"/>
          </w:tcPr>
          <w:p w14:paraId="2EF7F884" w14:textId="77777777" w:rsidR="009B0FCC" w:rsidRDefault="009B0FCC" w:rsidP="00721F16">
            <w:pPr>
              <w:spacing w:beforeAutospacing="1" w:afterAutospacing="1"/>
              <w:jc w:val="right"/>
            </w:pPr>
            <w:r>
              <w:rPr>
                <w:color w:val="000000"/>
              </w:rPr>
              <w:t>9,050</w:t>
            </w:r>
          </w:p>
        </w:tc>
        <w:tc>
          <w:tcPr>
            <w:tcW w:w="0" w:type="auto"/>
          </w:tcPr>
          <w:p w14:paraId="7A059DFE" w14:textId="77777777" w:rsidR="009B0FCC" w:rsidRDefault="009B0FCC" w:rsidP="00721F16">
            <w:pPr>
              <w:spacing w:beforeAutospacing="1" w:afterAutospacing="1"/>
              <w:jc w:val="right"/>
            </w:pPr>
            <w:r>
              <w:rPr>
                <w:color w:val="000000"/>
              </w:rPr>
              <w:t>1,710</w:t>
            </w:r>
          </w:p>
        </w:tc>
        <w:tc>
          <w:tcPr>
            <w:tcW w:w="0" w:type="auto"/>
          </w:tcPr>
          <w:p w14:paraId="448B0266" w14:textId="77777777" w:rsidR="009B0FCC" w:rsidRDefault="009B0FCC" w:rsidP="00721F16">
            <w:pPr>
              <w:spacing w:beforeAutospacing="1" w:afterAutospacing="1"/>
              <w:jc w:val="right"/>
            </w:pPr>
            <w:r>
              <w:rPr>
                <w:color w:val="000000"/>
              </w:rPr>
              <w:t>36,485</w:t>
            </w:r>
          </w:p>
        </w:tc>
        <w:tc>
          <w:tcPr>
            <w:tcW w:w="0" w:type="auto"/>
          </w:tcPr>
          <w:p w14:paraId="23E7D6E7" w14:textId="77777777" w:rsidR="009B0FCC" w:rsidRDefault="009B0FCC" w:rsidP="00721F16">
            <w:pPr>
              <w:spacing w:beforeAutospacing="1" w:afterAutospacing="1"/>
              <w:jc w:val="right"/>
            </w:pPr>
            <w:r>
              <w:rPr>
                <w:color w:val="000000"/>
              </w:rPr>
              <w:t>13,485</w:t>
            </w:r>
          </w:p>
        </w:tc>
        <w:tc>
          <w:tcPr>
            <w:tcW w:w="0" w:type="auto"/>
          </w:tcPr>
          <w:p w14:paraId="102C1936" w14:textId="77777777" w:rsidR="009B0FCC" w:rsidRDefault="009B0FCC" w:rsidP="00721F16">
            <w:pPr>
              <w:spacing w:beforeAutospacing="1" w:afterAutospacing="1"/>
              <w:jc w:val="right"/>
            </w:pPr>
            <w:r>
              <w:rPr>
                <w:color w:val="000000"/>
              </w:rPr>
              <w:t>9,440</w:t>
            </w:r>
          </w:p>
        </w:tc>
        <w:tc>
          <w:tcPr>
            <w:tcW w:w="0" w:type="auto"/>
          </w:tcPr>
          <w:p w14:paraId="06CFF66D" w14:textId="77777777" w:rsidR="009B0FCC" w:rsidRDefault="009B0FCC" w:rsidP="00721F16">
            <w:pPr>
              <w:spacing w:beforeAutospacing="1" w:afterAutospacing="1"/>
              <w:jc w:val="right"/>
            </w:pPr>
            <w:r>
              <w:rPr>
                <w:color w:val="000000"/>
              </w:rPr>
              <w:t>6,225</w:t>
            </w:r>
          </w:p>
        </w:tc>
        <w:tc>
          <w:tcPr>
            <w:tcW w:w="0" w:type="auto"/>
          </w:tcPr>
          <w:p w14:paraId="732D63D9" w14:textId="77777777" w:rsidR="009B0FCC" w:rsidRDefault="009B0FCC" w:rsidP="00721F16">
            <w:pPr>
              <w:spacing w:beforeAutospacing="1" w:afterAutospacing="1"/>
              <w:jc w:val="right"/>
            </w:pPr>
            <w:r>
              <w:rPr>
                <w:color w:val="000000"/>
              </w:rPr>
              <w:t>29,150</w:t>
            </w:r>
          </w:p>
        </w:tc>
      </w:tr>
    </w:tbl>
    <w:p w14:paraId="09ECB892" w14:textId="77777777" w:rsidR="009B0FCC" w:rsidRDefault="009B0FCC" w:rsidP="009B0FCC">
      <w:pPr>
        <w:pStyle w:val="Caption"/>
        <w:jc w:val="center"/>
        <w:rPr>
          <w:rFonts w:asciiTheme="minorHAnsi" w:hAnsiTheme="minorHAnsi"/>
        </w:rPr>
      </w:pPr>
      <w:bookmarkStart w:id="16" w:name="_Toc307833516"/>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Cost Burden &gt; 50%</w:t>
      </w:r>
      <w:bookmarkEnd w:id="16"/>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9B0FCC" w14:paraId="121F68D3" w14:textId="77777777" w:rsidTr="00721F16">
        <w:trPr>
          <w:cantSplit/>
        </w:trPr>
        <w:tc>
          <w:tcPr>
            <w:tcW w:w="1080" w:type="dxa"/>
          </w:tcPr>
          <w:p w14:paraId="59717E1F" w14:textId="77777777" w:rsidR="009B0FCC" w:rsidRDefault="009B0FCC" w:rsidP="00721F16">
            <w:pPr>
              <w:spacing w:after="0" w:line="240" w:lineRule="auto"/>
              <w:rPr>
                <w:sz w:val="16"/>
                <w:szCs w:val="16"/>
              </w:rPr>
            </w:pPr>
            <w:r>
              <w:rPr>
                <w:b/>
                <w:bCs/>
                <w:sz w:val="16"/>
                <w:szCs w:val="16"/>
              </w:rPr>
              <w:t>Data Source:</w:t>
            </w:r>
          </w:p>
        </w:tc>
        <w:tc>
          <w:tcPr>
            <w:tcW w:w="12110" w:type="dxa"/>
          </w:tcPr>
          <w:p w14:paraId="7200573B" w14:textId="77777777" w:rsidR="009B0FCC" w:rsidRDefault="009B0FCC" w:rsidP="00721F16">
            <w:pPr>
              <w:spacing w:beforeAutospacing="1" w:afterAutospacing="1"/>
              <w:rPr>
                <w:sz w:val="16"/>
                <w:szCs w:val="16"/>
              </w:rPr>
            </w:pPr>
            <w:r>
              <w:rPr>
                <w:rFonts w:cs="Arial"/>
                <w:sz w:val="16"/>
                <w:szCs w:val="16"/>
              </w:rPr>
              <w:t>2016-2020 CHAS</w:t>
            </w:r>
          </w:p>
        </w:tc>
      </w:tr>
    </w:tbl>
    <w:p w14:paraId="5A0519D4" w14:textId="77777777" w:rsidR="009B0FCC" w:rsidRDefault="009B0FCC" w:rsidP="009B0FCC">
      <w:pPr>
        <w:spacing w:after="0" w:line="240" w:lineRule="auto"/>
        <w:rPr>
          <w:vanish/>
        </w:rPr>
      </w:pPr>
    </w:p>
    <w:p w14:paraId="10BCB62E" w14:textId="77777777" w:rsidR="009B0FCC" w:rsidRDefault="009B0FCC" w:rsidP="009B0FCC">
      <w:pPr>
        <w:spacing w:after="0" w:line="240" w:lineRule="auto"/>
        <w:rPr>
          <w:b/>
          <w:bCs/>
          <w:vanish/>
          <w:sz w:val="16"/>
          <w:szCs w:val="16"/>
        </w:rPr>
      </w:pPr>
    </w:p>
    <w:p w14:paraId="32A5C639" w14:textId="77777777" w:rsidR="009B0FCC" w:rsidRDefault="009B0FCC" w:rsidP="009B0FCC"/>
    <w:p w14:paraId="1CB24570" w14:textId="77777777" w:rsidR="009B0FCC" w:rsidRDefault="009B0FCC" w:rsidP="009B0FCC">
      <w:pPr>
        <w:keepNext/>
        <w:widowControl w:val="0"/>
        <w:rPr>
          <w:bCs/>
          <w:sz w:val="24"/>
          <w:szCs w:val="24"/>
        </w:rPr>
      </w:pPr>
      <w:r>
        <w:rPr>
          <w:sz w:val="24"/>
          <w:szCs w:val="24"/>
        </w:rPr>
        <w:t xml:space="preserve">5. </w:t>
      </w:r>
      <w:r>
        <w:rPr>
          <w:bCs/>
          <w:sz w:val="24"/>
          <w:szCs w:val="24"/>
        </w:rPr>
        <w:t>Crowding (More than one person per room)</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786"/>
        <w:gridCol w:w="786"/>
        <w:gridCol w:w="785"/>
        <w:gridCol w:w="744"/>
        <w:gridCol w:w="786"/>
        <w:gridCol w:w="663"/>
        <w:gridCol w:w="785"/>
        <w:gridCol w:w="785"/>
        <w:gridCol w:w="744"/>
        <w:gridCol w:w="786"/>
      </w:tblGrid>
      <w:tr w:rsidR="009B0FCC" w14:paraId="7CB28D3C" w14:textId="77777777" w:rsidTr="00721F16">
        <w:trPr>
          <w:cantSplit/>
          <w:tblHeader/>
        </w:trPr>
        <w:tc>
          <w:tcPr>
            <w:tcW w:w="2432" w:type="dxa"/>
            <w:vMerge w:val="restart"/>
          </w:tcPr>
          <w:p w14:paraId="7E1E8D29" w14:textId="77777777" w:rsidR="009B0FCC" w:rsidRDefault="009B0FCC" w:rsidP="00721F16">
            <w:pPr>
              <w:pStyle w:val="Caption"/>
              <w:keepNext/>
              <w:widowControl w:val="0"/>
              <w:jc w:val="center"/>
              <w:rPr>
                <w:rFonts w:ascii="Calibri" w:hAnsi="Calibri"/>
              </w:rPr>
            </w:pPr>
          </w:p>
        </w:tc>
        <w:tc>
          <w:tcPr>
            <w:tcW w:w="5372" w:type="dxa"/>
            <w:gridSpan w:val="5"/>
          </w:tcPr>
          <w:p w14:paraId="751A55ED" w14:textId="77777777" w:rsidR="009B0FCC" w:rsidRDefault="009B0FCC" w:rsidP="00721F16">
            <w:pPr>
              <w:keepNext/>
              <w:widowControl w:val="0"/>
              <w:spacing w:after="0" w:line="240" w:lineRule="auto"/>
              <w:jc w:val="center"/>
              <w:rPr>
                <w:sz w:val="20"/>
                <w:szCs w:val="20"/>
              </w:rPr>
            </w:pPr>
            <w:r>
              <w:rPr>
                <w:b/>
                <w:bCs/>
                <w:sz w:val="20"/>
                <w:szCs w:val="20"/>
              </w:rPr>
              <w:t>Renter</w:t>
            </w:r>
          </w:p>
        </w:tc>
        <w:tc>
          <w:tcPr>
            <w:tcW w:w="5372" w:type="dxa"/>
            <w:gridSpan w:val="5"/>
          </w:tcPr>
          <w:p w14:paraId="0E5F6501" w14:textId="77777777" w:rsidR="009B0FCC" w:rsidRDefault="009B0FCC" w:rsidP="00721F16">
            <w:pPr>
              <w:keepNext/>
              <w:widowControl w:val="0"/>
              <w:spacing w:after="0" w:line="240" w:lineRule="auto"/>
              <w:jc w:val="center"/>
              <w:rPr>
                <w:sz w:val="20"/>
                <w:szCs w:val="20"/>
              </w:rPr>
            </w:pPr>
            <w:r>
              <w:rPr>
                <w:b/>
                <w:bCs/>
                <w:sz w:val="20"/>
                <w:szCs w:val="20"/>
              </w:rPr>
              <w:t>Owner</w:t>
            </w:r>
          </w:p>
        </w:tc>
      </w:tr>
      <w:tr w:rsidR="009B0FCC" w14:paraId="49A4FDA2" w14:textId="77777777" w:rsidTr="00721F16">
        <w:trPr>
          <w:cantSplit/>
          <w:tblHeader/>
        </w:trPr>
        <w:tc>
          <w:tcPr>
            <w:tcW w:w="2432" w:type="dxa"/>
            <w:vMerge/>
          </w:tcPr>
          <w:p w14:paraId="68E127A3" w14:textId="77777777" w:rsidR="009B0FCC" w:rsidRDefault="009B0FCC" w:rsidP="00721F16">
            <w:pPr>
              <w:pStyle w:val="Caption"/>
              <w:keepNext/>
              <w:widowControl w:val="0"/>
              <w:jc w:val="center"/>
              <w:rPr>
                <w:rFonts w:ascii="Calibri" w:hAnsi="Calibri"/>
              </w:rPr>
            </w:pPr>
          </w:p>
        </w:tc>
        <w:tc>
          <w:tcPr>
            <w:tcW w:w="1074" w:type="dxa"/>
          </w:tcPr>
          <w:p w14:paraId="20BA8756"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074" w:type="dxa"/>
          </w:tcPr>
          <w:p w14:paraId="2EE6B008"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074" w:type="dxa"/>
          </w:tcPr>
          <w:p w14:paraId="62FBE8D0"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075" w:type="dxa"/>
          </w:tcPr>
          <w:p w14:paraId="751F5F75" w14:textId="77777777" w:rsidR="009B0FCC" w:rsidRDefault="009B0FCC" w:rsidP="00721F16">
            <w:pPr>
              <w:keepNext/>
              <w:widowControl w:val="0"/>
              <w:spacing w:after="0" w:line="240" w:lineRule="auto"/>
              <w:jc w:val="center"/>
              <w:rPr>
                <w:sz w:val="20"/>
                <w:szCs w:val="20"/>
              </w:rPr>
            </w:pPr>
            <w:r>
              <w:rPr>
                <w:b/>
                <w:sz w:val="20"/>
                <w:szCs w:val="20"/>
              </w:rPr>
              <w:t>&gt;80-100% AMI</w:t>
            </w:r>
          </w:p>
        </w:tc>
        <w:tc>
          <w:tcPr>
            <w:tcW w:w="1075" w:type="dxa"/>
          </w:tcPr>
          <w:p w14:paraId="4F9DFAEC" w14:textId="77777777" w:rsidR="009B0FCC" w:rsidRDefault="009B0FCC" w:rsidP="00721F16">
            <w:pPr>
              <w:keepNext/>
              <w:widowControl w:val="0"/>
              <w:spacing w:after="0" w:line="240" w:lineRule="auto"/>
              <w:jc w:val="center"/>
              <w:rPr>
                <w:sz w:val="20"/>
                <w:szCs w:val="20"/>
              </w:rPr>
            </w:pPr>
            <w:r>
              <w:rPr>
                <w:b/>
                <w:sz w:val="20"/>
                <w:szCs w:val="20"/>
              </w:rPr>
              <w:t>Total</w:t>
            </w:r>
          </w:p>
        </w:tc>
        <w:tc>
          <w:tcPr>
            <w:tcW w:w="1074" w:type="dxa"/>
          </w:tcPr>
          <w:p w14:paraId="7AB00D77" w14:textId="77777777" w:rsidR="009B0FCC" w:rsidRDefault="009B0FCC" w:rsidP="00721F16">
            <w:pPr>
              <w:keepNext/>
              <w:widowControl w:val="0"/>
              <w:spacing w:after="0" w:line="240" w:lineRule="auto"/>
              <w:jc w:val="center"/>
              <w:rPr>
                <w:sz w:val="20"/>
                <w:szCs w:val="20"/>
              </w:rPr>
            </w:pPr>
            <w:r>
              <w:rPr>
                <w:b/>
                <w:sz w:val="20"/>
                <w:szCs w:val="20"/>
              </w:rPr>
              <w:t>0-30% AMI</w:t>
            </w:r>
          </w:p>
        </w:tc>
        <w:tc>
          <w:tcPr>
            <w:tcW w:w="1074" w:type="dxa"/>
          </w:tcPr>
          <w:p w14:paraId="4F019759" w14:textId="77777777" w:rsidR="009B0FCC" w:rsidRDefault="009B0FCC" w:rsidP="00721F16">
            <w:pPr>
              <w:keepNext/>
              <w:widowControl w:val="0"/>
              <w:spacing w:after="0" w:line="240" w:lineRule="auto"/>
              <w:jc w:val="center"/>
              <w:rPr>
                <w:sz w:val="20"/>
                <w:szCs w:val="20"/>
              </w:rPr>
            </w:pPr>
            <w:r>
              <w:rPr>
                <w:b/>
                <w:sz w:val="20"/>
                <w:szCs w:val="20"/>
              </w:rPr>
              <w:t>&gt;30-50% AMI</w:t>
            </w:r>
          </w:p>
        </w:tc>
        <w:tc>
          <w:tcPr>
            <w:tcW w:w="1074" w:type="dxa"/>
          </w:tcPr>
          <w:p w14:paraId="0B181AC2" w14:textId="77777777" w:rsidR="009B0FCC" w:rsidRDefault="009B0FCC" w:rsidP="00721F16">
            <w:pPr>
              <w:keepNext/>
              <w:widowControl w:val="0"/>
              <w:spacing w:after="0" w:line="240" w:lineRule="auto"/>
              <w:jc w:val="center"/>
              <w:rPr>
                <w:sz w:val="20"/>
                <w:szCs w:val="20"/>
              </w:rPr>
            </w:pPr>
            <w:r>
              <w:rPr>
                <w:b/>
                <w:sz w:val="20"/>
                <w:szCs w:val="20"/>
              </w:rPr>
              <w:t>&gt;50-80% AMI</w:t>
            </w:r>
          </w:p>
        </w:tc>
        <w:tc>
          <w:tcPr>
            <w:tcW w:w="1075" w:type="dxa"/>
          </w:tcPr>
          <w:p w14:paraId="36C74DC2" w14:textId="77777777" w:rsidR="009B0FCC" w:rsidRDefault="009B0FCC" w:rsidP="00721F16">
            <w:pPr>
              <w:keepNext/>
              <w:widowControl w:val="0"/>
              <w:spacing w:after="0" w:line="240" w:lineRule="auto"/>
              <w:jc w:val="center"/>
              <w:rPr>
                <w:sz w:val="20"/>
                <w:szCs w:val="20"/>
              </w:rPr>
            </w:pPr>
            <w:r>
              <w:rPr>
                <w:b/>
                <w:sz w:val="20"/>
                <w:szCs w:val="20"/>
              </w:rPr>
              <w:t>&gt;80-100% AMI</w:t>
            </w:r>
          </w:p>
        </w:tc>
        <w:tc>
          <w:tcPr>
            <w:tcW w:w="1075" w:type="dxa"/>
          </w:tcPr>
          <w:p w14:paraId="16FED7AE" w14:textId="77777777" w:rsidR="009B0FCC" w:rsidRDefault="009B0FCC" w:rsidP="00721F16">
            <w:pPr>
              <w:keepNext/>
              <w:widowControl w:val="0"/>
              <w:spacing w:after="0" w:line="240" w:lineRule="auto"/>
              <w:jc w:val="center"/>
              <w:rPr>
                <w:sz w:val="20"/>
                <w:szCs w:val="20"/>
              </w:rPr>
            </w:pPr>
            <w:r>
              <w:rPr>
                <w:b/>
                <w:sz w:val="20"/>
                <w:szCs w:val="20"/>
              </w:rPr>
              <w:t>Total</w:t>
            </w:r>
          </w:p>
        </w:tc>
      </w:tr>
      <w:tr w:rsidR="009B0FCC" w14:paraId="61D0F947" w14:textId="77777777" w:rsidTr="00721F16">
        <w:trPr>
          <w:cantSplit/>
        </w:trPr>
        <w:tc>
          <w:tcPr>
            <w:tcW w:w="13176" w:type="dxa"/>
            <w:gridSpan w:val="11"/>
          </w:tcPr>
          <w:p w14:paraId="59A31E5F" w14:textId="77777777" w:rsidR="009B0FCC" w:rsidRDefault="009B0FCC" w:rsidP="00721F16">
            <w:pPr>
              <w:keepNext/>
              <w:widowControl w:val="0"/>
              <w:spacing w:after="0" w:line="240" w:lineRule="auto"/>
            </w:pPr>
            <w:r>
              <w:t>NUMBER OF HOUSEHOLDS</w:t>
            </w:r>
          </w:p>
        </w:tc>
      </w:tr>
      <w:tr w:rsidR="009B0FCC" w14:paraId="3C73888B" w14:textId="77777777" w:rsidTr="00721F16">
        <w:trPr>
          <w:cantSplit/>
        </w:trPr>
        <w:tc>
          <w:tcPr>
            <w:tcW w:w="0" w:type="auto"/>
          </w:tcPr>
          <w:p w14:paraId="28F7FFAC" w14:textId="77777777" w:rsidR="009B0FCC" w:rsidRDefault="009B0FCC" w:rsidP="00721F16">
            <w:pPr>
              <w:spacing w:beforeAutospacing="1" w:afterAutospacing="1"/>
            </w:pPr>
            <w:r>
              <w:rPr>
                <w:color w:val="000000"/>
              </w:rPr>
              <w:t>Single family households</w:t>
            </w:r>
          </w:p>
        </w:tc>
        <w:tc>
          <w:tcPr>
            <w:tcW w:w="0" w:type="auto"/>
            <w:vAlign w:val="bottom"/>
          </w:tcPr>
          <w:p w14:paraId="4D182C05" w14:textId="77777777" w:rsidR="009B0FCC" w:rsidRDefault="009B0FCC" w:rsidP="00721F16">
            <w:pPr>
              <w:spacing w:beforeAutospacing="1" w:afterAutospacing="1"/>
              <w:jc w:val="right"/>
            </w:pPr>
            <w:r>
              <w:rPr>
                <w:color w:val="000000"/>
              </w:rPr>
              <w:t>1,895</w:t>
            </w:r>
          </w:p>
        </w:tc>
        <w:tc>
          <w:tcPr>
            <w:tcW w:w="0" w:type="auto"/>
            <w:vAlign w:val="bottom"/>
          </w:tcPr>
          <w:p w14:paraId="335DA10C" w14:textId="77777777" w:rsidR="009B0FCC" w:rsidRDefault="009B0FCC" w:rsidP="00721F16">
            <w:pPr>
              <w:spacing w:beforeAutospacing="1" w:afterAutospacing="1"/>
              <w:jc w:val="right"/>
            </w:pPr>
            <w:r>
              <w:rPr>
                <w:color w:val="000000"/>
              </w:rPr>
              <w:t>1,960</w:t>
            </w:r>
          </w:p>
        </w:tc>
        <w:tc>
          <w:tcPr>
            <w:tcW w:w="0" w:type="auto"/>
            <w:vAlign w:val="bottom"/>
          </w:tcPr>
          <w:p w14:paraId="29F80C0C" w14:textId="77777777" w:rsidR="009B0FCC" w:rsidRDefault="009B0FCC" w:rsidP="00721F16">
            <w:pPr>
              <w:spacing w:beforeAutospacing="1" w:afterAutospacing="1"/>
              <w:jc w:val="right"/>
            </w:pPr>
            <w:r>
              <w:rPr>
                <w:color w:val="000000"/>
              </w:rPr>
              <w:t>1,955</w:t>
            </w:r>
          </w:p>
        </w:tc>
        <w:tc>
          <w:tcPr>
            <w:tcW w:w="0" w:type="auto"/>
            <w:vAlign w:val="bottom"/>
          </w:tcPr>
          <w:p w14:paraId="2BF2F52A" w14:textId="77777777" w:rsidR="009B0FCC" w:rsidRDefault="009B0FCC" w:rsidP="00721F16">
            <w:pPr>
              <w:spacing w:beforeAutospacing="1" w:afterAutospacing="1"/>
              <w:jc w:val="right"/>
            </w:pPr>
            <w:r>
              <w:rPr>
                <w:color w:val="000000"/>
              </w:rPr>
              <w:t>685</w:t>
            </w:r>
          </w:p>
        </w:tc>
        <w:tc>
          <w:tcPr>
            <w:tcW w:w="0" w:type="auto"/>
            <w:vAlign w:val="bottom"/>
          </w:tcPr>
          <w:p w14:paraId="22B406B4" w14:textId="77777777" w:rsidR="009B0FCC" w:rsidRDefault="009B0FCC" w:rsidP="00721F16">
            <w:pPr>
              <w:spacing w:beforeAutospacing="1" w:afterAutospacing="1"/>
              <w:jc w:val="right"/>
            </w:pPr>
            <w:r>
              <w:rPr>
                <w:color w:val="000000"/>
              </w:rPr>
              <w:t>6,495</w:t>
            </w:r>
          </w:p>
        </w:tc>
        <w:tc>
          <w:tcPr>
            <w:tcW w:w="0" w:type="auto"/>
            <w:vAlign w:val="bottom"/>
          </w:tcPr>
          <w:p w14:paraId="6F71F4F0" w14:textId="77777777" w:rsidR="009B0FCC" w:rsidRDefault="009B0FCC" w:rsidP="00721F16">
            <w:pPr>
              <w:spacing w:beforeAutospacing="1" w:afterAutospacing="1"/>
              <w:jc w:val="right"/>
            </w:pPr>
            <w:r>
              <w:rPr>
                <w:color w:val="000000"/>
              </w:rPr>
              <w:t>385</w:t>
            </w:r>
          </w:p>
        </w:tc>
        <w:tc>
          <w:tcPr>
            <w:tcW w:w="0" w:type="auto"/>
            <w:vAlign w:val="bottom"/>
          </w:tcPr>
          <w:p w14:paraId="01CE9B52" w14:textId="77777777" w:rsidR="009B0FCC" w:rsidRDefault="009B0FCC" w:rsidP="00721F16">
            <w:pPr>
              <w:spacing w:beforeAutospacing="1" w:afterAutospacing="1"/>
              <w:jc w:val="right"/>
            </w:pPr>
            <w:r>
              <w:rPr>
                <w:color w:val="000000"/>
              </w:rPr>
              <w:t>1,030</w:t>
            </w:r>
          </w:p>
        </w:tc>
        <w:tc>
          <w:tcPr>
            <w:tcW w:w="0" w:type="auto"/>
            <w:vAlign w:val="bottom"/>
          </w:tcPr>
          <w:p w14:paraId="6E293D47" w14:textId="77777777" w:rsidR="009B0FCC" w:rsidRDefault="009B0FCC" w:rsidP="00721F16">
            <w:pPr>
              <w:spacing w:beforeAutospacing="1" w:afterAutospacing="1"/>
              <w:jc w:val="right"/>
            </w:pPr>
            <w:r>
              <w:rPr>
                <w:color w:val="000000"/>
              </w:rPr>
              <w:t>1,580</w:t>
            </w:r>
          </w:p>
        </w:tc>
        <w:tc>
          <w:tcPr>
            <w:tcW w:w="0" w:type="auto"/>
            <w:vAlign w:val="bottom"/>
          </w:tcPr>
          <w:p w14:paraId="3F20B83E" w14:textId="77777777" w:rsidR="009B0FCC" w:rsidRDefault="009B0FCC" w:rsidP="00721F16">
            <w:pPr>
              <w:spacing w:beforeAutospacing="1" w:afterAutospacing="1"/>
              <w:jc w:val="right"/>
            </w:pPr>
            <w:r>
              <w:rPr>
                <w:color w:val="000000"/>
              </w:rPr>
              <w:t>685</w:t>
            </w:r>
          </w:p>
        </w:tc>
        <w:tc>
          <w:tcPr>
            <w:tcW w:w="0" w:type="auto"/>
            <w:vAlign w:val="bottom"/>
          </w:tcPr>
          <w:p w14:paraId="6548FF35" w14:textId="77777777" w:rsidR="009B0FCC" w:rsidRDefault="009B0FCC" w:rsidP="00721F16">
            <w:pPr>
              <w:spacing w:beforeAutospacing="1" w:afterAutospacing="1"/>
              <w:jc w:val="right"/>
            </w:pPr>
            <w:r>
              <w:rPr>
                <w:color w:val="000000"/>
              </w:rPr>
              <w:t>3,680</w:t>
            </w:r>
          </w:p>
        </w:tc>
      </w:tr>
      <w:tr w:rsidR="009B0FCC" w14:paraId="3DB3D08D" w14:textId="77777777" w:rsidTr="00721F16">
        <w:trPr>
          <w:cantSplit/>
        </w:trPr>
        <w:tc>
          <w:tcPr>
            <w:tcW w:w="0" w:type="auto"/>
          </w:tcPr>
          <w:p w14:paraId="374A12BD" w14:textId="77777777" w:rsidR="009B0FCC" w:rsidRDefault="009B0FCC" w:rsidP="00721F16">
            <w:pPr>
              <w:spacing w:beforeAutospacing="1" w:afterAutospacing="1"/>
            </w:pPr>
            <w:r>
              <w:rPr>
                <w:color w:val="000000"/>
              </w:rPr>
              <w:t>Multiple, unrelated family households</w:t>
            </w:r>
          </w:p>
        </w:tc>
        <w:tc>
          <w:tcPr>
            <w:tcW w:w="0" w:type="auto"/>
            <w:vAlign w:val="bottom"/>
          </w:tcPr>
          <w:p w14:paraId="2FBDB91F" w14:textId="77777777" w:rsidR="009B0FCC" w:rsidRDefault="009B0FCC" w:rsidP="00721F16">
            <w:pPr>
              <w:spacing w:beforeAutospacing="1" w:afterAutospacing="1"/>
              <w:jc w:val="right"/>
            </w:pPr>
            <w:r>
              <w:rPr>
                <w:color w:val="000000"/>
              </w:rPr>
              <w:t>40</w:t>
            </w:r>
          </w:p>
        </w:tc>
        <w:tc>
          <w:tcPr>
            <w:tcW w:w="0" w:type="auto"/>
            <w:vAlign w:val="bottom"/>
          </w:tcPr>
          <w:p w14:paraId="1C73B9A6" w14:textId="77777777" w:rsidR="009B0FCC" w:rsidRDefault="009B0FCC" w:rsidP="00721F16">
            <w:pPr>
              <w:spacing w:beforeAutospacing="1" w:afterAutospacing="1"/>
              <w:jc w:val="right"/>
            </w:pPr>
            <w:r>
              <w:rPr>
                <w:color w:val="000000"/>
              </w:rPr>
              <w:t>95</w:t>
            </w:r>
          </w:p>
        </w:tc>
        <w:tc>
          <w:tcPr>
            <w:tcW w:w="0" w:type="auto"/>
            <w:vAlign w:val="bottom"/>
          </w:tcPr>
          <w:p w14:paraId="1EA5D18D" w14:textId="77777777" w:rsidR="009B0FCC" w:rsidRDefault="009B0FCC" w:rsidP="00721F16">
            <w:pPr>
              <w:spacing w:beforeAutospacing="1" w:afterAutospacing="1"/>
              <w:jc w:val="right"/>
            </w:pPr>
            <w:r>
              <w:rPr>
                <w:color w:val="000000"/>
              </w:rPr>
              <w:t>225</w:t>
            </w:r>
          </w:p>
        </w:tc>
        <w:tc>
          <w:tcPr>
            <w:tcW w:w="0" w:type="auto"/>
            <w:vAlign w:val="bottom"/>
          </w:tcPr>
          <w:p w14:paraId="5A64C332" w14:textId="77777777" w:rsidR="009B0FCC" w:rsidRDefault="009B0FCC" w:rsidP="00721F16">
            <w:pPr>
              <w:spacing w:beforeAutospacing="1" w:afterAutospacing="1"/>
              <w:jc w:val="right"/>
            </w:pPr>
            <w:r>
              <w:rPr>
                <w:color w:val="000000"/>
              </w:rPr>
              <w:t>150</w:t>
            </w:r>
          </w:p>
        </w:tc>
        <w:tc>
          <w:tcPr>
            <w:tcW w:w="0" w:type="auto"/>
            <w:vAlign w:val="bottom"/>
          </w:tcPr>
          <w:p w14:paraId="66A13F1C" w14:textId="77777777" w:rsidR="009B0FCC" w:rsidRDefault="009B0FCC" w:rsidP="00721F16">
            <w:pPr>
              <w:spacing w:beforeAutospacing="1" w:afterAutospacing="1"/>
              <w:jc w:val="right"/>
            </w:pPr>
            <w:r>
              <w:rPr>
                <w:color w:val="000000"/>
              </w:rPr>
              <w:t>510</w:t>
            </w:r>
          </w:p>
        </w:tc>
        <w:tc>
          <w:tcPr>
            <w:tcW w:w="0" w:type="auto"/>
            <w:vAlign w:val="bottom"/>
          </w:tcPr>
          <w:p w14:paraId="52FF0F3B" w14:textId="77777777" w:rsidR="009B0FCC" w:rsidRDefault="009B0FCC" w:rsidP="00721F16">
            <w:pPr>
              <w:spacing w:beforeAutospacing="1" w:afterAutospacing="1"/>
              <w:jc w:val="right"/>
            </w:pPr>
            <w:r>
              <w:rPr>
                <w:color w:val="000000"/>
              </w:rPr>
              <w:t>74</w:t>
            </w:r>
          </w:p>
        </w:tc>
        <w:tc>
          <w:tcPr>
            <w:tcW w:w="0" w:type="auto"/>
            <w:vAlign w:val="bottom"/>
          </w:tcPr>
          <w:p w14:paraId="1DF82027" w14:textId="77777777" w:rsidR="009B0FCC" w:rsidRDefault="009B0FCC" w:rsidP="00721F16">
            <w:pPr>
              <w:spacing w:beforeAutospacing="1" w:afterAutospacing="1"/>
              <w:jc w:val="right"/>
            </w:pPr>
            <w:r>
              <w:rPr>
                <w:color w:val="000000"/>
              </w:rPr>
              <w:t>215</w:t>
            </w:r>
          </w:p>
        </w:tc>
        <w:tc>
          <w:tcPr>
            <w:tcW w:w="0" w:type="auto"/>
            <w:vAlign w:val="bottom"/>
          </w:tcPr>
          <w:p w14:paraId="52F64A37" w14:textId="77777777" w:rsidR="009B0FCC" w:rsidRDefault="009B0FCC" w:rsidP="00721F16">
            <w:pPr>
              <w:spacing w:beforeAutospacing="1" w:afterAutospacing="1"/>
              <w:jc w:val="right"/>
            </w:pPr>
            <w:r>
              <w:rPr>
                <w:color w:val="000000"/>
              </w:rPr>
              <w:t>370</w:t>
            </w:r>
          </w:p>
        </w:tc>
        <w:tc>
          <w:tcPr>
            <w:tcW w:w="0" w:type="auto"/>
            <w:vAlign w:val="bottom"/>
          </w:tcPr>
          <w:p w14:paraId="4D89F5D9" w14:textId="77777777" w:rsidR="009B0FCC" w:rsidRDefault="009B0FCC" w:rsidP="00721F16">
            <w:pPr>
              <w:spacing w:beforeAutospacing="1" w:afterAutospacing="1"/>
              <w:jc w:val="right"/>
            </w:pPr>
            <w:r>
              <w:rPr>
                <w:color w:val="000000"/>
              </w:rPr>
              <w:t>135</w:t>
            </w:r>
          </w:p>
        </w:tc>
        <w:tc>
          <w:tcPr>
            <w:tcW w:w="0" w:type="auto"/>
            <w:vAlign w:val="bottom"/>
          </w:tcPr>
          <w:p w14:paraId="40A965D1" w14:textId="77777777" w:rsidR="009B0FCC" w:rsidRDefault="009B0FCC" w:rsidP="00721F16">
            <w:pPr>
              <w:spacing w:beforeAutospacing="1" w:afterAutospacing="1"/>
              <w:jc w:val="right"/>
            </w:pPr>
            <w:r>
              <w:rPr>
                <w:color w:val="000000"/>
              </w:rPr>
              <w:t>794</w:t>
            </w:r>
          </w:p>
        </w:tc>
      </w:tr>
      <w:tr w:rsidR="009B0FCC" w14:paraId="2F0E50B7" w14:textId="77777777" w:rsidTr="00721F16">
        <w:trPr>
          <w:cantSplit/>
        </w:trPr>
        <w:tc>
          <w:tcPr>
            <w:tcW w:w="0" w:type="auto"/>
          </w:tcPr>
          <w:p w14:paraId="365491F5" w14:textId="77777777" w:rsidR="009B0FCC" w:rsidRDefault="009B0FCC" w:rsidP="00721F16">
            <w:pPr>
              <w:spacing w:beforeAutospacing="1" w:afterAutospacing="1"/>
            </w:pPr>
            <w:r>
              <w:rPr>
                <w:color w:val="000000"/>
              </w:rPr>
              <w:t>Other, non-family households</w:t>
            </w:r>
          </w:p>
        </w:tc>
        <w:tc>
          <w:tcPr>
            <w:tcW w:w="0" w:type="auto"/>
            <w:vAlign w:val="bottom"/>
          </w:tcPr>
          <w:p w14:paraId="65702A96" w14:textId="77777777" w:rsidR="009B0FCC" w:rsidRDefault="009B0FCC" w:rsidP="00721F16">
            <w:pPr>
              <w:spacing w:beforeAutospacing="1" w:afterAutospacing="1"/>
              <w:jc w:val="right"/>
            </w:pPr>
            <w:r>
              <w:rPr>
                <w:color w:val="000000"/>
              </w:rPr>
              <w:t>160</w:t>
            </w:r>
          </w:p>
        </w:tc>
        <w:tc>
          <w:tcPr>
            <w:tcW w:w="0" w:type="auto"/>
            <w:vAlign w:val="bottom"/>
          </w:tcPr>
          <w:p w14:paraId="1B1E9A61" w14:textId="77777777" w:rsidR="009B0FCC" w:rsidRDefault="009B0FCC" w:rsidP="00721F16">
            <w:pPr>
              <w:spacing w:beforeAutospacing="1" w:afterAutospacing="1"/>
              <w:jc w:val="right"/>
            </w:pPr>
            <w:r>
              <w:rPr>
                <w:color w:val="000000"/>
              </w:rPr>
              <w:t>240</w:t>
            </w:r>
          </w:p>
        </w:tc>
        <w:tc>
          <w:tcPr>
            <w:tcW w:w="0" w:type="auto"/>
            <w:vAlign w:val="bottom"/>
          </w:tcPr>
          <w:p w14:paraId="00154592" w14:textId="77777777" w:rsidR="009B0FCC" w:rsidRDefault="009B0FCC" w:rsidP="00721F16">
            <w:pPr>
              <w:spacing w:beforeAutospacing="1" w:afterAutospacing="1"/>
              <w:jc w:val="right"/>
            </w:pPr>
            <w:r>
              <w:rPr>
                <w:color w:val="000000"/>
              </w:rPr>
              <w:t>205</w:t>
            </w:r>
          </w:p>
        </w:tc>
        <w:tc>
          <w:tcPr>
            <w:tcW w:w="0" w:type="auto"/>
            <w:vAlign w:val="bottom"/>
          </w:tcPr>
          <w:p w14:paraId="4B1AACB5" w14:textId="77777777" w:rsidR="009B0FCC" w:rsidRDefault="009B0FCC" w:rsidP="00721F16">
            <w:pPr>
              <w:spacing w:beforeAutospacing="1" w:afterAutospacing="1"/>
              <w:jc w:val="right"/>
            </w:pPr>
            <w:r>
              <w:rPr>
                <w:color w:val="000000"/>
              </w:rPr>
              <w:t>40</w:t>
            </w:r>
          </w:p>
        </w:tc>
        <w:tc>
          <w:tcPr>
            <w:tcW w:w="0" w:type="auto"/>
            <w:vAlign w:val="bottom"/>
          </w:tcPr>
          <w:p w14:paraId="59607E36" w14:textId="77777777" w:rsidR="009B0FCC" w:rsidRDefault="009B0FCC" w:rsidP="00721F16">
            <w:pPr>
              <w:spacing w:beforeAutospacing="1" w:afterAutospacing="1"/>
              <w:jc w:val="right"/>
            </w:pPr>
            <w:r>
              <w:rPr>
                <w:color w:val="000000"/>
              </w:rPr>
              <w:t>645</w:t>
            </w:r>
          </w:p>
        </w:tc>
        <w:tc>
          <w:tcPr>
            <w:tcW w:w="0" w:type="auto"/>
            <w:vAlign w:val="bottom"/>
          </w:tcPr>
          <w:p w14:paraId="65D6B8A7" w14:textId="77777777" w:rsidR="009B0FCC" w:rsidRDefault="009B0FCC" w:rsidP="00721F16">
            <w:pPr>
              <w:spacing w:beforeAutospacing="1" w:afterAutospacing="1"/>
              <w:jc w:val="right"/>
            </w:pPr>
            <w:r>
              <w:rPr>
                <w:color w:val="000000"/>
              </w:rPr>
              <w:t>0</w:t>
            </w:r>
          </w:p>
        </w:tc>
        <w:tc>
          <w:tcPr>
            <w:tcW w:w="0" w:type="auto"/>
            <w:vAlign w:val="bottom"/>
          </w:tcPr>
          <w:p w14:paraId="7976D31A" w14:textId="77777777" w:rsidR="009B0FCC" w:rsidRDefault="009B0FCC" w:rsidP="00721F16">
            <w:pPr>
              <w:spacing w:beforeAutospacing="1" w:afterAutospacing="1"/>
              <w:jc w:val="right"/>
            </w:pPr>
            <w:r>
              <w:rPr>
                <w:color w:val="000000"/>
              </w:rPr>
              <w:t>0</w:t>
            </w:r>
          </w:p>
        </w:tc>
        <w:tc>
          <w:tcPr>
            <w:tcW w:w="0" w:type="auto"/>
            <w:vAlign w:val="bottom"/>
          </w:tcPr>
          <w:p w14:paraId="5E8D96FC" w14:textId="77777777" w:rsidR="009B0FCC" w:rsidRDefault="009B0FCC" w:rsidP="00721F16">
            <w:pPr>
              <w:spacing w:beforeAutospacing="1" w:afterAutospacing="1"/>
              <w:jc w:val="right"/>
            </w:pPr>
            <w:r>
              <w:rPr>
                <w:color w:val="000000"/>
              </w:rPr>
              <w:t>20</w:t>
            </w:r>
          </w:p>
        </w:tc>
        <w:tc>
          <w:tcPr>
            <w:tcW w:w="0" w:type="auto"/>
            <w:vAlign w:val="bottom"/>
          </w:tcPr>
          <w:p w14:paraId="78E63C34" w14:textId="77777777" w:rsidR="009B0FCC" w:rsidRDefault="009B0FCC" w:rsidP="00721F16">
            <w:pPr>
              <w:spacing w:beforeAutospacing="1" w:afterAutospacing="1"/>
              <w:jc w:val="right"/>
            </w:pPr>
            <w:r>
              <w:rPr>
                <w:color w:val="000000"/>
              </w:rPr>
              <w:t>35</w:t>
            </w:r>
          </w:p>
        </w:tc>
        <w:tc>
          <w:tcPr>
            <w:tcW w:w="0" w:type="auto"/>
            <w:vAlign w:val="bottom"/>
          </w:tcPr>
          <w:p w14:paraId="33A07DFE" w14:textId="77777777" w:rsidR="009B0FCC" w:rsidRDefault="009B0FCC" w:rsidP="00721F16">
            <w:pPr>
              <w:spacing w:beforeAutospacing="1" w:afterAutospacing="1"/>
              <w:jc w:val="right"/>
            </w:pPr>
            <w:r>
              <w:rPr>
                <w:color w:val="000000"/>
              </w:rPr>
              <w:t>55</w:t>
            </w:r>
          </w:p>
        </w:tc>
      </w:tr>
      <w:tr w:rsidR="009B0FCC" w14:paraId="24679C53" w14:textId="77777777" w:rsidTr="00721F16">
        <w:trPr>
          <w:cantSplit/>
        </w:trPr>
        <w:tc>
          <w:tcPr>
            <w:tcW w:w="0" w:type="auto"/>
          </w:tcPr>
          <w:p w14:paraId="533B5558" w14:textId="77777777" w:rsidR="009B0FCC" w:rsidRDefault="009B0FCC" w:rsidP="00721F16">
            <w:pPr>
              <w:spacing w:beforeAutospacing="1" w:afterAutospacing="1"/>
            </w:pPr>
            <w:r>
              <w:rPr>
                <w:color w:val="000000"/>
              </w:rPr>
              <w:t>Total need by income</w:t>
            </w:r>
          </w:p>
        </w:tc>
        <w:tc>
          <w:tcPr>
            <w:tcW w:w="0" w:type="auto"/>
          </w:tcPr>
          <w:p w14:paraId="2645FB25" w14:textId="77777777" w:rsidR="009B0FCC" w:rsidRDefault="009B0FCC" w:rsidP="00721F16">
            <w:pPr>
              <w:spacing w:beforeAutospacing="1" w:afterAutospacing="1"/>
              <w:jc w:val="right"/>
            </w:pPr>
            <w:r>
              <w:rPr>
                <w:color w:val="000000"/>
              </w:rPr>
              <w:t>2,095</w:t>
            </w:r>
          </w:p>
        </w:tc>
        <w:tc>
          <w:tcPr>
            <w:tcW w:w="0" w:type="auto"/>
          </w:tcPr>
          <w:p w14:paraId="65C07CAD" w14:textId="77777777" w:rsidR="009B0FCC" w:rsidRDefault="009B0FCC" w:rsidP="00721F16">
            <w:pPr>
              <w:spacing w:beforeAutospacing="1" w:afterAutospacing="1"/>
              <w:jc w:val="right"/>
            </w:pPr>
            <w:r>
              <w:rPr>
                <w:color w:val="000000"/>
              </w:rPr>
              <w:t>2,295</w:t>
            </w:r>
          </w:p>
        </w:tc>
        <w:tc>
          <w:tcPr>
            <w:tcW w:w="0" w:type="auto"/>
          </w:tcPr>
          <w:p w14:paraId="247BE891" w14:textId="77777777" w:rsidR="009B0FCC" w:rsidRDefault="009B0FCC" w:rsidP="00721F16">
            <w:pPr>
              <w:spacing w:beforeAutospacing="1" w:afterAutospacing="1"/>
              <w:jc w:val="right"/>
            </w:pPr>
            <w:r>
              <w:rPr>
                <w:color w:val="000000"/>
              </w:rPr>
              <w:t>2,385</w:t>
            </w:r>
          </w:p>
        </w:tc>
        <w:tc>
          <w:tcPr>
            <w:tcW w:w="0" w:type="auto"/>
          </w:tcPr>
          <w:p w14:paraId="4095D5D9" w14:textId="77777777" w:rsidR="009B0FCC" w:rsidRDefault="009B0FCC" w:rsidP="00721F16">
            <w:pPr>
              <w:spacing w:beforeAutospacing="1" w:afterAutospacing="1"/>
              <w:jc w:val="right"/>
            </w:pPr>
            <w:r>
              <w:rPr>
                <w:color w:val="000000"/>
              </w:rPr>
              <w:t>875</w:t>
            </w:r>
          </w:p>
        </w:tc>
        <w:tc>
          <w:tcPr>
            <w:tcW w:w="0" w:type="auto"/>
          </w:tcPr>
          <w:p w14:paraId="4F39B122" w14:textId="77777777" w:rsidR="009B0FCC" w:rsidRDefault="009B0FCC" w:rsidP="00721F16">
            <w:pPr>
              <w:spacing w:beforeAutospacing="1" w:afterAutospacing="1"/>
              <w:jc w:val="right"/>
            </w:pPr>
            <w:r>
              <w:rPr>
                <w:color w:val="000000"/>
              </w:rPr>
              <w:t>7,650</w:t>
            </w:r>
          </w:p>
        </w:tc>
        <w:tc>
          <w:tcPr>
            <w:tcW w:w="0" w:type="auto"/>
          </w:tcPr>
          <w:p w14:paraId="734D543E" w14:textId="77777777" w:rsidR="009B0FCC" w:rsidRDefault="009B0FCC" w:rsidP="00721F16">
            <w:pPr>
              <w:spacing w:beforeAutospacing="1" w:afterAutospacing="1"/>
              <w:jc w:val="right"/>
            </w:pPr>
            <w:r>
              <w:rPr>
                <w:color w:val="000000"/>
              </w:rPr>
              <w:t>459</w:t>
            </w:r>
          </w:p>
        </w:tc>
        <w:tc>
          <w:tcPr>
            <w:tcW w:w="0" w:type="auto"/>
          </w:tcPr>
          <w:p w14:paraId="78A5C821" w14:textId="77777777" w:rsidR="009B0FCC" w:rsidRDefault="009B0FCC" w:rsidP="00721F16">
            <w:pPr>
              <w:spacing w:beforeAutospacing="1" w:afterAutospacing="1"/>
              <w:jc w:val="right"/>
            </w:pPr>
            <w:r>
              <w:rPr>
                <w:color w:val="000000"/>
              </w:rPr>
              <w:t>1,245</w:t>
            </w:r>
          </w:p>
        </w:tc>
        <w:tc>
          <w:tcPr>
            <w:tcW w:w="0" w:type="auto"/>
          </w:tcPr>
          <w:p w14:paraId="0AFB92B4" w14:textId="77777777" w:rsidR="009B0FCC" w:rsidRDefault="009B0FCC" w:rsidP="00721F16">
            <w:pPr>
              <w:spacing w:beforeAutospacing="1" w:afterAutospacing="1"/>
              <w:jc w:val="right"/>
            </w:pPr>
            <w:r>
              <w:rPr>
                <w:color w:val="000000"/>
              </w:rPr>
              <w:t>1,970</w:t>
            </w:r>
          </w:p>
        </w:tc>
        <w:tc>
          <w:tcPr>
            <w:tcW w:w="0" w:type="auto"/>
          </w:tcPr>
          <w:p w14:paraId="7037A87A" w14:textId="77777777" w:rsidR="009B0FCC" w:rsidRDefault="009B0FCC" w:rsidP="00721F16">
            <w:pPr>
              <w:spacing w:beforeAutospacing="1" w:afterAutospacing="1"/>
              <w:jc w:val="right"/>
            </w:pPr>
            <w:r>
              <w:rPr>
                <w:color w:val="000000"/>
              </w:rPr>
              <w:t>855</w:t>
            </w:r>
          </w:p>
        </w:tc>
        <w:tc>
          <w:tcPr>
            <w:tcW w:w="0" w:type="auto"/>
          </w:tcPr>
          <w:p w14:paraId="22474D27" w14:textId="77777777" w:rsidR="009B0FCC" w:rsidRDefault="009B0FCC" w:rsidP="00721F16">
            <w:pPr>
              <w:spacing w:beforeAutospacing="1" w:afterAutospacing="1"/>
              <w:jc w:val="right"/>
            </w:pPr>
            <w:r>
              <w:rPr>
                <w:color w:val="000000"/>
              </w:rPr>
              <w:t>4,529</w:t>
            </w:r>
          </w:p>
        </w:tc>
      </w:tr>
    </w:tbl>
    <w:p w14:paraId="35E4D6BF"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Crowding Information – 1/2</w:t>
      </w:r>
    </w:p>
    <w:tbl>
      <w:tblPr>
        <w:tblW w:w="5000" w:type="pct"/>
        <w:tblInd w:w="115" w:type="dxa"/>
        <w:tblCellMar>
          <w:left w:w="115" w:type="dxa"/>
          <w:right w:w="115" w:type="dxa"/>
        </w:tblCellMar>
        <w:tblLook w:val="01E0" w:firstRow="1" w:lastRow="1" w:firstColumn="1" w:lastColumn="1" w:noHBand="0" w:noVBand="0"/>
      </w:tblPr>
      <w:tblGrid>
        <w:gridCol w:w="966"/>
        <w:gridCol w:w="8394"/>
      </w:tblGrid>
      <w:tr w:rsidR="009B0FCC" w14:paraId="0CDFD503" w14:textId="77777777" w:rsidTr="00721F16">
        <w:trPr>
          <w:cantSplit/>
        </w:trPr>
        <w:tc>
          <w:tcPr>
            <w:tcW w:w="1080" w:type="dxa"/>
          </w:tcPr>
          <w:p w14:paraId="270F38E0" w14:textId="77777777" w:rsidR="009B0FCC" w:rsidRDefault="009B0FCC" w:rsidP="00721F16">
            <w:pPr>
              <w:spacing w:after="0" w:line="240" w:lineRule="auto"/>
              <w:rPr>
                <w:sz w:val="16"/>
                <w:szCs w:val="16"/>
              </w:rPr>
            </w:pPr>
            <w:r>
              <w:rPr>
                <w:b/>
                <w:bCs/>
                <w:sz w:val="16"/>
                <w:szCs w:val="16"/>
              </w:rPr>
              <w:t>Data Source:</w:t>
            </w:r>
          </w:p>
        </w:tc>
        <w:tc>
          <w:tcPr>
            <w:tcW w:w="12110" w:type="dxa"/>
          </w:tcPr>
          <w:p w14:paraId="0E05BAE6" w14:textId="77777777" w:rsidR="009B0FCC" w:rsidRDefault="009B0FCC" w:rsidP="00721F16">
            <w:pPr>
              <w:spacing w:beforeAutospacing="1" w:afterAutospacing="1"/>
              <w:rPr>
                <w:sz w:val="16"/>
                <w:szCs w:val="16"/>
              </w:rPr>
            </w:pPr>
            <w:r>
              <w:rPr>
                <w:sz w:val="16"/>
                <w:szCs w:val="16"/>
              </w:rPr>
              <w:t>2016-2020 CHAS</w:t>
            </w:r>
          </w:p>
        </w:tc>
      </w:tr>
    </w:tbl>
    <w:p w14:paraId="01FB8433" w14:textId="77777777" w:rsidR="009B0FCC" w:rsidRDefault="009B0FCC" w:rsidP="009B0FCC">
      <w:pPr>
        <w:spacing w:after="0" w:line="240" w:lineRule="auto"/>
        <w:rPr>
          <w:vanish/>
        </w:rPr>
      </w:pPr>
    </w:p>
    <w:p w14:paraId="290B3D2B" w14:textId="77777777" w:rsidR="009B0FCC" w:rsidRDefault="009B0FCC" w:rsidP="009B0FCC">
      <w:pPr>
        <w:spacing w:after="0" w:line="240" w:lineRule="auto"/>
        <w:rPr>
          <w:b/>
          <w:bCs/>
          <w:vanish/>
          <w:sz w:val="16"/>
          <w:szCs w:val="16"/>
        </w:rPr>
      </w:pPr>
    </w:p>
    <w:p w14:paraId="2F366DA5" w14:textId="77777777" w:rsidR="009B0FCC" w:rsidRDefault="009B0FCC" w:rsidP="009B0FCC"/>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751"/>
        <w:gridCol w:w="760"/>
        <w:gridCol w:w="760"/>
        <w:gridCol w:w="798"/>
        <w:gridCol w:w="751"/>
        <w:gridCol w:w="760"/>
        <w:gridCol w:w="760"/>
        <w:gridCol w:w="798"/>
      </w:tblGrid>
      <w:tr w:rsidR="009B0FCC" w14:paraId="07BC7CB5" w14:textId="77777777" w:rsidTr="00721F16">
        <w:trPr>
          <w:cantSplit/>
          <w:tblHeader/>
        </w:trPr>
        <w:tc>
          <w:tcPr>
            <w:tcW w:w="2433" w:type="dxa"/>
            <w:vMerge w:val="restart"/>
          </w:tcPr>
          <w:p w14:paraId="5619274F" w14:textId="77777777" w:rsidR="009B0FCC" w:rsidRDefault="009B0FCC" w:rsidP="00721F16">
            <w:pPr>
              <w:pStyle w:val="Caption"/>
              <w:keepNext/>
              <w:keepLines/>
              <w:jc w:val="center"/>
              <w:rPr>
                <w:rFonts w:ascii="Calibri" w:hAnsi="Calibri"/>
              </w:rPr>
            </w:pPr>
          </w:p>
        </w:tc>
        <w:tc>
          <w:tcPr>
            <w:tcW w:w="4297" w:type="dxa"/>
            <w:gridSpan w:val="4"/>
          </w:tcPr>
          <w:p w14:paraId="1E05EFC5" w14:textId="77777777" w:rsidR="009B0FCC" w:rsidRDefault="009B0FCC" w:rsidP="00721F16">
            <w:pPr>
              <w:keepNext/>
              <w:keepLines/>
              <w:spacing w:after="0" w:line="240" w:lineRule="auto"/>
              <w:jc w:val="center"/>
              <w:rPr>
                <w:sz w:val="20"/>
                <w:szCs w:val="20"/>
              </w:rPr>
            </w:pPr>
            <w:r>
              <w:rPr>
                <w:b/>
                <w:bCs/>
                <w:sz w:val="20"/>
                <w:szCs w:val="20"/>
              </w:rPr>
              <w:t>Renter</w:t>
            </w:r>
          </w:p>
        </w:tc>
        <w:tc>
          <w:tcPr>
            <w:tcW w:w="4297" w:type="dxa"/>
            <w:gridSpan w:val="4"/>
          </w:tcPr>
          <w:p w14:paraId="64CC2BE2" w14:textId="77777777" w:rsidR="009B0FCC" w:rsidRDefault="009B0FCC" w:rsidP="00721F16">
            <w:pPr>
              <w:keepNext/>
              <w:keepLines/>
              <w:spacing w:after="0" w:line="240" w:lineRule="auto"/>
              <w:jc w:val="center"/>
              <w:rPr>
                <w:sz w:val="20"/>
                <w:szCs w:val="20"/>
              </w:rPr>
            </w:pPr>
            <w:r>
              <w:rPr>
                <w:b/>
                <w:bCs/>
                <w:sz w:val="20"/>
                <w:szCs w:val="20"/>
              </w:rPr>
              <w:t>Owner</w:t>
            </w:r>
          </w:p>
        </w:tc>
      </w:tr>
      <w:tr w:rsidR="009B0FCC" w14:paraId="629BD1A6" w14:textId="77777777" w:rsidTr="00721F16">
        <w:trPr>
          <w:cantSplit/>
          <w:tblHeader/>
        </w:trPr>
        <w:tc>
          <w:tcPr>
            <w:tcW w:w="2433" w:type="dxa"/>
            <w:vMerge/>
          </w:tcPr>
          <w:p w14:paraId="6508EC0A" w14:textId="77777777" w:rsidR="009B0FCC" w:rsidRDefault="009B0FCC" w:rsidP="00721F16">
            <w:pPr>
              <w:pStyle w:val="Caption"/>
              <w:keepNext/>
              <w:keepLines/>
              <w:jc w:val="center"/>
              <w:rPr>
                <w:rFonts w:ascii="Calibri" w:hAnsi="Calibri"/>
              </w:rPr>
            </w:pPr>
          </w:p>
        </w:tc>
        <w:tc>
          <w:tcPr>
            <w:tcW w:w="1074" w:type="dxa"/>
          </w:tcPr>
          <w:p w14:paraId="225435FE" w14:textId="77777777" w:rsidR="009B0FCC" w:rsidRDefault="009B0FCC" w:rsidP="00721F16">
            <w:pPr>
              <w:keepNext/>
              <w:keepLines/>
              <w:spacing w:after="0" w:line="240" w:lineRule="auto"/>
              <w:jc w:val="center"/>
              <w:rPr>
                <w:sz w:val="20"/>
                <w:szCs w:val="20"/>
              </w:rPr>
            </w:pPr>
            <w:r>
              <w:rPr>
                <w:b/>
                <w:sz w:val="20"/>
                <w:szCs w:val="20"/>
              </w:rPr>
              <w:t>0-30% AMI</w:t>
            </w:r>
          </w:p>
        </w:tc>
        <w:tc>
          <w:tcPr>
            <w:tcW w:w="1074" w:type="dxa"/>
          </w:tcPr>
          <w:p w14:paraId="13A81C81" w14:textId="77777777" w:rsidR="009B0FCC" w:rsidRDefault="009B0FCC" w:rsidP="00721F16">
            <w:pPr>
              <w:keepNext/>
              <w:keepLines/>
              <w:spacing w:after="0" w:line="240" w:lineRule="auto"/>
              <w:jc w:val="center"/>
              <w:rPr>
                <w:sz w:val="20"/>
                <w:szCs w:val="20"/>
              </w:rPr>
            </w:pPr>
            <w:r>
              <w:rPr>
                <w:b/>
                <w:sz w:val="20"/>
                <w:szCs w:val="20"/>
              </w:rPr>
              <w:t>&gt;30-50% AMI</w:t>
            </w:r>
          </w:p>
        </w:tc>
        <w:tc>
          <w:tcPr>
            <w:tcW w:w="1074" w:type="dxa"/>
          </w:tcPr>
          <w:p w14:paraId="335A426D" w14:textId="77777777" w:rsidR="009B0FCC" w:rsidRDefault="009B0FCC" w:rsidP="00721F16">
            <w:pPr>
              <w:keepNext/>
              <w:keepLines/>
              <w:spacing w:after="0" w:line="240" w:lineRule="auto"/>
              <w:jc w:val="center"/>
              <w:rPr>
                <w:sz w:val="20"/>
                <w:szCs w:val="20"/>
              </w:rPr>
            </w:pPr>
            <w:r>
              <w:rPr>
                <w:b/>
                <w:sz w:val="20"/>
                <w:szCs w:val="20"/>
              </w:rPr>
              <w:t>&gt;50-80% AMI</w:t>
            </w:r>
          </w:p>
        </w:tc>
        <w:tc>
          <w:tcPr>
            <w:tcW w:w="1075" w:type="dxa"/>
          </w:tcPr>
          <w:p w14:paraId="28B326F7" w14:textId="77777777" w:rsidR="009B0FCC" w:rsidRDefault="009B0FCC" w:rsidP="00721F16">
            <w:pPr>
              <w:keepNext/>
              <w:keepLines/>
              <w:spacing w:after="0" w:line="240" w:lineRule="auto"/>
              <w:jc w:val="center"/>
              <w:rPr>
                <w:sz w:val="20"/>
                <w:szCs w:val="20"/>
              </w:rPr>
            </w:pPr>
            <w:r>
              <w:rPr>
                <w:b/>
                <w:sz w:val="20"/>
                <w:szCs w:val="20"/>
              </w:rPr>
              <w:t>Total</w:t>
            </w:r>
          </w:p>
        </w:tc>
        <w:tc>
          <w:tcPr>
            <w:tcW w:w="1075" w:type="dxa"/>
          </w:tcPr>
          <w:p w14:paraId="7BEAA3A0" w14:textId="77777777" w:rsidR="009B0FCC" w:rsidRDefault="009B0FCC" w:rsidP="00721F16">
            <w:pPr>
              <w:keepNext/>
              <w:keepLines/>
              <w:spacing w:after="0" w:line="240" w:lineRule="auto"/>
              <w:jc w:val="center"/>
              <w:rPr>
                <w:sz w:val="20"/>
                <w:szCs w:val="20"/>
              </w:rPr>
            </w:pPr>
            <w:r>
              <w:rPr>
                <w:b/>
                <w:sz w:val="20"/>
                <w:szCs w:val="20"/>
              </w:rPr>
              <w:t>0-30% AMI</w:t>
            </w:r>
          </w:p>
        </w:tc>
        <w:tc>
          <w:tcPr>
            <w:tcW w:w="1074" w:type="dxa"/>
          </w:tcPr>
          <w:p w14:paraId="73941F6B" w14:textId="77777777" w:rsidR="009B0FCC" w:rsidRDefault="009B0FCC" w:rsidP="00721F16">
            <w:pPr>
              <w:keepNext/>
              <w:keepLines/>
              <w:spacing w:after="0" w:line="240" w:lineRule="auto"/>
              <w:jc w:val="center"/>
              <w:rPr>
                <w:sz w:val="20"/>
                <w:szCs w:val="20"/>
              </w:rPr>
            </w:pPr>
            <w:r>
              <w:rPr>
                <w:b/>
                <w:sz w:val="20"/>
                <w:szCs w:val="20"/>
              </w:rPr>
              <w:t>&gt;30-50% AMI</w:t>
            </w:r>
          </w:p>
        </w:tc>
        <w:tc>
          <w:tcPr>
            <w:tcW w:w="1074" w:type="dxa"/>
          </w:tcPr>
          <w:p w14:paraId="14863419" w14:textId="77777777" w:rsidR="009B0FCC" w:rsidRDefault="009B0FCC" w:rsidP="00721F16">
            <w:pPr>
              <w:keepNext/>
              <w:keepLines/>
              <w:spacing w:after="0" w:line="240" w:lineRule="auto"/>
              <w:jc w:val="center"/>
              <w:rPr>
                <w:sz w:val="20"/>
                <w:szCs w:val="20"/>
              </w:rPr>
            </w:pPr>
            <w:r>
              <w:rPr>
                <w:b/>
                <w:sz w:val="20"/>
                <w:szCs w:val="20"/>
              </w:rPr>
              <w:t>&gt;50-80% AMI</w:t>
            </w:r>
          </w:p>
        </w:tc>
        <w:tc>
          <w:tcPr>
            <w:tcW w:w="1074" w:type="dxa"/>
          </w:tcPr>
          <w:p w14:paraId="7B897008" w14:textId="77777777" w:rsidR="009B0FCC" w:rsidRDefault="009B0FCC" w:rsidP="00721F16">
            <w:pPr>
              <w:keepNext/>
              <w:keepLines/>
              <w:spacing w:after="0" w:line="240" w:lineRule="auto"/>
              <w:jc w:val="center"/>
              <w:rPr>
                <w:sz w:val="20"/>
                <w:szCs w:val="20"/>
              </w:rPr>
            </w:pPr>
            <w:r>
              <w:rPr>
                <w:b/>
                <w:sz w:val="20"/>
                <w:szCs w:val="20"/>
              </w:rPr>
              <w:t>Total</w:t>
            </w:r>
          </w:p>
        </w:tc>
      </w:tr>
      <w:tr w:rsidR="009B0FCC" w14:paraId="38D75BFF" w14:textId="77777777" w:rsidTr="00721F16">
        <w:trPr>
          <w:cantSplit/>
          <w:tblHeader/>
        </w:trPr>
        <w:tc>
          <w:tcPr>
            <w:tcW w:w="2433" w:type="dxa"/>
          </w:tcPr>
          <w:p w14:paraId="0EC6B921" w14:textId="77777777" w:rsidR="009B0FCC" w:rsidRDefault="009B0FCC" w:rsidP="00721F16">
            <w:pPr>
              <w:keepNext/>
              <w:keepLines/>
              <w:spacing w:after="0" w:line="240" w:lineRule="auto"/>
              <w:rPr>
                <w:szCs w:val="20"/>
              </w:rPr>
            </w:pPr>
            <w:r>
              <w:t>Households with Children Present</w:t>
            </w:r>
          </w:p>
        </w:tc>
        <w:tc>
          <w:tcPr>
            <w:tcW w:w="1074" w:type="dxa"/>
          </w:tcPr>
          <w:p w14:paraId="78B8E912" w14:textId="77777777" w:rsidR="009B0FCC" w:rsidRDefault="009B0FCC" w:rsidP="00721F16">
            <w:pPr>
              <w:keepNext/>
              <w:keepLines/>
              <w:spacing w:after="0" w:line="240" w:lineRule="auto"/>
            </w:pPr>
          </w:p>
        </w:tc>
        <w:tc>
          <w:tcPr>
            <w:tcW w:w="1074" w:type="dxa"/>
          </w:tcPr>
          <w:p w14:paraId="68D25FAE" w14:textId="77777777" w:rsidR="009B0FCC" w:rsidRDefault="009B0FCC" w:rsidP="00721F16">
            <w:pPr>
              <w:keepNext/>
              <w:keepLines/>
              <w:spacing w:after="0" w:line="240" w:lineRule="auto"/>
            </w:pPr>
          </w:p>
        </w:tc>
        <w:tc>
          <w:tcPr>
            <w:tcW w:w="1074" w:type="dxa"/>
          </w:tcPr>
          <w:p w14:paraId="69AD980F" w14:textId="77777777" w:rsidR="009B0FCC" w:rsidRDefault="009B0FCC" w:rsidP="00721F16">
            <w:pPr>
              <w:keepNext/>
              <w:keepLines/>
              <w:spacing w:after="0" w:line="240" w:lineRule="auto"/>
            </w:pPr>
          </w:p>
        </w:tc>
        <w:tc>
          <w:tcPr>
            <w:tcW w:w="1075" w:type="dxa"/>
          </w:tcPr>
          <w:p w14:paraId="43AF6F56" w14:textId="77777777" w:rsidR="009B0FCC" w:rsidRDefault="009B0FCC" w:rsidP="00721F16">
            <w:pPr>
              <w:keepNext/>
              <w:keepLines/>
              <w:spacing w:after="0" w:line="240" w:lineRule="auto"/>
            </w:pPr>
          </w:p>
        </w:tc>
        <w:tc>
          <w:tcPr>
            <w:tcW w:w="1075" w:type="dxa"/>
          </w:tcPr>
          <w:p w14:paraId="3C4F01B2" w14:textId="77777777" w:rsidR="009B0FCC" w:rsidRDefault="009B0FCC" w:rsidP="00721F16">
            <w:pPr>
              <w:keepNext/>
              <w:keepLines/>
              <w:spacing w:after="0" w:line="240" w:lineRule="auto"/>
            </w:pPr>
          </w:p>
        </w:tc>
        <w:tc>
          <w:tcPr>
            <w:tcW w:w="1074" w:type="dxa"/>
          </w:tcPr>
          <w:p w14:paraId="3E00E022" w14:textId="77777777" w:rsidR="009B0FCC" w:rsidRDefault="009B0FCC" w:rsidP="00721F16">
            <w:pPr>
              <w:keepNext/>
              <w:keepLines/>
              <w:spacing w:after="0" w:line="240" w:lineRule="auto"/>
            </w:pPr>
          </w:p>
        </w:tc>
        <w:tc>
          <w:tcPr>
            <w:tcW w:w="1074" w:type="dxa"/>
          </w:tcPr>
          <w:p w14:paraId="42A3435B" w14:textId="77777777" w:rsidR="009B0FCC" w:rsidRDefault="009B0FCC" w:rsidP="00721F16">
            <w:pPr>
              <w:keepNext/>
              <w:keepLines/>
              <w:spacing w:after="0" w:line="240" w:lineRule="auto"/>
            </w:pPr>
          </w:p>
        </w:tc>
        <w:tc>
          <w:tcPr>
            <w:tcW w:w="1074" w:type="dxa"/>
          </w:tcPr>
          <w:p w14:paraId="0C5BCD15" w14:textId="77777777" w:rsidR="009B0FCC" w:rsidRDefault="009B0FCC" w:rsidP="00721F16">
            <w:pPr>
              <w:keepNext/>
              <w:keepLines/>
              <w:spacing w:after="0" w:line="240" w:lineRule="auto"/>
            </w:pPr>
          </w:p>
        </w:tc>
      </w:tr>
    </w:tbl>
    <w:p w14:paraId="38F11669"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Crowding Information – 2/2</w:t>
      </w:r>
    </w:p>
    <w:p w14:paraId="13F58CA5" w14:textId="77777777" w:rsidR="009B0FCC" w:rsidRDefault="009B0FCC" w:rsidP="009B0FCC">
      <w:pPr>
        <w:keepNext/>
        <w:keepLines/>
        <w:spacing w:after="0" w:line="240" w:lineRule="auto"/>
        <w:rPr>
          <w:vanish/>
        </w:rPr>
      </w:pPr>
    </w:p>
    <w:p w14:paraId="4E2148E4" w14:textId="77777777" w:rsidR="009B0FCC" w:rsidRDefault="009B0FCC" w:rsidP="009B0FCC">
      <w:pPr>
        <w:keepNext/>
        <w:keepLines/>
        <w:spacing w:after="0" w:line="240" w:lineRule="auto"/>
        <w:rPr>
          <w:b/>
          <w:bCs/>
          <w:vanish/>
          <w:sz w:val="16"/>
          <w:szCs w:val="16"/>
        </w:rPr>
      </w:pPr>
    </w:p>
    <w:p w14:paraId="6DF64072" w14:textId="77777777" w:rsidR="009B0FCC" w:rsidRDefault="009B0FCC" w:rsidP="009B0FCC"/>
    <w:p w14:paraId="1B134BA7" w14:textId="77777777" w:rsidR="009B0FCC" w:rsidRDefault="009B0FCC" w:rsidP="00E256FC">
      <w:pPr>
        <w:jc w:val="both"/>
        <w:rPr>
          <w:b/>
          <w:bCs/>
          <w:sz w:val="24"/>
          <w:szCs w:val="24"/>
        </w:rPr>
      </w:pPr>
      <w:bookmarkStart w:id="17" w:name="_Hlk193706568"/>
      <w:r w:rsidRPr="497B8E2D">
        <w:rPr>
          <w:b/>
          <w:bCs/>
          <w:sz w:val="24"/>
          <w:szCs w:val="24"/>
        </w:rPr>
        <w:t>Describe the number and type of single person households in need of housing assistance.</w:t>
      </w:r>
    </w:p>
    <w:bookmarkEnd w:id="17"/>
    <w:p w14:paraId="4E4A116C" w14:textId="2BCC2AA2" w:rsidR="009B0FCC" w:rsidRPr="00294BD0" w:rsidRDefault="009B0FCC" w:rsidP="00E256FC">
      <w:pPr>
        <w:jc w:val="both"/>
        <w:rPr>
          <w:sz w:val="24"/>
          <w:szCs w:val="24"/>
        </w:rPr>
      </w:pPr>
      <w:r w:rsidRPr="00294BD0">
        <w:rPr>
          <w:rFonts w:cs="Calibri"/>
          <w:color w:val="000000" w:themeColor="text1"/>
          <w:sz w:val="24"/>
          <w:szCs w:val="24"/>
        </w:rPr>
        <w:t>According to HUD 2018-2022 Census data, 24.74% of all households in the State of Idaho were single-person households, or 167,052 households. This is a -1.</w:t>
      </w:r>
      <w:r w:rsidR="0740431F" w:rsidRPr="00294BD0">
        <w:rPr>
          <w:rFonts w:cs="Calibri"/>
          <w:color w:val="000000" w:themeColor="text1"/>
          <w:sz w:val="24"/>
          <w:szCs w:val="24"/>
        </w:rPr>
        <w:t>4</w:t>
      </w:r>
      <w:r w:rsidRPr="00294BD0">
        <w:rPr>
          <w:rFonts w:cs="Calibri"/>
          <w:color w:val="000000" w:themeColor="text1"/>
          <w:sz w:val="24"/>
          <w:szCs w:val="24"/>
        </w:rPr>
        <w:t xml:space="preserve">% decline from 2017 in which </w:t>
      </w:r>
      <w:r w:rsidRPr="00294BD0">
        <w:rPr>
          <w:rFonts w:cs="Calibri"/>
          <w:color w:val="000000" w:themeColor="text1"/>
          <w:sz w:val="24"/>
          <w:szCs w:val="24"/>
        </w:rPr>
        <w:lastRenderedPageBreak/>
        <w:t xml:space="preserve">26.13% of households were single-person households. Renters are more likely than homeowners to live in single-person households and renter households are more likely to be cost burdened. The chart below shows the counties that have the highest densities of single-person households. Elderly residents living in single-person households and on fixed incomes may need housing assistance.  </w:t>
      </w:r>
      <w:r w:rsidRPr="00294BD0">
        <w:rPr>
          <w:rFonts w:cs="Calibri"/>
          <w:sz w:val="24"/>
          <w:szCs w:val="24"/>
        </w:rPr>
        <w:t xml:space="preserve"> </w:t>
      </w:r>
    </w:p>
    <w:p w14:paraId="743ACA76" w14:textId="0FFCFF50" w:rsidR="009B0FCC" w:rsidRPr="001770B0" w:rsidRDefault="00042E05" w:rsidP="00E256FC">
      <w:pPr>
        <w:jc w:val="both"/>
        <w:rPr>
          <w:sz w:val="24"/>
          <w:szCs w:val="24"/>
        </w:rPr>
      </w:pPr>
      <w:r w:rsidRPr="001770B0">
        <w:rPr>
          <w:sz w:val="24"/>
          <w:szCs w:val="24"/>
        </w:rPr>
        <w:t xml:space="preserve">See </w:t>
      </w:r>
      <w:r w:rsidR="001770B0" w:rsidRPr="001770B0">
        <w:rPr>
          <w:sz w:val="24"/>
          <w:szCs w:val="24"/>
        </w:rPr>
        <w:t>U</w:t>
      </w:r>
      <w:r w:rsidRPr="001770B0">
        <w:rPr>
          <w:sz w:val="24"/>
          <w:szCs w:val="24"/>
        </w:rPr>
        <w:t xml:space="preserve">nique </w:t>
      </w:r>
      <w:r w:rsidR="001770B0" w:rsidRPr="001770B0">
        <w:rPr>
          <w:sz w:val="24"/>
          <w:szCs w:val="24"/>
        </w:rPr>
        <w:t>A</w:t>
      </w:r>
      <w:r w:rsidRPr="001770B0">
        <w:rPr>
          <w:sz w:val="24"/>
          <w:szCs w:val="24"/>
        </w:rPr>
        <w:t>ppendices for a table</w:t>
      </w:r>
      <w:r w:rsidR="001770B0" w:rsidRPr="001770B0">
        <w:rPr>
          <w:sz w:val="24"/>
          <w:szCs w:val="24"/>
        </w:rPr>
        <w:t>.</w:t>
      </w:r>
    </w:p>
    <w:p w14:paraId="30A127B7" w14:textId="46CE13F4" w:rsidR="009B0FCC" w:rsidRDefault="009B0FCC" w:rsidP="00E256FC">
      <w:pPr>
        <w:jc w:val="both"/>
        <w:rPr>
          <w:b/>
          <w:bCs/>
          <w:sz w:val="24"/>
          <w:szCs w:val="24"/>
        </w:rPr>
      </w:pPr>
      <w:bookmarkStart w:id="18" w:name="_Hlk193706641"/>
      <w:r w:rsidRPr="497B8E2D">
        <w:rPr>
          <w:b/>
          <w:bCs/>
          <w:sz w:val="24"/>
          <w:szCs w:val="24"/>
        </w:rPr>
        <w:t>Estimate the number and type of families in need of housing assistance who are disabled or victims of domestic violence, dating violence, sexual assault and stalking.</w:t>
      </w:r>
    </w:p>
    <w:p w14:paraId="3402FB10" w14:textId="75ADF7D1" w:rsidR="009B0FCC" w:rsidRPr="001770B0" w:rsidRDefault="00CB2611" w:rsidP="00E256FC">
      <w:pPr>
        <w:jc w:val="both"/>
      </w:pPr>
      <w:r w:rsidRPr="001770B0">
        <w:rPr>
          <w:sz w:val="24"/>
          <w:szCs w:val="24"/>
        </w:rPr>
        <w:t xml:space="preserve">See </w:t>
      </w:r>
      <w:r w:rsidR="001770B0">
        <w:rPr>
          <w:sz w:val="24"/>
          <w:szCs w:val="24"/>
        </w:rPr>
        <w:t>U</w:t>
      </w:r>
      <w:r w:rsidRPr="001770B0">
        <w:rPr>
          <w:sz w:val="24"/>
          <w:szCs w:val="24"/>
        </w:rPr>
        <w:t xml:space="preserve">nique </w:t>
      </w:r>
      <w:r w:rsidR="001770B0">
        <w:rPr>
          <w:sz w:val="24"/>
          <w:szCs w:val="24"/>
        </w:rPr>
        <w:t>A</w:t>
      </w:r>
      <w:r w:rsidRPr="001770B0">
        <w:rPr>
          <w:sz w:val="24"/>
          <w:szCs w:val="24"/>
        </w:rPr>
        <w:t>ppendices</w:t>
      </w:r>
      <w:r w:rsidR="001770B0" w:rsidRPr="001770B0">
        <w:rPr>
          <w:sz w:val="24"/>
          <w:szCs w:val="24"/>
        </w:rPr>
        <w:t>.</w:t>
      </w:r>
      <w:bookmarkEnd w:id="18"/>
    </w:p>
    <w:p w14:paraId="01B58E16" w14:textId="77777777" w:rsidR="009B0FCC" w:rsidRDefault="009B0FCC" w:rsidP="00E256FC">
      <w:pPr>
        <w:jc w:val="both"/>
        <w:rPr>
          <w:b/>
          <w:sz w:val="24"/>
          <w:szCs w:val="24"/>
        </w:rPr>
      </w:pPr>
      <w:r w:rsidRPr="497B8E2D">
        <w:rPr>
          <w:b/>
          <w:bCs/>
          <w:sz w:val="24"/>
          <w:szCs w:val="24"/>
        </w:rPr>
        <w:t>What are the most common housing problems?</w:t>
      </w:r>
    </w:p>
    <w:p w14:paraId="2D188CC7" w14:textId="77777777" w:rsidR="009B0FCC" w:rsidRDefault="009B0FCC" w:rsidP="00E256FC">
      <w:pPr>
        <w:jc w:val="both"/>
        <w:rPr>
          <w:rFonts w:ascii="Aptos" w:eastAsia="Aptos" w:hAnsi="Aptos" w:cs="Aptos"/>
          <w:sz w:val="24"/>
          <w:szCs w:val="24"/>
        </w:rPr>
      </w:pPr>
      <w:r w:rsidRPr="497B8E2D">
        <w:rPr>
          <w:rFonts w:ascii="Aptos" w:eastAsia="Aptos" w:hAnsi="Aptos" w:cs="Aptos"/>
          <w:color w:val="000000" w:themeColor="text1"/>
          <w:sz w:val="24"/>
          <w:szCs w:val="24"/>
        </w:rPr>
        <w:t>Housing cost burden is the most common housing problem in the State of Idaho. Resources spent on housing become unavailable for transportation, health care, childcare, and education. All these factors reinforce each other creating an economic situation that is difficult to exit. High housing costs reduce the availability of reliable transportation which prevents access to new economic opportunities which then makes it difficult to earn enough money to cover housing expenses.</w:t>
      </w:r>
    </w:p>
    <w:p w14:paraId="21DD7D46" w14:textId="64111C52" w:rsidR="009B0FCC" w:rsidRDefault="009B0FCC" w:rsidP="00E256FC">
      <w:pPr>
        <w:jc w:val="both"/>
        <w:rPr>
          <w:rFonts w:ascii="Aptos" w:eastAsia="Aptos" w:hAnsi="Aptos" w:cs="Aptos"/>
          <w:color w:val="000000" w:themeColor="text1"/>
          <w:sz w:val="24"/>
          <w:szCs w:val="24"/>
        </w:rPr>
      </w:pPr>
      <w:r w:rsidRPr="497B8E2D">
        <w:rPr>
          <w:rFonts w:ascii="Aptos" w:eastAsia="Aptos" w:hAnsi="Aptos" w:cs="Aptos"/>
          <w:color w:val="000000" w:themeColor="text1"/>
          <w:sz w:val="24"/>
          <w:szCs w:val="24"/>
        </w:rPr>
        <w:t>A housing unit is considered cost-burdened when between 30</w:t>
      </w:r>
      <w:r w:rsidR="08BA0B7D" w:rsidRPr="06DFF821">
        <w:rPr>
          <w:rFonts w:ascii="Aptos" w:eastAsia="Aptos" w:hAnsi="Aptos" w:cs="Aptos"/>
          <w:color w:val="000000" w:themeColor="text1"/>
          <w:sz w:val="24"/>
          <w:szCs w:val="24"/>
        </w:rPr>
        <w:t>%</w:t>
      </w:r>
      <w:r w:rsidRPr="497B8E2D">
        <w:rPr>
          <w:rFonts w:ascii="Aptos" w:eastAsia="Aptos" w:hAnsi="Aptos" w:cs="Aptos"/>
          <w:color w:val="000000" w:themeColor="text1"/>
          <w:sz w:val="24"/>
          <w:szCs w:val="24"/>
        </w:rPr>
        <w:t xml:space="preserve"> and 50</w:t>
      </w:r>
      <w:r w:rsidR="49002825" w:rsidRPr="5338652A">
        <w:rPr>
          <w:rFonts w:ascii="Aptos" w:eastAsia="Aptos" w:hAnsi="Aptos" w:cs="Aptos"/>
          <w:color w:val="000000" w:themeColor="text1"/>
          <w:sz w:val="24"/>
          <w:szCs w:val="24"/>
        </w:rPr>
        <w:t>%</w:t>
      </w:r>
      <w:r w:rsidRPr="497B8E2D">
        <w:rPr>
          <w:rFonts w:ascii="Aptos" w:eastAsia="Aptos" w:hAnsi="Aptos" w:cs="Aptos"/>
          <w:color w:val="000000" w:themeColor="text1"/>
          <w:sz w:val="24"/>
          <w:szCs w:val="24"/>
        </w:rPr>
        <w:t xml:space="preserve"> of its income goes toward housing </w:t>
      </w:r>
      <w:proofErr w:type="gramStart"/>
      <w:r w:rsidRPr="497B8E2D">
        <w:rPr>
          <w:rFonts w:ascii="Aptos" w:eastAsia="Aptos" w:hAnsi="Aptos" w:cs="Aptos"/>
          <w:color w:val="000000" w:themeColor="text1"/>
          <w:sz w:val="24"/>
          <w:szCs w:val="24"/>
        </w:rPr>
        <w:t>costs, and</w:t>
      </w:r>
      <w:proofErr w:type="gramEnd"/>
      <w:r w:rsidRPr="497B8E2D">
        <w:rPr>
          <w:rFonts w:ascii="Aptos" w:eastAsia="Aptos" w:hAnsi="Aptos" w:cs="Aptos"/>
          <w:color w:val="000000" w:themeColor="text1"/>
          <w:sz w:val="24"/>
          <w:szCs w:val="24"/>
        </w:rPr>
        <w:t xml:space="preserve"> severely cost-burdened when housing costs consume more than 50</w:t>
      </w:r>
      <w:r w:rsidR="511B4B75" w:rsidRPr="06DFF821">
        <w:rPr>
          <w:rFonts w:ascii="Aptos" w:eastAsia="Aptos" w:hAnsi="Aptos" w:cs="Aptos"/>
          <w:color w:val="000000" w:themeColor="text1"/>
          <w:sz w:val="24"/>
          <w:szCs w:val="24"/>
        </w:rPr>
        <w:t>%</w:t>
      </w:r>
      <w:r w:rsidRPr="497B8E2D">
        <w:rPr>
          <w:rFonts w:ascii="Aptos" w:eastAsia="Aptos" w:hAnsi="Aptos" w:cs="Aptos"/>
          <w:color w:val="000000" w:themeColor="text1"/>
          <w:sz w:val="24"/>
          <w:szCs w:val="24"/>
        </w:rPr>
        <w:t xml:space="preserve"> of a household’s income as shown in Tables 8 and 9 above.  Table 7 shows that 74,420 households are cost-burdened, and 63,075 households are severely cost burdened. Out of all households that experience a housing problem, 45.2% experience cost burden and 38.2% experience extreme cost burden. </w:t>
      </w:r>
    </w:p>
    <w:p w14:paraId="491B9BC7" w14:textId="77777777" w:rsidR="009B0FCC" w:rsidRDefault="009B0FCC" w:rsidP="00E256FC">
      <w:pPr>
        <w:jc w:val="both"/>
        <w:rPr>
          <w:b/>
          <w:sz w:val="24"/>
          <w:szCs w:val="24"/>
        </w:rPr>
      </w:pPr>
      <w:r w:rsidRPr="497B8E2D">
        <w:rPr>
          <w:b/>
          <w:bCs/>
          <w:sz w:val="24"/>
          <w:szCs w:val="24"/>
        </w:rPr>
        <w:t>Are any populations/household types more affected than others by these problems?</w:t>
      </w:r>
    </w:p>
    <w:p w14:paraId="433407B8" w14:textId="77777777" w:rsidR="009B0FCC" w:rsidRDefault="009B0FCC" w:rsidP="00E256FC">
      <w:pPr>
        <w:jc w:val="both"/>
        <w:rPr>
          <w:rFonts w:ascii="Aptos" w:eastAsia="Aptos" w:hAnsi="Aptos" w:cs="Aptos"/>
          <w:color w:val="000000" w:themeColor="text1"/>
          <w:sz w:val="24"/>
          <w:szCs w:val="24"/>
          <w:highlight w:val="yellow"/>
        </w:rPr>
      </w:pPr>
      <w:r w:rsidRPr="497B8E2D">
        <w:rPr>
          <w:rFonts w:ascii="Aptos" w:eastAsia="Aptos" w:hAnsi="Aptos" w:cs="Aptos"/>
          <w:color w:val="000000" w:themeColor="text1"/>
          <w:sz w:val="24"/>
          <w:szCs w:val="24"/>
        </w:rPr>
        <w:t>Renter and owner households between 0-50% AMI are most affected by cost-burdening. Table 9 shows that out of the 134,920 combined owner and renter households that were cost-burdened, 93,365 were in income categories between 0-50% AMI (69.2%). Renter households experience cost burden at a higher rate than homeowner households – 42% of renter households and 19.94% of homeowner households experience housing cost burden, while 17.95% of renter households and 7.7% of homeowner households experience severe housing cost burden.</w:t>
      </w:r>
    </w:p>
    <w:p w14:paraId="3E19034C" w14:textId="77777777" w:rsidR="009B0FCC" w:rsidRDefault="009B0FCC" w:rsidP="00E256FC">
      <w:pPr>
        <w:jc w:val="both"/>
        <w:rPr>
          <w:rFonts w:ascii="Aptos" w:eastAsia="Aptos" w:hAnsi="Aptos" w:cs="Aptos"/>
          <w:sz w:val="24"/>
          <w:szCs w:val="24"/>
        </w:rPr>
      </w:pPr>
      <w:r w:rsidRPr="497B8E2D">
        <w:rPr>
          <w:rFonts w:ascii="Aptos" w:eastAsia="Aptos" w:hAnsi="Aptos" w:cs="Aptos"/>
          <w:sz w:val="24"/>
          <w:szCs w:val="24"/>
        </w:rPr>
        <w:t xml:space="preserve">Small, related renter households are most likely to be cost burdened and extremely cost burdened. For owner occupied households, the elderly population is most likely to be affected by cost burdened and severe cost burden. </w:t>
      </w:r>
    </w:p>
    <w:p w14:paraId="60A05233" w14:textId="77777777" w:rsidR="009B0FCC" w:rsidRDefault="009B0FCC" w:rsidP="00E256FC">
      <w:pPr>
        <w:jc w:val="both"/>
        <w:rPr>
          <w:b/>
          <w:bCs/>
          <w:sz w:val="24"/>
          <w:szCs w:val="24"/>
        </w:rPr>
      </w:pPr>
      <w:r w:rsidRPr="497B8E2D">
        <w:rPr>
          <w:b/>
          <w:bCs/>
          <w:sz w:val="24"/>
          <w:szCs w:val="24"/>
        </w:rPr>
        <w:lastRenderedPageBreak/>
        <w:t>Describe the characteristics and needs of Low-income individuals and families with children (especially extremely low-income) who are currently housed but are at imminent risk of either residing in shelters or becoming unsheltered 91.205(c)/91.305(c)). Also discuss the needs of formerly homeless families and individuals who are receiving rapid re-housing assistance and are nearing the termination of that assistance</w:t>
      </w:r>
    </w:p>
    <w:p w14:paraId="32CF288F" w14:textId="3A8AE9F7" w:rsidR="009B0FCC" w:rsidRPr="00294BD0" w:rsidRDefault="009B0FCC" w:rsidP="00E256FC">
      <w:pPr>
        <w:spacing w:before="240" w:after="240"/>
        <w:jc w:val="both"/>
        <w:rPr>
          <w:rFonts w:cs="Calibri"/>
          <w:color w:val="000000" w:themeColor="text1"/>
          <w:sz w:val="24"/>
          <w:szCs w:val="24"/>
        </w:rPr>
      </w:pPr>
      <w:r w:rsidRPr="6D2C4508">
        <w:rPr>
          <w:rFonts w:asciiTheme="minorHAnsi" w:eastAsiaTheme="minorEastAsia" w:hAnsiTheme="minorHAnsi" w:cstheme="minorBidi"/>
          <w:color w:val="000000" w:themeColor="text1"/>
          <w:sz w:val="24"/>
          <w:szCs w:val="24"/>
        </w:rPr>
        <w:t xml:space="preserve">Low-income, cost-burdened residents are most at risk of becoming unsheltered. </w:t>
      </w:r>
      <w:r w:rsidR="65D17634" w:rsidRPr="00294BD0">
        <w:rPr>
          <w:rFonts w:cs="Calibri"/>
          <w:color w:val="000000" w:themeColor="text1"/>
          <w:sz w:val="24"/>
          <w:szCs w:val="24"/>
        </w:rPr>
        <w:t>HUD defines extremely low-income households as those earning 0-30% of the Area Median Income (AMI) and considers households spending over 50% of their income on housing to be severely cost burdened. According to 201</w:t>
      </w:r>
      <w:r w:rsidR="7EF557D3" w:rsidRPr="00294BD0">
        <w:rPr>
          <w:rFonts w:cs="Calibri"/>
          <w:color w:val="000000" w:themeColor="text1"/>
          <w:sz w:val="24"/>
          <w:szCs w:val="24"/>
        </w:rPr>
        <w:t>6</w:t>
      </w:r>
      <w:r w:rsidR="65D17634" w:rsidRPr="00294BD0">
        <w:rPr>
          <w:rFonts w:cs="Calibri"/>
          <w:color w:val="000000" w:themeColor="text1"/>
          <w:sz w:val="24"/>
          <w:szCs w:val="24"/>
        </w:rPr>
        <w:t>-202</w:t>
      </w:r>
      <w:r w:rsidR="077BEEB5" w:rsidRPr="00294BD0">
        <w:rPr>
          <w:rFonts w:cs="Calibri"/>
          <w:color w:val="000000" w:themeColor="text1"/>
          <w:sz w:val="24"/>
          <w:szCs w:val="24"/>
        </w:rPr>
        <w:t>0</w:t>
      </w:r>
      <w:r w:rsidR="65D17634" w:rsidRPr="00294BD0">
        <w:rPr>
          <w:rFonts w:cs="Calibri"/>
          <w:color w:val="000000" w:themeColor="text1"/>
          <w:sz w:val="24"/>
          <w:szCs w:val="24"/>
        </w:rPr>
        <w:t xml:space="preserve"> CHAS data from the Housing Needs Summary Tables, the most pressing issue for extremely low-income households and families with children in </w:t>
      </w:r>
      <w:r w:rsidR="6C2620DB" w:rsidRPr="00294BD0">
        <w:rPr>
          <w:rFonts w:cs="Calibri"/>
          <w:color w:val="000000" w:themeColor="text1"/>
          <w:sz w:val="24"/>
          <w:szCs w:val="24"/>
        </w:rPr>
        <w:t>Idaho</w:t>
      </w:r>
      <w:r w:rsidR="65D17634" w:rsidRPr="00294BD0">
        <w:rPr>
          <w:rFonts w:cs="Calibri"/>
          <w:color w:val="000000" w:themeColor="text1"/>
          <w:sz w:val="24"/>
          <w:szCs w:val="24"/>
        </w:rPr>
        <w:t xml:space="preserve"> is the limited availability of affordable housing. In </w:t>
      </w:r>
      <w:r w:rsidR="29181193" w:rsidRPr="00294BD0">
        <w:rPr>
          <w:rFonts w:cs="Calibri"/>
          <w:color w:val="000000" w:themeColor="text1"/>
          <w:sz w:val="24"/>
          <w:szCs w:val="24"/>
        </w:rPr>
        <w:t>Idaho</w:t>
      </w:r>
      <w:r w:rsidR="65D17634" w:rsidRPr="00294BD0">
        <w:rPr>
          <w:rFonts w:cs="Calibri"/>
          <w:color w:val="000000" w:themeColor="text1"/>
          <w:sz w:val="24"/>
          <w:szCs w:val="24"/>
        </w:rPr>
        <w:t>, approximately 1</w:t>
      </w:r>
      <w:r w:rsidR="2442AC82" w:rsidRPr="00294BD0">
        <w:rPr>
          <w:rFonts w:cs="Calibri"/>
          <w:color w:val="000000" w:themeColor="text1"/>
          <w:sz w:val="24"/>
          <w:szCs w:val="24"/>
        </w:rPr>
        <w:t>3,485</w:t>
      </w:r>
      <w:r w:rsidR="65D17634" w:rsidRPr="00294BD0">
        <w:rPr>
          <w:rFonts w:cs="Calibri"/>
          <w:color w:val="000000" w:themeColor="text1"/>
          <w:sz w:val="24"/>
          <w:szCs w:val="24"/>
        </w:rPr>
        <w:t xml:space="preserve"> extremely low-income homeowner households and </w:t>
      </w:r>
      <w:r w:rsidR="114F20EC" w:rsidRPr="00294BD0">
        <w:rPr>
          <w:rFonts w:cs="Calibri"/>
          <w:color w:val="000000" w:themeColor="text1"/>
          <w:sz w:val="24"/>
          <w:szCs w:val="24"/>
        </w:rPr>
        <w:t>30,690</w:t>
      </w:r>
      <w:r w:rsidR="65D17634" w:rsidRPr="00294BD0">
        <w:rPr>
          <w:rFonts w:cs="Calibri"/>
          <w:color w:val="000000" w:themeColor="text1"/>
          <w:sz w:val="24"/>
          <w:szCs w:val="24"/>
        </w:rPr>
        <w:t xml:space="preserve"> </w:t>
      </w:r>
      <w:r w:rsidR="279D91DA" w:rsidRPr="00294BD0">
        <w:rPr>
          <w:rFonts w:cs="Calibri"/>
          <w:color w:val="000000" w:themeColor="text1"/>
          <w:sz w:val="24"/>
          <w:szCs w:val="24"/>
        </w:rPr>
        <w:t xml:space="preserve">extremely low-income </w:t>
      </w:r>
      <w:r w:rsidR="65D17634" w:rsidRPr="00294BD0">
        <w:rPr>
          <w:rFonts w:cs="Calibri"/>
          <w:color w:val="000000" w:themeColor="text1"/>
          <w:sz w:val="24"/>
          <w:szCs w:val="24"/>
        </w:rPr>
        <w:t xml:space="preserve">renter households are severely cost burdened, meaning they </w:t>
      </w:r>
      <w:r w:rsidR="21B2D6F3" w:rsidRPr="00294BD0">
        <w:rPr>
          <w:rFonts w:cs="Calibri"/>
          <w:color w:val="000000" w:themeColor="text1"/>
          <w:sz w:val="24"/>
          <w:szCs w:val="24"/>
        </w:rPr>
        <w:t>contribute</w:t>
      </w:r>
      <w:r w:rsidR="65D17634" w:rsidRPr="00294BD0">
        <w:rPr>
          <w:rFonts w:cs="Calibri"/>
          <w:color w:val="000000" w:themeColor="text1"/>
          <w:sz w:val="24"/>
          <w:szCs w:val="24"/>
        </w:rPr>
        <w:t xml:space="preserve"> over half of their income to housing costs. Together, these nearly </w:t>
      </w:r>
      <w:r w:rsidR="365D127D" w:rsidRPr="00294BD0">
        <w:rPr>
          <w:rFonts w:cs="Calibri"/>
          <w:color w:val="000000" w:themeColor="text1"/>
          <w:sz w:val="24"/>
          <w:szCs w:val="24"/>
        </w:rPr>
        <w:t>50,000</w:t>
      </w:r>
      <w:r w:rsidR="65D17634" w:rsidRPr="00294BD0">
        <w:rPr>
          <w:rFonts w:cs="Calibri"/>
          <w:color w:val="000000" w:themeColor="text1"/>
          <w:sz w:val="24"/>
          <w:szCs w:val="24"/>
        </w:rPr>
        <w:t xml:space="preserve"> households are at high risk of housing instability and potential homelessness.</w:t>
      </w:r>
    </w:p>
    <w:p w14:paraId="6CD8B9FD" w14:textId="2DAA9856" w:rsidR="009B0FCC" w:rsidRPr="00294BD0" w:rsidRDefault="2D42FA78" w:rsidP="00E256FC">
      <w:pPr>
        <w:jc w:val="both"/>
        <w:rPr>
          <w:rFonts w:cs="Calibri"/>
          <w:color w:val="000000" w:themeColor="text1"/>
          <w:sz w:val="24"/>
          <w:szCs w:val="24"/>
        </w:rPr>
      </w:pPr>
      <w:r w:rsidRPr="00294BD0">
        <w:rPr>
          <w:rFonts w:cs="Calibri"/>
          <w:color w:val="000000" w:themeColor="text1"/>
          <w:sz w:val="24"/>
          <w:szCs w:val="24"/>
        </w:rPr>
        <w:t xml:space="preserve">The data </w:t>
      </w:r>
      <w:r w:rsidR="0D03F2C1" w:rsidRPr="00294BD0">
        <w:rPr>
          <w:rFonts w:cs="Calibri"/>
          <w:color w:val="000000" w:themeColor="text1"/>
          <w:sz w:val="24"/>
          <w:szCs w:val="24"/>
        </w:rPr>
        <w:t>also</w:t>
      </w:r>
      <w:r w:rsidRPr="00294BD0">
        <w:rPr>
          <w:rFonts w:cs="Calibri"/>
          <w:color w:val="000000" w:themeColor="text1"/>
          <w:sz w:val="24"/>
          <w:szCs w:val="24"/>
        </w:rPr>
        <w:t xml:space="preserve"> shows that Idaho had </w:t>
      </w:r>
      <w:r w:rsidR="736A674A" w:rsidRPr="00294BD0">
        <w:rPr>
          <w:rFonts w:cs="Calibri"/>
          <w:color w:val="000000" w:themeColor="text1"/>
          <w:sz w:val="24"/>
          <w:szCs w:val="24"/>
        </w:rPr>
        <w:t>9,925</w:t>
      </w:r>
      <w:r w:rsidRPr="00294BD0">
        <w:rPr>
          <w:rFonts w:cs="Calibri"/>
          <w:color w:val="000000" w:themeColor="text1"/>
          <w:sz w:val="24"/>
          <w:szCs w:val="24"/>
        </w:rPr>
        <w:t xml:space="preserve"> extremely low-income households with children</w:t>
      </w:r>
      <w:r w:rsidR="7B22ADAC" w:rsidRPr="00294BD0">
        <w:rPr>
          <w:rFonts w:cs="Calibri"/>
          <w:color w:val="000000" w:themeColor="text1"/>
          <w:sz w:val="24"/>
          <w:szCs w:val="24"/>
        </w:rPr>
        <w:t xml:space="preserve"> and 8,845 extremely low-income households with </w:t>
      </w:r>
      <w:r w:rsidR="00146949" w:rsidRPr="00294BD0">
        <w:rPr>
          <w:rFonts w:cs="Calibri"/>
          <w:color w:val="000000" w:themeColor="text1"/>
          <w:sz w:val="24"/>
          <w:szCs w:val="24"/>
        </w:rPr>
        <w:t>at least one person aged 75 or older.</w:t>
      </w:r>
      <w:r w:rsidRPr="00294BD0">
        <w:rPr>
          <w:rFonts w:cs="Calibri"/>
          <w:color w:val="000000" w:themeColor="text1"/>
          <w:sz w:val="24"/>
          <w:szCs w:val="24"/>
        </w:rPr>
        <w:t xml:space="preserve"> These families </w:t>
      </w:r>
      <w:r w:rsidR="35D37204" w:rsidRPr="00294BD0">
        <w:rPr>
          <w:rFonts w:cs="Calibri"/>
          <w:color w:val="000000" w:themeColor="text1"/>
          <w:sz w:val="24"/>
          <w:szCs w:val="24"/>
        </w:rPr>
        <w:t xml:space="preserve">are vulnerable residents </w:t>
      </w:r>
      <w:r w:rsidRPr="00294BD0">
        <w:rPr>
          <w:rFonts w:cs="Calibri"/>
          <w:color w:val="000000" w:themeColor="text1"/>
          <w:sz w:val="24"/>
          <w:szCs w:val="24"/>
        </w:rPr>
        <w:t>fac</w:t>
      </w:r>
      <w:r w:rsidR="405EDFDD" w:rsidRPr="00294BD0">
        <w:rPr>
          <w:rFonts w:cs="Calibri"/>
          <w:color w:val="000000" w:themeColor="text1"/>
          <w:sz w:val="24"/>
          <w:szCs w:val="24"/>
        </w:rPr>
        <w:t>ing</w:t>
      </w:r>
      <w:r w:rsidRPr="00294BD0">
        <w:rPr>
          <w:rFonts w:cs="Calibri"/>
          <w:color w:val="000000" w:themeColor="text1"/>
          <w:sz w:val="24"/>
          <w:szCs w:val="24"/>
        </w:rPr>
        <w:t xml:space="preserve"> significant housing challenges</w:t>
      </w:r>
      <w:r w:rsidR="6F488482" w:rsidRPr="00294BD0">
        <w:rPr>
          <w:rFonts w:cs="Calibri"/>
          <w:color w:val="000000" w:themeColor="text1"/>
          <w:sz w:val="24"/>
          <w:szCs w:val="24"/>
        </w:rPr>
        <w:t>.</w:t>
      </w:r>
      <w:r w:rsidRPr="00294BD0">
        <w:rPr>
          <w:rFonts w:cs="Calibri"/>
          <w:color w:val="000000" w:themeColor="text1"/>
          <w:sz w:val="24"/>
          <w:szCs w:val="24"/>
        </w:rPr>
        <w:t xml:space="preserve"> underscoring the need for targeted interventions to support and stabilize housing for the city’s most vulnerable residents. Addressing these affordability issues is essential to prevent housing instability and promote long-term security for low-income families and households in </w:t>
      </w:r>
      <w:r w:rsidR="65CEBEBD" w:rsidRPr="00294BD0">
        <w:rPr>
          <w:rFonts w:cs="Calibri"/>
          <w:color w:val="000000" w:themeColor="text1"/>
          <w:sz w:val="24"/>
          <w:szCs w:val="24"/>
        </w:rPr>
        <w:t>Idaho.</w:t>
      </w:r>
    </w:p>
    <w:p w14:paraId="7849DD75" w14:textId="0A158143" w:rsidR="009B0FCC" w:rsidRDefault="65CEBEBD" w:rsidP="00E256FC">
      <w:pPr>
        <w:spacing w:beforeAutospacing="1" w:afterAutospacing="1"/>
        <w:jc w:val="both"/>
        <w:rPr>
          <w:rFonts w:cs="Calibri"/>
          <w:color w:val="000000" w:themeColor="text1"/>
        </w:rPr>
      </w:pPr>
      <w:r w:rsidRPr="00294BD0">
        <w:rPr>
          <w:rFonts w:cs="Calibri"/>
          <w:color w:val="000000" w:themeColor="text1"/>
          <w:sz w:val="24"/>
          <w:szCs w:val="24"/>
        </w:rPr>
        <w:t xml:space="preserve">Families and individuals receiving rapid re-housing assistance and nearing the termination of that assistance indicated a need for affordable rental housing and stable employment to effectively continue beyond the re-housing assistance. Those nearing termination of assistance </w:t>
      </w:r>
      <w:proofErr w:type="gramStart"/>
      <w:r w:rsidRPr="00294BD0">
        <w:rPr>
          <w:rFonts w:cs="Calibri"/>
          <w:color w:val="000000" w:themeColor="text1"/>
          <w:sz w:val="24"/>
          <w:szCs w:val="24"/>
        </w:rPr>
        <w:t>are connected with</w:t>
      </w:r>
      <w:proofErr w:type="gramEnd"/>
      <w:r w:rsidRPr="00294BD0">
        <w:rPr>
          <w:rFonts w:cs="Calibri"/>
          <w:color w:val="000000" w:themeColor="text1"/>
          <w:sz w:val="24"/>
          <w:szCs w:val="24"/>
        </w:rPr>
        <w:t xml:space="preserve"> resources to identify affordable housing options available to them. Because rapid rehousing projects may determine their own desired maximum timeframes, there is no data estimating the number of individuals nearing the termination of rapid rehousing assistance. </w:t>
      </w:r>
    </w:p>
    <w:p w14:paraId="669C5972" w14:textId="77777777" w:rsidR="009B0FCC" w:rsidRDefault="009B0FCC" w:rsidP="00E256FC">
      <w:pPr>
        <w:jc w:val="both"/>
        <w:rPr>
          <w:b/>
          <w:bCs/>
          <w:sz w:val="24"/>
          <w:szCs w:val="24"/>
        </w:rPr>
      </w:pPr>
    </w:p>
    <w:p w14:paraId="172053C4" w14:textId="77777777" w:rsidR="009B0FCC" w:rsidRPr="00294BD0" w:rsidRDefault="009B0FCC" w:rsidP="00E256FC">
      <w:pPr>
        <w:jc w:val="both"/>
        <w:rPr>
          <w:b/>
          <w:bCs/>
          <w:sz w:val="24"/>
          <w:szCs w:val="24"/>
        </w:rPr>
      </w:pPr>
      <w:r w:rsidRPr="00294BD0">
        <w:rPr>
          <w:b/>
          <w:bCs/>
          <w:sz w:val="24"/>
          <w:szCs w:val="24"/>
        </w:rPr>
        <w:t>If a jurisdiction provides estimates of the at-risk population(s), it should also include a description of the operational definition of the at-risk group and the methodology used to generate the estimates:</w:t>
      </w:r>
    </w:p>
    <w:p w14:paraId="4E3A53FA" w14:textId="77777777" w:rsidR="009B0FCC" w:rsidRPr="00294BD0" w:rsidRDefault="009B0FCC" w:rsidP="00E256FC">
      <w:pPr>
        <w:spacing w:beforeAutospacing="1" w:afterAutospacing="1"/>
        <w:jc w:val="both"/>
        <w:rPr>
          <w:rFonts w:cs="Calibri"/>
          <w:sz w:val="24"/>
          <w:szCs w:val="24"/>
        </w:rPr>
      </w:pPr>
      <w:r w:rsidRPr="00294BD0">
        <w:rPr>
          <w:rFonts w:cs="Calibri"/>
          <w:color w:val="000000" w:themeColor="text1"/>
          <w:sz w:val="24"/>
          <w:szCs w:val="24"/>
        </w:rPr>
        <w:t>The State of Idaho does not provide estimates of its at-risk populations.</w:t>
      </w:r>
    </w:p>
    <w:p w14:paraId="2EB48C7E" w14:textId="77777777" w:rsidR="009B0FCC" w:rsidRDefault="009B0FCC" w:rsidP="00E256FC">
      <w:pPr>
        <w:jc w:val="both"/>
        <w:rPr>
          <w:b/>
          <w:bCs/>
          <w:sz w:val="24"/>
          <w:szCs w:val="24"/>
        </w:rPr>
      </w:pPr>
    </w:p>
    <w:p w14:paraId="5F7E7C1D" w14:textId="77777777" w:rsidR="009B0FCC" w:rsidRDefault="009B0FCC" w:rsidP="00E256FC">
      <w:pPr>
        <w:jc w:val="both"/>
        <w:rPr>
          <w:b/>
          <w:bCs/>
          <w:sz w:val="24"/>
          <w:szCs w:val="24"/>
        </w:rPr>
      </w:pPr>
      <w:r w:rsidRPr="497B8E2D">
        <w:rPr>
          <w:b/>
          <w:bCs/>
          <w:sz w:val="24"/>
          <w:szCs w:val="24"/>
        </w:rPr>
        <w:lastRenderedPageBreak/>
        <w:t xml:space="preserve">Specify </w:t>
      </w:r>
      <w:proofErr w:type="gramStart"/>
      <w:r w:rsidRPr="497B8E2D">
        <w:rPr>
          <w:b/>
          <w:bCs/>
          <w:sz w:val="24"/>
          <w:szCs w:val="24"/>
        </w:rPr>
        <w:t>particular housing</w:t>
      </w:r>
      <w:proofErr w:type="gramEnd"/>
      <w:r w:rsidRPr="497B8E2D">
        <w:rPr>
          <w:b/>
          <w:bCs/>
          <w:sz w:val="24"/>
          <w:szCs w:val="24"/>
        </w:rPr>
        <w:t xml:space="preserve"> characteristics that have been linked with instability and an increased risk of homelessness</w:t>
      </w:r>
    </w:p>
    <w:p w14:paraId="126C432C" w14:textId="77777777" w:rsidR="009B0FCC" w:rsidRPr="00294BD0" w:rsidRDefault="009B0FCC" w:rsidP="00E256FC">
      <w:pPr>
        <w:spacing w:beforeAutospacing="1" w:afterAutospacing="1" w:line="240" w:lineRule="auto"/>
        <w:jc w:val="both"/>
        <w:rPr>
          <w:rFonts w:asciiTheme="minorHAnsi" w:eastAsiaTheme="minorEastAsia" w:hAnsiTheme="minorHAnsi" w:cstheme="minorBidi"/>
          <w:sz w:val="24"/>
          <w:szCs w:val="24"/>
        </w:rPr>
      </w:pPr>
      <w:r w:rsidRPr="6D2C4508">
        <w:rPr>
          <w:rFonts w:asciiTheme="minorHAnsi" w:eastAsiaTheme="minorEastAsia" w:hAnsiTheme="minorHAnsi" w:cstheme="minorBidi"/>
          <w:color w:val="000000" w:themeColor="text1"/>
          <w:sz w:val="24"/>
          <w:szCs w:val="24"/>
        </w:rPr>
        <w:t xml:space="preserve">Extremely low-income households with a severe housing cost burden are more likely to lose their homes in the event of loss of employment, health issues, or other unexpected expenses.   Unemployment and underemployment have been among the primary reasons for </w:t>
      </w:r>
      <w:r w:rsidRPr="00294BD0">
        <w:rPr>
          <w:rFonts w:asciiTheme="minorHAnsi" w:eastAsiaTheme="minorEastAsia" w:hAnsiTheme="minorHAnsi" w:cstheme="minorBidi"/>
          <w:color w:val="000000" w:themeColor="text1"/>
          <w:sz w:val="24"/>
          <w:szCs w:val="24"/>
        </w:rPr>
        <w:t>families losing their homes.  Cost burden is by far the most common housing problem and threatens housing stability. </w:t>
      </w:r>
    </w:p>
    <w:p w14:paraId="5268F550" w14:textId="6F5D12A8" w:rsidR="44BAB175" w:rsidRPr="00294BD0" w:rsidRDefault="44BAB175" w:rsidP="00E256FC">
      <w:pPr>
        <w:jc w:val="both"/>
        <w:rPr>
          <w:rFonts w:cs="Calibri"/>
          <w:sz w:val="24"/>
          <w:szCs w:val="24"/>
        </w:rPr>
      </w:pPr>
      <w:r w:rsidRPr="00294BD0">
        <w:rPr>
          <w:rFonts w:cs="Calibri"/>
          <w:color w:val="000000" w:themeColor="text1"/>
          <w:sz w:val="24"/>
          <w:szCs w:val="24"/>
        </w:rPr>
        <w:t>To assist in homelessness prevention in rural areas, investment in job training and effective transportation infrastructure will be important as Idaho’s primary population growth continues in the urban areas of the state.</w:t>
      </w:r>
    </w:p>
    <w:p w14:paraId="5E59B245" w14:textId="77777777" w:rsidR="009B0FCC" w:rsidRDefault="009B0FCC" w:rsidP="00E256FC">
      <w:pPr>
        <w:jc w:val="both"/>
        <w:rPr>
          <w:b/>
          <w:bCs/>
          <w:sz w:val="24"/>
          <w:szCs w:val="24"/>
        </w:rPr>
      </w:pPr>
    </w:p>
    <w:p w14:paraId="3218DF41" w14:textId="77777777" w:rsidR="009B0FCC" w:rsidRDefault="009B0FCC" w:rsidP="00E256FC">
      <w:pPr>
        <w:jc w:val="both"/>
        <w:rPr>
          <w:b/>
          <w:bCs/>
          <w:sz w:val="24"/>
          <w:szCs w:val="24"/>
        </w:rPr>
      </w:pPr>
      <w:r w:rsidRPr="57D2290B">
        <w:rPr>
          <w:b/>
          <w:bCs/>
          <w:sz w:val="24"/>
          <w:szCs w:val="24"/>
        </w:rPr>
        <w:t>Discussion</w:t>
      </w:r>
    </w:p>
    <w:p w14:paraId="73049EDE" w14:textId="46D04875" w:rsidR="5777874C" w:rsidRPr="00294BD0" w:rsidRDefault="5777874C" w:rsidP="00E256FC">
      <w:pPr>
        <w:jc w:val="both"/>
        <w:rPr>
          <w:rFonts w:cs="Calibri"/>
          <w:sz w:val="24"/>
          <w:szCs w:val="24"/>
        </w:rPr>
      </w:pPr>
      <w:r w:rsidRPr="00294BD0">
        <w:rPr>
          <w:rFonts w:cs="Calibri"/>
          <w:sz w:val="24"/>
          <w:szCs w:val="24"/>
        </w:rPr>
        <w:t>The data demonstrates value in exploring owner-occupied rehabilitation with federal resources.  Rehabilitation is often cheaper and preserves naturally occurring affordable housing.  In rural areas, there may not be access to programs in assisting with the preservation of an owner’s existing property.</w:t>
      </w:r>
    </w:p>
    <w:p w14:paraId="7F398073" w14:textId="77777777" w:rsidR="009B0FCC" w:rsidRDefault="009B0FCC" w:rsidP="00E256FC">
      <w:pPr>
        <w:pStyle w:val="Heading2"/>
        <w:pageBreakBefore/>
        <w:jc w:val="both"/>
        <w:rPr>
          <w:rFonts w:ascii="Calibri" w:hAnsi="Calibri"/>
          <w:i/>
        </w:rPr>
      </w:pPr>
      <w:bookmarkStart w:id="19" w:name="_Toc194673837"/>
      <w:r>
        <w:rPr>
          <w:rFonts w:ascii="Calibri" w:hAnsi="Calibri"/>
        </w:rPr>
        <w:lastRenderedPageBreak/>
        <w:t>NA-15 Disproportionately Greater Need: Housing Problems - 91.305 (b)(2)</w:t>
      </w:r>
      <w:bookmarkEnd w:id="19"/>
    </w:p>
    <w:p w14:paraId="5C01B2B0" w14:textId="77777777" w:rsidR="009B0FCC" w:rsidRPr="00C00F48" w:rsidRDefault="009B0FCC" w:rsidP="00E256FC">
      <w:pPr>
        <w:jc w:val="both"/>
        <w:rPr>
          <w:b/>
          <w:bCs/>
          <w:sz w:val="24"/>
          <w:szCs w:val="24"/>
        </w:rPr>
      </w:pPr>
      <w:r w:rsidRPr="00C00F48">
        <w:rPr>
          <w:b/>
          <w:bCs/>
          <w:sz w:val="24"/>
          <w:szCs w:val="24"/>
        </w:rPr>
        <w:t xml:space="preserve">Assess the need of any racial or ethnic group that has </w:t>
      </w:r>
      <w:proofErr w:type="gramStart"/>
      <w:r w:rsidRPr="00C00F48">
        <w:rPr>
          <w:b/>
          <w:bCs/>
          <w:sz w:val="24"/>
          <w:szCs w:val="24"/>
        </w:rPr>
        <w:t>disproportionately</w:t>
      </w:r>
      <w:proofErr w:type="gramEnd"/>
      <w:r w:rsidRPr="00C00F48">
        <w:rPr>
          <w:b/>
          <w:bCs/>
          <w:sz w:val="24"/>
          <w:szCs w:val="24"/>
        </w:rPr>
        <w:t xml:space="preserve"> greater need in comparison to the needs of that category of </w:t>
      </w:r>
      <w:proofErr w:type="gramStart"/>
      <w:r w:rsidRPr="00C00F48">
        <w:rPr>
          <w:b/>
          <w:bCs/>
          <w:sz w:val="24"/>
          <w:szCs w:val="24"/>
        </w:rPr>
        <w:t>need as a whole</w:t>
      </w:r>
      <w:proofErr w:type="gramEnd"/>
      <w:r w:rsidRPr="00C00F48">
        <w:rPr>
          <w:b/>
          <w:bCs/>
          <w:sz w:val="24"/>
          <w:szCs w:val="24"/>
        </w:rPr>
        <w:t>.</w:t>
      </w:r>
    </w:p>
    <w:p w14:paraId="4830EDF7" w14:textId="77777777" w:rsidR="009B0FCC" w:rsidRDefault="009B0FCC" w:rsidP="00E256FC">
      <w:pPr>
        <w:spacing w:line="204" w:lineRule="auto"/>
        <w:jc w:val="both"/>
        <w:rPr>
          <w:b/>
          <w:sz w:val="24"/>
          <w:szCs w:val="24"/>
        </w:rPr>
      </w:pPr>
      <w:r w:rsidRPr="497B8E2D">
        <w:rPr>
          <w:b/>
          <w:bCs/>
          <w:sz w:val="24"/>
          <w:szCs w:val="24"/>
        </w:rPr>
        <w:t>Introduction</w:t>
      </w:r>
    </w:p>
    <w:p w14:paraId="18260961" w14:textId="77777777" w:rsidR="009B0FCC" w:rsidRPr="00C00F48" w:rsidRDefault="009B0FCC" w:rsidP="00E256FC">
      <w:pPr>
        <w:jc w:val="both"/>
        <w:rPr>
          <w:sz w:val="24"/>
          <w:szCs w:val="24"/>
        </w:rPr>
      </w:pPr>
      <w:r w:rsidRPr="00C00F48">
        <w:rPr>
          <w:sz w:val="24"/>
          <w:szCs w:val="24"/>
        </w:rPr>
        <w:t xml:space="preserve">A disproportionately greater housing need exists when the members of racial or ethnic </w:t>
      </w:r>
      <w:proofErr w:type="gramStart"/>
      <w:r w:rsidRPr="00C00F48">
        <w:rPr>
          <w:sz w:val="24"/>
          <w:szCs w:val="24"/>
        </w:rPr>
        <w:t>group</w:t>
      </w:r>
      <w:proofErr w:type="gramEnd"/>
      <w:r w:rsidRPr="00C00F48">
        <w:rPr>
          <w:sz w:val="24"/>
          <w:szCs w:val="24"/>
        </w:rPr>
        <w:t xml:space="preserve"> at a given income level experience housing problems at a greater rate (10% points or more) than the income </w:t>
      </w:r>
      <w:proofErr w:type="gramStart"/>
      <w:r w:rsidRPr="00C00F48">
        <w:rPr>
          <w:sz w:val="24"/>
          <w:szCs w:val="24"/>
        </w:rPr>
        <w:t>level as a whole</w:t>
      </w:r>
      <w:proofErr w:type="gramEnd"/>
      <w:r w:rsidRPr="00C00F48">
        <w:rPr>
          <w:sz w:val="24"/>
          <w:szCs w:val="24"/>
        </w:rPr>
        <w:t>.  The following tables analyze housing problems experienced by different racial and ethnic groups across income ranges in the State of Idaho.</w:t>
      </w:r>
    </w:p>
    <w:p w14:paraId="06429041" w14:textId="77777777" w:rsidR="009B0FCC" w:rsidRDefault="009B0FCC" w:rsidP="00E256FC">
      <w:pPr>
        <w:spacing w:line="204" w:lineRule="auto"/>
        <w:jc w:val="both"/>
        <w:rPr>
          <w:b/>
          <w:bCs/>
          <w:sz w:val="24"/>
          <w:szCs w:val="24"/>
        </w:rPr>
      </w:pPr>
    </w:p>
    <w:p w14:paraId="42A4C210" w14:textId="77777777" w:rsidR="009B0FCC" w:rsidRDefault="009B0FCC" w:rsidP="009B0FCC">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9B0FCC" w14:paraId="4F830115" w14:textId="77777777" w:rsidTr="00721F16">
        <w:trPr>
          <w:cantSplit/>
          <w:tblHeader/>
        </w:trPr>
        <w:tc>
          <w:tcPr>
            <w:tcW w:w="3600" w:type="dxa"/>
          </w:tcPr>
          <w:p w14:paraId="45B5BF59" w14:textId="77777777" w:rsidR="009B0FCC" w:rsidRDefault="009B0FCC" w:rsidP="00721F16">
            <w:pPr>
              <w:keepNext/>
              <w:widowControl w:val="0"/>
              <w:spacing w:after="0" w:line="240" w:lineRule="auto"/>
              <w:jc w:val="center"/>
              <w:rPr>
                <w:b/>
              </w:rPr>
            </w:pPr>
            <w:r>
              <w:rPr>
                <w:b/>
                <w:bCs/>
              </w:rPr>
              <w:t>Housing Problems</w:t>
            </w:r>
          </w:p>
        </w:tc>
        <w:tc>
          <w:tcPr>
            <w:tcW w:w="1996" w:type="dxa"/>
          </w:tcPr>
          <w:p w14:paraId="687A8382" w14:textId="77777777" w:rsidR="009B0FCC" w:rsidRDefault="009B0FCC" w:rsidP="00721F16">
            <w:pPr>
              <w:keepNext/>
              <w:widowControl w:val="0"/>
              <w:spacing w:after="0" w:line="240" w:lineRule="auto"/>
              <w:jc w:val="center"/>
              <w:rPr>
                <w:b/>
              </w:rPr>
            </w:pPr>
            <w:r>
              <w:rPr>
                <w:b/>
                <w:bCs/>
              </w:rPr>
              <w:t>Has one or more of four housing problems</w:t>
            </w:r>
          </w:p>
        </w:tc>
        <w:tc>
          <w:tcPr>
            <w:tcW w:w="1997" w:type="dxa"/>
          </w:tcPr>
          <w:p w14:paraId="3F140BB0" w14:textId="77777777" w:rsidR="009B0FCC" w:rsidRDefault="009B0FCC" w:rsidP="00721F16">
            <w:pPr>
              <w:keepNext/>
              <w:widowControl w:val="0"/>
              <w:spacing w:after="0" w:line="240" w:lineRule="auto"/>
              <w:jc w:val="center"/>
              <w:rPr>
                <w:b/>
              </w:rPr>
            </w:pPr>
            <w:r>
              <w:rPr>
                <w:b/>
                <w:bCs/>
              </w:rPr>
              <w:t>Has none of the four housing problems</w:t>
            </w:r>
          </w:p>
        </w:tc>
        <w:tc>
          <w:tcPr>
            <w:tcW w:w="1997" w:type="dxa"/>
          </w:tcPr>
          <w:p w14:paraId="7F112345" w14:textId="77777777" w:rsidR="009B0FCC" w:rsidRDefault="009B0FCC" w:rsidP="00721F16">
            <w:pPr>
              <w:keepNext/>
              <w:widowControl w:val="0"/>
              <w:spacing w:after="0" w:line="240" w:lineRule="auto"/>
              <w:jc w:val="center"/>
              <w:rPr>
                <w:b/>
              </w:rPr>
            </w:pPr>
            <w:r>
              <w:rPr>
                <w:b/>
                <w:bCs/>
              </w:rPr>
              <w:t>Household has no/negative income, but none of the other housing problems</w:t>
            </w:r>
          </w:p>
        </w:tc>
      </w:tr>
      <w:tr w:rsidR="009B0FCC" w14:paraId="0CF082A7" w14:textId="77777777" w:rsidTr="00721F16">
        <w:trPr>
          <w:cantSplit/>
        </w:trPr>
        <w:tc>
          <w:tcPr>
            <w:tcW w:w="3600" w:type="dxa"/>
          </w:tcPr>
          <w:p w14:paraId="6FCD5592" w14:textId="77777777" w:rsidR="009B0FCC" w:rsidRDefault="009B0FCC" w:rsidP="00721F16">
            <w:pPr>
              <w:spacing w:beforeAutospacing="1" w:afterAutospacing="1"/>
            </w:pPr>
            <w:r>
              <w:rPr>
                <w:color w:val="000000"/>
              </w:rPr>
              <w:t>Jurisdiction as a whole</w:t>
            </w:r>
          </w:p>
        </w:tc>
        <w:tc>
          <w:tcPr>
            <w:tcW w:w="1996" w:type="dxa"/>
            <w:vAlign w:val="bottom"/>
          </w:tcPr>
          <w:p w14:paraId="3358C52A" w14:textId="77777777" w:rsidR="009B0FCC" w:rsidRDefault="009B0FCC" w:rsidP="00721F16">
            <w:pPr>
              <w:spacing w:beforeAutospacing="1" w:afterAutospacing="1"/>
              <w:jc w:val="right"/>
            </w:pPr>
            <w:r>
              <w:rPr>
                <w:color w:val="000000"/>
              </w:rPr>
              <w:t>49,968</w:t>
            </w:r>
          </w:p>
        </w:tc>
        <w:tc>
          <w:tcPr>
            <w:tcW w:w="1997" w:type="dxa"/>
            <w:vAlign w:val="bottom"/>
          </w:tcPr>
          <w:p w14:paraId="6F90B14D" w14:textId="77777777" w:rsidR="009B0FCC" w:rsidRDefault="009B0FCC" w:rsidP="00721F16">
            <w:pPr>
              <w:spacing w:beforeAutospacing="1" w:afterAutospacing="1"/>
              <w:jc w:val="right"/>
            </w:pPr>
            <w:r>
              <w:rPr>
                <w:color w:val="000000"/>
              </w:rPr>
              <w:t>8,590</w:t>
            </w:r>
          </w:p>
        </w:tc>
        <w:tc>
          <w:tcPr>
            <w:tcW w:w="1997" w:type="dxa"/>
            <w:vAlign w:val="bottom"/>
          </w:tcPr>
          <w:p w14:paraId="1CEEB709" w14:textId="77777777" w:rsidR="009B0FCC" w:rsidRDefault="009B0FCC" w:rsidP="00721F16">
            <w:pPr>
              <w:spacing w:beforeAutospacing="1" w:afterAutospacing="1"/>
              <w:jc w:val="right"/>
            </w:pPr>
            <w:r>
              <w:rPr>
                <w:color w:val="000000"/>
              </w:rPr>
              <w:t>9,381</w:t>
            </w:r>
          </w:p>
        </w:tc>
      </w:tr>
      <w:tr w:rsidR="009B0FCC" w14:paraId="06D497A4" w14:textId="77777777" w:rsidTr="00721F16">
        <w:trPr>
          <w:cantSplit/>
        </w:trPr>
        <w:tc>
          <w:tcPr>
            <w:tcW w:w="3600" w:type="dxa"/>
          </w:tcPr>
          <w:p w14:paraId="01D104DB" w14:textId="77777777" w:rsidR="009B0FCC" w:rsidRDefault="009B0FCC" w:rsidP="00721F16">
            <w:pPr>
              <w:spacing w:beforeAutospacing="1" w:afterAutospacing="1"/>
            </w:pPr>
            <w:r>
              <w:rPr>
                <w:color w:val="000000"/>
              </w:rPr>
              <w:t>White</w:t>
            </w:r>
          </w:p>
        </w:tc>
        <w:tc>
          <w:tcPr>
            <w:tcW w:w="1996" w:type="dxa"/>
            <w:vAlign w:val="bottom"/>
          </w:tcPr>
          <w:p w14:paraId="4AB40446" w14:textId="77777777" w:rsidR="009B0FCC" w:rsidRDefault="009B0FCC" w:rsidP="00721F16">
            <w:pPr>
              <w:spacing w:beforeAutospacing="1" w:afterAutospacing="1"/>
              <w:jc w:val="right"/>
            </w:pPr>
            <w:r>
              <w:rPr>
                <w:color w:val="000000"/>
              </w:rPr>
              <w:t>41,486</w:t>
            </w:r>
          </w:p>
        </w:tc>
        <w:tc>
          <w:tcPr>
            <w:tcW w:w="1997" w:type="dxa"/>
            <w:vAlign w:val="bottom"/>
          </w:tcPr>
          <w:p w14:paraId="7714CC8B" w14:textId="77777777" w:rsidR="009B0FCC" w:rsidRDefault="009B0FCC" w:rsidP="00721F16">
            <w:pPr>
              <w:spacing w:beforeAutospacing="1" w:afterAutospacing="1"/>
              <w:jc w:val="right"/>
            </w:pPr>
            <w:r>
              <w:rPr>
                <w:color w:val="000000"/>
              </w:rPr>
              <w:t>7,245</w:t>
            </w:r>
          </w:p>
        </w:tc>
        <w:tc>
          <w:tcPr>
            <w:tcW w:w="1997" w:type="dxa"/>
            <w:vAlign w:val="bottom"/>
          </w:tcPr>
          <w:p w14:paraId="73F7DC8A" w14:textId="77777777" w:rsidR="009B0FCC" w:rsidRDefault="009B0FCC" w:rsidP="00721F16">
            <w:pPr>
              <w:spacing w:beforeAutospacing="1" w:afterAutospacing="1"/>
              <w:jc w:val="right"/>
            </w:pPr>
            <w:r>
              <w:rPr>
                <w:color w:val="000000"/>
              </w:rPr>
              <w:t>7,507</w:t>
            </w:r>
          </w:p>
        </w:tc>
      </w:tr>
      <w:tr w:rsidR="009B0FCC" w14:paraId="663C4D3A" w14:textId="77777777" w:rsidTr="00721F16">
        <w:trPr>
          <w:cantSplit/>
        </w:trPr>
        <w:tc>
          <w:tcPr>
            <w:tcW w:w="3600" w:type="dxa"/>
          </w:tcPr>
          <w:p w14:paraId="24CA2BA6" w14:textId="77777777" w:rsidR="009B0FCC" w:rsidRDefault="009B0FCC" w:rsidP="00721F16">
            <w:pPr>
              <w:spacing w:beforeAutospacing="1" w:afterAutospacing="1"/>
            </w:pPr>
            <w:r>
              <w:rPr>
                <w:color w:val="000000"/>
              </w:rPr>
              <w:t>Black / African American</w:t>
            </w:r>
          </w:p>
        </w:tc>
        <w:tc>
          <w:tcPr>
            <w:tcW w:w="1996" w:type="dxa"/>
            <w:vAlign w:val="bottom"/>
          </w:tcPr>
          <w:p w14:paraId="7AF93433" w14:textId="77777777" w:rsidR="009B0FCC" w:rsidRDefault="009B0FCC" w:rsidP="00721F16">
            <w:pPr>
              <w:spacing w:beforeAutospacing="1" w:afterAutospacing="1"/>
              <w:jc w:val="right"/>
            </w:pPr>
            <w:r>
              <w:rPr>
                <w:color w:val="000000"/>
              </w:rPr>
              <w:t>449</w:t>
            </w:r>
          </w:p>
        </w:tc>
        <w:tc>
          <w:tcPr>
            <w:tcW w:w="1997" w:type="dxa"/>
            <w:vAlign w:val="bottom"/>
          </w:tcPr>
          <w:p w14:paraId="455491DF" w14:textId="77777777" w:rsidR="009B0FCC" w:rsidRDefault="009B0FCC" w:rsidP="00721F16">
            <w:pPr>
              <w:spacing w:beforeAutospacing="1" w:afterAutospacing="1"/>
              <w:jc w:val="right"/>
            </w:pPr>
            <w:r>
              <w:rPr>
                <w:color w:val="000000"/>
              </w:rPr>
              <w:t>100</w:t>
            </w:r>
          </w:p>
        </w:tc>
        <w:tc>
          <w:tcPr>
            <w:tcW w:w="1997" w:type="dxa"/>
            <w:vAlign w:val="bottom"/>
          </w:tcPr>
          <w:p w14:paraId="586CEFE7" w14:textId="77777777" w:rsidR="009B0FCC" w:rsidRDefault="009B0FCC" w:rsidP="00721F16">
            <w:pPr>
              <w:spacing w:beforeAutospacing="1" w:afterAutospacing="1"/>
              <w:jc w:val="right"/>
            </w:pPr>
            <w:r>
              <w:rPr>
                <w:color w:val="000000"/>
              </w:rPr>
              <w:t>60</w:t>
            </w:r>
          </w:p>
        </w:tc>
      </w:tr>
      <w:tr w:rsidR="009B0FCC" w14:paraId="311E4285" w14:textId="77777777" w:rsidTr="00721F16">
        <w:trPr>
          <w:cantSplit/>
        </w:trPr>
        <w:tc>
          <w:tcPr>
            <w:tcW w:w="3600" w:type="dxa"/>
          </w:tcPr>
          <w:p w14:paraId="326BA1E2" w14:textId="77777777" w:rsidR="009B0FCC" w:rsidRDefault="009B0FCC" w:rsidP="00721F16">
            <w:pPr>
              <w:spacing w:beforeAutospacing="1" w:afterAutospacing="1"/>
            </w:pPr>
            <w:r>
              <w:rPr>
                <w:color w:val="000000"/>
              </w:rPr>
              <w:t>Asian</w:t>
            </w:r>
          </w:p>
        </w:tc>
        <w:tc>
          <w:tcPr>
            <w:tcW w:w="1996" w:type="dxa"/>
            <w:vAlign w:val="bottom"/>
          </w:tcPr>
          <w:p w14:paraId="662E1F96" w14:textId="77777777" w:rsidR="009B0FCC" w:rsidRDefault="009B0FCC" w:rsidP="00721F16">
            <w:pPr>
              <w:spacing w:beforeAutospacing="1" w:afterAutospacing="1"/>
              <w:jc w:val="right"/>
            </w:pPr>
            <w:r>
              <w:rPr>
                <w:color w:val="000000"/>
              </w:rPr>
              <w:t>426</w:t>
            </w:r>
          </w:p>
        </w:tc>
        <w:tc>
          <w:tcPr>
            <w:tcW w:w="1997" w:type="dxa"/>
            <w:vAlign w:val="bottom"/>
          </w:tcPr>
          <w:p w14:paraId="127E9815" w14:textId="77777777" w:rsidR="009B0FCC" w:rsidRDefault="009B0FCC" w:rsidP="00721F16">
            <w:pPr>
              <w:spacing w:beforeAutospacing="1" w:afterAutospacing="1"/>
              <w:jc w:val="right"/>
            </w:pPr>
            <w:r>
              <w:rPr>
                <w:color w:val="000000"/>
              </w:rPr>
              <w:t>134</w:t>
            </w:r>
          </w:p>
        </w:tc>
        <w:tc>
          <w:tcPr>
            <w:tcW w:w="1997" w:type="dxa"/>
            <w:vAlign w:val="bottom"/>
          </w:tcPr>
          <w:p w14:paraId="1D9D2843" w14:textId="77777777" w:rsidR="009B0FCC" w:rsidRDefault="009B0FCC" w:rsidP="00721F16">
            <w:pPr>
              <w:spacing w:beforeAutospacing="1" w:afterAutospacing="1"/>
              <w:jc w:val="right"/>
            </w:pPr>
            <w:r>
              <w:rPr>
                <w:color w:val="000000"/>
              </w:rPr>
              <w:t>527</w:t>
            </w:r>
          </w:p>
        </w:tc>
      </w:tr>
      <w:tr w:rsidR="009B0FCC" w14:paraId="136BDD60" w14:textId="77777777" w:rsidTr="00721F16">
        <w:trPr>
          <w:cantSplit/>
        </w:trPr>
        <w:tc>
          <w:tcPr>
            <w:tcW w:w="3600" w:type="dxa"/>
          </w:tcPr>
          <w:p w14:paraId="70EABA49" w14:textId="77777777" w:rsidR="009B0FCC" w:rsidRDefault="009B0FCC" w:rsidP="00721F16">
            <w:pPr>
              <w:spacing w:beforeAutospacing="1" w:afterAutospacing="1"/>
            </w:pPr>
            <w:r>
              <w:rPr>
                <w:color w:val="000000"/>
              </w:rPr>
              <w:t>American Indian, Alaska Native</w:t>
            </w:r>
          </w:p>
        </w:tc>
        <w:tc>
          <w:tcPr>
            <w:tcW w:w="1996" w:type="dxa"/>
            <w:vAlign w:val="bottom"/>
          </w:tcPr>
          <w:p w14:paraId="77F977C7" w14:textId="77777777" w:rsidR="009B0FCC" w:rsidRDefault="009B0FCC" w:rsidP="00721F16">
            <w:pPr>
              <w:spacing w:beforeAutospacing="1" w:afterAutospacing="1"/>
              <w:jc w:val="right"/>
            </w:pPr>
            <w:r>
              <w:rPr>
                <w:color w:val="000000"/>
              </w:rPr>
              <w:t>932</w:t>
            </w:r>
          </w:p>
        </w:tc>
        <w:tc>
          <w:tcPr>
            <w:tcW w:w="1997" w:type="dxa"/>
            <w:vAlign w:val="bottom"/>
          </w:tcPr>
          <w:p w14:paraId="387517D6" w14:textId="77777777" w:rsidR="009B0FCC" w:rsidRDefault="009B0FCC" w:rsidP="00721F16">
            <w:pPr>
              <w:spacing w:beforeAutospacing="1" w:afterAutospacing="1"/>
              <w:jc w:val="right"/>
            </w:pPr>
            <w:r>
              <w:rPr>
                <w:color w:val="000000"/>
              </w:rPr>
              <w:t>222</w:t>
            </w:r>
          </w:p>
        </w:tc>
        <w:tc>
          <w:tcPr>
            <w:tcW w:w="1997" w:type="dxa"/>
            <w:vAlign w:val="bottom"/>
          </w:tcPr>
          <w:p w14:paraId="7F204108" w14:textId="77777777" w:rsidR="009B0FCC" w:rsidRDefault="009B0FCC" w:rsidP="00721F16">
            <w:pPr>
              <w:spacing w:beforeAutospacing="1" w:afterAutospacing="1"/>
              <w:jc w:val="right"/>
            </w:pPr>
            <w:r>
              <w:rPr>
                <w:color w:val="000000"/>
              </w:rPr>
              <w:t>98</w:t>
            </w:r>
          </w:p>
        </w:tc>
      </w:tr>
      <w:tr w:rsidR="009B0FCC" w14:paraId="22BC715E" w14:textId="77777777" w:rsidTr="00721F16">
        <w:trPr>
          <w:cantSplit/>
        </w:trPr>
        <w:tc>
          <w:tcPr>
            <w:tcW w:w="3600" w:type="dxa"/>
          </w:tcPr>
          <w:p w14:paraId="2C185CF4" w14:textId="77777777" w:rsidR="009B0FCC" w:rsidRDefault="009B0FCC" w:rsidP="00721F16">
            <w:pPr>
              <w:spacing w:beforeAutospacing="1" w:afterAutospacing="1"/>
            </w:pPr>
            <w:r>
              <w:rPr>
                <w:color w:val="000000"/>
              </w:rPr>
              <w:t>Pacific Islander</w:t>
            </w:r>
          </w:p>
        </w:tc>
        <w:tc>
          <w:tcPr>
            <w:tcW w:w="1996" w:type="dxa"/>
            <w:vAlign w:val="bottom"/>
          </w:tcPr>
          <w:p w14:paraId="3DB2D582" w14:textId="77777777" w:rsidR="009B0FCC" w:rsidRDefault="009B0FCC" w:rsidP="00721F16">
            <w:pPr>
              <w:spacing w:beforeAutospacing="1" w:afterAutospacing="1"/>
              <w:jc w:val="right"/>
            </w:pPr>
            <w:r>
              <w:rPr>
                <w:color w:val="000000"/>
              </w:rPr>
              <w:t>34</w:t>
            </w:r>
          </w:p>
        </w:tc>
        <w:tc>
          <w:tcPr>
            <w:tcW w:w="1997" w:type="dxa"/>
            <w:vAlign w:val="bottom"/>
          </w:tcPr>
          <w:p w14:paraId="10B5A00A" w14:textId="77777777" w:rsidR="009B0FCC" w:rsidRDefault="009B0FCC" w:rsidP="00721F16">
            <w:pPr>
              <w:spacing w:beforeAutospacing="1" w:afterAutospacing="1"/>
              <w:jc w:val="right"/>
            </w:pPr>
            <w:r>
              <w:rPr>
                <w:color w:val="000000"/>
              </w:rPr>
              <w:t>30</w:t>
            </w:r>
          </w:p>
        </w:tc>
        <w:tc>
          <w:tcPr>
            <w:tcW w:w="1997" w:type="dxa"/>
            <w:vAlign w:val="bottom"/>
          </w:tcPr>
          <w:p w14:paraId="22C961DF" w14:textId="77777777" w:rsidR="009B0FCC" w:rsidRDefault="009B0FCC" w:rsidP="00721F16">
            <w:pPr>
              <w:spacing w:beforeAutospacing="1" w:afterAutospacing="1"/>
              <w:jc w:val="right"/>
            </w:pPr>
            <w:r>
              <w:rPr>
                <w:color w:val="000000"/>
              </w:rPr>
              <w:t>0</w:t>
            </w:r>
          </w:p>
        </w:tc>
      </w:tr>
      <w:tr w:rsidR="009B0FCC" w14:paraId="5986C468" w14:textId="77777777" w:rsidTr="00721F16">
        <w:trPr>
          <w:cantSplit/>
        </w:trPr>
        <w:tc>
          <w:tcPr>
            <w:tcW w:w="3600" w:type="dxa"/>
          </w:tcPr>
          <w:p w14:paraId="3255F652" w14:textId="77777777" w:rsidR="009B0FCC" w:rsidRDefault="009B0FCC" w:rsidP="00721F16">
            <w:pPr>
              <w:spacing w:beforeAutospacing="1" w:afterAutospacing="1"/>
            </w:pPr>
            <w:r>
              <w:rPr>
                <w:color w:val="000000"/>
              </w:rPr>
              <w:t>Hispanic</w:t>
            </w:r>
          </w:p>
        </w:tc>
        <w:tc>
          <w:tcPr>
            <w:tcW w:w="1996" w:type="dxa"/>
            <w:vAlign w:val="bottom"/>
          </w:tcPr>
          <w:p w14:paraId="26D77318" w14:textId="77777777" w:rsidR="009B0FCC" w:rsidRDefault="009B0FCC" w:rsidP="00721F16">
            <w:pPr>
              <w:spacing w:beforeAutospacing="1" w:afterAutospacing="1"/>
              <w:jc w:val="right"/>
            </w:pPr>
            <w:r>
              <w:rPr>
                <w:color w:val="000000"/>
              </w:rPr>
              <w:t>5,297</w:t>
            </w:r>
          </w:p>
        </w:tc>
        <w:tc>
          <w:tcPr>
            <w:tcW w:w="1997" w:type="dxa"/>
            <w:vAlign w:val="bottom"/>
          </w:tcPr>
          <w:p w14:paraId="32672840" w14:textId="77777777" w:rsidR="009B0FCC" w:rsidRDefault="009B0FCC" w:rsidP="00721F16">
            <w:pPr>
              <w:spacing w:beforeAutospacing="1" w:afterAutospacing="1"/>
              <w:jc w:val="right"/>
            </w:pPr>
            <w:r>
              <w:rPr>
                <w:color w:val="000000"/>
              </w:rPr>
              <w:t>679</w:t>
            </w:r>
          </w:p>
        </w:tc>
        <w:tc>
          <w:tcPr>
            <w:tcW w:w="1997" w:type="dxa"/>
            <w:vAlign w:val="bottom"/>
          </w:tcPr>
          <w:p w14:paraId="3A7FF27F" w14:textId="77777777" w:rsidR="009B0FCC" w:rsidRDefault="009B0FCC" w:rsidP="00721F16">
            <w:pPr>
              <w:spacing w:beforeAutospacing="1" w:afterAutospacing="1"/>
              <w:jc w:val="right"/>
            </w:pPr>
            <w:r>
              <w:rPr>
                <w:color w:val="000000"/>
              </w:rPr>
              <w:t>1,012</w:t>
            </w:r>
          </w:p>
        </w:tc>
      </w:tr>
    </w:tbl>
    <w:p w14:paraId="2229B48E"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Disproportionally Greater Need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423D7388" w14:textId="77777777" w:rsidTr="00721F16">
        <w:trPr>
          <w:cantSplit/>
        </w:trPr>
        <w:tc>
          <w:tcPr>
            <w:tcW w:w="1080" w:type="dxa"/>
          </w:tcPr>
          <w:p w14:paraId="35007F35" w14:textId="77777777" w:rsidR="009B0FCC" w:rsidRDefault="009B0FCC" w:rsidP="00721F16">
            <w:pPr>
              <w:spacing w:after="0" w:line="240" w:lineRule="auto"/>
              <w:rPr>
                <w:sz w:val="16"/>
                <w:szCs w:val="16"/>
              </w:rPr>
            </w:pPr>
            <w:r>
              <w:rPr>
                <w:b/>
                <w:bCs/>
                <w:sz w:val="16"/>
                <w:szCs w:val="16"/>
              </w:rPr>
              <w:t>Data Source:</w:t>
            </w:r>
          </w:p>
        </w:tc>
        <w:tc>
          <w:tcPr>
            <w:tcW w:w="8510" w:type="dxa"/>
          </w:tcPr>
          <w:p w14:paraId="6F1CE300" w14:textId="77777777" w:rsidR="009B0FCC" w:rsidRDefault="009B0FCC" w:rsidP="00721F16">
            <w:pPr>
              <w:spacing w:beforeAutospacing="1" w:afterAutospacing="1"/>
              <w:rPr>
                <w:sz w:val="16"/>
                <w:szCs w:val="16"/>
              </w:rPr>
            </w:pPr>
            <w:r>
              <w:rPr>
                <w:sz w:val="16"/>
                <w:szCs w:val="16"/>
              </w:rPr>
              <w:t>2016-2020 CHAS</w:t>
            </w:r>
          </w:p>
        </w:tc>
      </w:tr>
    </w:tbl>
    <w:p w14:paraId="4A85FE0D" w14:textId="77777777" w:rsidR="009B0FCC" w:rsidRDefault="009B0FCC" w:rsidP="009B0FCC">
      <w:pPr>
        <w:spacing w:after="0" w:line="240" w:lineRule="auto"/>
        <w:rPr>
          <w:vanish/>
        </w:rPr>
      </w:pPr>
    </w:p>
    <w:p w14:paraId="117003CE" w14:textId="77777777" w:rsidR="009B0FCC" w:rsidRDefault="009B0FCC" w:rsidP="009B0FCC">
      <w:pPr>
        <w:spacing w:after="0" w:line="240" w:lineRule="auto"/>
        <w:rPr>
          <w:b/>
          <w:bCs/>
          <w:vanish/>
          <w:sz w:val="16"/>
          <w:szCs w:val="16"/>
        </w:rPr>
      </w:pPr>
    </w:p>
    <w:p w14:paraId="114EA977" w14:textId="77777777" w:rsidR="009B0FCC" w:rsidRDefault="009B0FCC" w:rsidP="009B0FCC">
      <w:pPr>
        <w:spacing w:after="0" w:line="240" w:lineRule="auto"/>
      </w:pPr>
    </w:p>
    <w:p w14:paraId="11C7F37B" w14:textId="77777777" w:rsidR="009B0FCC" w:rsidRDefault="009B0FCC" w:rsidP="009B0FCC">
      <w:pPr>
        <w:spacing w:after="0" w:line="240" w:lineRule="auto"/>
      </w:pPr>
      <w:r>
        <w:t xml:space="preserve">*The four housing problems are: </w:t>
      </w:r>
    </w:p>
    <w:p w14:paraId="3ED46078" w14:textId="252EFACD" w:rsidR="009B0FCC" w:rsidRDefault="009B0FCC" w:rsidP="009B0FCC">
      <w:pPr>
        <w:spacing w:after="0" w:line="240" w:lineRule="auto"/>
      </w:pPr>
      <w:r>
        <w:t>1. Lacks complete kitchen facilities, 2. Lacks complete plumbing facilities, 3. More than one person per room, 4.</w:t>
      </w:r>
      <w:r w:rsidR="72ED93BC">
        <w:t xml:space="preserve"> </w:t>
      </w:r>
      <w:r>
        <w:t xml:space="preserve">Cost Burden greater than 30% </w:t>
      </w:r>
    </w:p>
    <w:p w14:paraId="7485AA91" w14:textId="77777777" w:rsidR="009B0FCC" w:rsidRDefault="009B0FCC" w:rsidP="009B0FCC">
      <w:pPr>
        <w:spacing w:after="0" w:line="240" w:lineRule="auto"/>
      </w:pPr>
    </w:p>
    <w:p w14:paraId="46ED67C0" w14:textId="77777777" w:rsidR="009B0FCC" w:rsidRDefault="009B0FCC" w:rsidP="009B0FCC">
      <w:pPr>
        <w:spacing w:after="0" w:line="240" w:lineRule="auto"/>
        <w:rPr>
          <w:szCs w:val="26"/>
        </w:rPr>
      </w:pPr>
    </w:p>
    <w:p w14:paraId="1CB1F9F5" w14:textId="77777777" w:rsidR="009B0FCC" w:rsidRDefault="009B0FCC" w:rsidP="009B0FCC">
      <w:pPr>
        <w:keepNext/>
        <w:widowControl w:val="0"/>
        <w:rPr>
          <w:b/>
          <w:sz w:val="24"/>
          <w:szCs w:val="24"/>
        </w:rPr>
      </w:pPr>
      <w:r>
        <w:rPr>
          <w:b/>
          <w:sz w:val="24"/>
          <w:szCs w:val="24"/>
        </w:rPr>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9B0FCC" w14:paraId="5D310B9B" w14:textId="77777777" w:rsidTr="00721F16">
        <w:trPr>
          <w:cantSplit/>
          <w:tblHeader/>
        </w:trPr>
        <w:tc>
          <w:tcPr>
            <w:tcW w:w="3600" w:type="dxa"/>
          </w:tcPr>
          <w:p w14:paraId="72CEF13C" w14:textId="77777777" w:rsidR="009B0FCC" w:rsidRDefault="009B0FCC" w:rsidP="00721F16">
            <w:pPr>
              <w:keepNext/>
              <w:widowControl w:val="0"/>
              <w:spacing w:after="0" w:line="240" w:lineRule="auto"/>
              <w:jc w:val="center"/>
              <w:rPr>
                <w:b/>
              </w:rPr>
            </w:pPr>
            <w:r>
              <w:rPr>
                <w:b/>
                <w:bCs/>
              </w:rPr>
              <w:t>Housing Problems</w:t>
            </w:r>
          </w:p>
        </w:tc>
        <w:tc>
          <w:tcPr>
            <w:tcW w:w="1996" w:type="dxa"/>
          </w:tcPr>
          <w:p w14:paraId="080984B5" w14:textId="77777777" w:rsidR="009B0FCC" w:rsidRDefault="009B0FCC" w:rsidP="00721F16">
            <w:pPr>
              <w:keepNext/>
              <w:widowControl w:val="0"/>
              <w:spacing w:after="0" w:line="240" w:lineRule="auto"/>
              <w:jc w:val="center"/>
              <w:rPr>
                <w:b/>
              </w:rPr>
            </w:pPr>
            <w:r>
              <w:rPr>
                <w:b/>
                <w:bCs/>
              </w:rPr>
              <w:t>Has one or more of four housing problems</w:t>
            </w:r>
          </w:p>
        </w:tc>
        <w:tc>
          <w:tcPr>
            <w:tcW w:w="1997" w:type="dxa"/>
          </w:tcPr>
          <w:p w14:paraId="7034DB9C" w14:textId="77777777" w:rsidR="009B0FCC" w:rsidRDefault="009B0FCC" w:rsidP="00721F16">
            <w:pPr>
              <w:keepNext/>
              <w:widowControl w:val="0"/>
              <w:spacing w:after="0" w:line="240" w:lineRule="auto"/>
              <w:jc w:val="center"/>
              <w:rPr>
                <w:b/>
              </w:rPr>
            </w:pPr>
            <w:r>
              <w:rPr>
                <w:b/>
                <w:bCs/>
              </w:rPr>
              <w:t>Has none of the four housing problems</w:t>
            </w:r>
          </w:p>
        </w:tc>
        <w:tc>
          <w:tcPr>
            <w:tcW w:w="1997" w:type="dxa"/>
          </w:tcPr>
          <w:p w14:paraId="36D9D0EE" w14:textId="77777777" w:rsidR="009B0FCC" w:rsidRDefault="009B0FCC" w:rsidP="00721F16">
            <w:pPr>
              <w:keepNext/>
              <w:widowControl w:val="0"/>
              <w:spacing w:after="0" w:line="240" w:lineRule="auto"/>
              <w:jc w:val="center"/>
              <w:rPr>
                <w:b/>
              </w:rPr>
            </w:pPr>
            <w:r>
              <w:rPr>
                <w:b/>
                <w:bCs/>
              </w:rPr>
              <w:t>Household has no/negative income, but none of the other housing problems</w:t>
            </w:r>
          </w:p>
        </w:tc>
      </w:tr>
      <w:tr w:rsidR="009B0FCC" w14:paraId="39B3FB25" w14:textId="77777777" w:rsidTr="00721F16">
        <w:trPr>
          <w:cantSplit/>
        </w:trPr>
        <w:tc>
          <w:tcPr>
            <w:tcW w:w="3600" w:type="dxa"/>
          </w:tcPr>
          <w:p w14:paraId="3D972EA6" w14:textId="77777777" w:rsidR="009B0FCC" w:rsidRDefault="009B0FCC" w:rsidP="00721F16">
            <w:pPr>
              <w:spacing w:beforeAutospacing="1" w:afterAutospacing="1"/>
            </w:pPr>
            <w:r>
              <w:rPr>
                <w:color w:val="000000"/>
              </w:rPr>
              <w:t>Jurisdiction as a whole</w:t>
            </w:r>
          </w:p>
        </w:tc>
        <w:tc>
          <w:tcPr>
            <w:tcW w:w="1996" w:type="dxa"/>
            <w:vAlign w:val="bottom"/>
          </w:tcPr>
          <w:p w14:paraId="6BE55B03" w14:textId="77777777" w:rsidR="009B0FCC" w:rsidRDefault="009B0FCC" w:rsidP="00721F16">
            <w:pPr>
              <w:spacing w:beforeAutospacing="1" w:afterAutospacing="1"/>
              <w:jc w:val="right"/>
            </w:pPr>
            <w:r>
              <w:rPr>
                <w:color w:val="000000"/>
              </w:rPr>
              <w:t>46,812</w:t>
            </w:r>
          </w:p>
        </w:tc>
        <w:tc>
          <w:tcPr>
            <w:tcW w:w="1997" w:type="dxa"/>
            <w:vAlign w:val="bottom"/>
          </w:tcPr>
          <w:p w14:paraId="58E17195" w14:textId="77777777" w:rsidR="009B0FCC" w:rsidRDefault="009B0FCC" w:rsidP="00721F16">
            <w:pPr>
              <w:spacing w:beforeAutospacing="1" w:afterAutospacing="1"/>
              <w:jc w:val="right"/>
            </w:pPr>
            <w:r>
              <w:rPr>
                <w:color w:val="000000"/>
              </w:rPr>
              <w:t>23,424</w:t>
            </w:r>
          </w:p>
        </w:tc>
        <w:tc>
          <w:tcPr>
            <w:tcW w:w="1997" w:type="dxa"/>
            <w:vAlign w:val="bottom"/>
          </w:tcPr>
          <w:p w14:paraId="5BCF45C2" w14:textId="77777777" w:rsidR="009B0FCC" w:rsidRDefault="009B0FCC" w:rsidP="00721F16">
            <w:pPr>
              <w:spacing w:beforeAutospacing="1" w:afterAutospacing="1"/>
              <w:jc w:val="right"/>
            </w:pPr>
            <w:r>
              <w:rPr>
                <w:color w:val="000000"/>
              </w:rPr>
              <w:t>0</w:t>
            </w:r>
          </w:p>
        </w:tc>
      </w:tr>
      <w:tr w:rsidR="009B0FCC" w14:paraId="017D60B6" w14:textId="77777777" w:rsidTr="00721F16">
        <w:trPr>
          <w:cantSplit/>
        </w:trPr>
        <w:tc>
          <w:tcPr>
            <w:tcW w:w="3600" w:type="dxa"/>
          </w:tcPr>
          <w:p w14:paraId="48B681D9" w14:textId="77777777" w:rsidR="009B0FCC" w:rsidRDefault="009B0FCC" w:rsidP="00721F16">
            <w:pPr>
              <w:spacing w:beforeAutospacing="1" w:afterAutospacing="1"/>
            </w:pPr>
            <w:r>
              <w:rPr>
                <w:color w:val="000000"/>
              </w:rPr>
              <w:lastRenderedPageBreak/>
              <w:t>White</w:t>
            </w:r>
          </w:p>
        </w:tc>
        <w:tc>
          <w:tcPr>
            <w:tcW w:w="1996" w:type="dxa"/>
            <w:vAlign w:val="bottom"/>
          </w:tcPr>
          <w:p w14:paraId="1CA03FA5" w14:textId="77777777" w:rsidR="009B0FCC" w:rsidRDefault="009B0FCC" w:rsidP="00721F16">
            <w:pPr>
              <w:spacing w:beforeAutospacing="1" w:afterAutospacing="1"/>
              <w:jc w:val="right"/>
            </w:pPr>
            <w:r>
              <w:rPr>
                <w:color w:val="000000"/>
              </w:rPr>
              <w:t>38,914</w:t>
            </w:r>
          </w:p>
        </w:tc>
        <w:tc>
          <w:tcPr>
            <w:tcW w:w="1997" w:type="dxa"/>
            <w:vAlign w:val="bottom"/>
          </w:tcPr>
          <w:p w14:paraId="4AB6604D" w14:textId="77777777" w:rsidR="009B0FCC" w:rsidRDefault="009B0FCC" w:rsidP="00721F16">
            <w:pPr>
              <w:spacing w:beforeAutospacing="1" w:afterAutospacing="1"/>
              <w:jc w:val="right"/>
            </w:pPr>
            <w:r>
              <w:rPr>
                <w:color w:val="000000"/>
              </w:rPr>
              <w:t>19,971</w:t>
            </w:r>
          </w:p>
        </w:tc>
        <w:tc>
          <w:tcPr>
            <w:tcW w:w="1997" w:type="dxa"/>
            <w:vAlign w:val="bottom"/>
          </w:tcPr>
          <w:p w14:paraId="51994F20" w14:textId="77777777" w:rsidR="009B0FCC" w:rsidRDefault="009B0FCC" w:rsidP="00721F16">
            <w:pPr>
              <w:spacing w:beforeAutospacing="1" w:afterAutospacing="1"/>
              <w:jc w:val="right"/>
            </w:pPr>
            <w:r>
              <w:rPr>
                <w:color w:val="000000"/>
              </w:rPr>
              <w:t>0</w:t>
            </w:r>
          </w:p>
        </w:tc>
      </w:tr>
      <w:tr w:rsidR="009B0FCC" w14:paraId="27464828" w14:textId="77777777" w:rsidTr="00721F16">
        <w:trPr>
          <w:cantSplit/>
        </w:trPr>
        <w:tc>
          <w:tcPr>
            <w:tcW w:w="3600" w:type="dxa"/>
          </w:tcPr>
          <w:p w14:paraId="41F3D0AD" w14:textId="77777777" w:rsidR="009B0FCC" w:rsidRDefault="009B0FCC" w:rsidP="00721F16">
            <w:pPr>
              <w:spacing w:beforeAutospacing="1" w:afterAutospacing="1"/>
            </w:pPr>
            <w:r>
              <w:rPr>
                <w:color w:val="000000"/>
              </w:rPr>
              <w:t>Black / African American</w:t>
            </w:r>
          </w:p>
        </w:tc>
        <w:tc>
          <w:tcPr>
            <w:tcW w:w="1996" w:type="dxa"/>
            <w:vAlign w:val="bottom"/>
          </w:tcPr>
          <w:p w14:paraId="41995D48" w14:textId="77777777" w:rsidR="009B0FCC" w:rsidRDefault="009B0FCC" w:rsidP="00721F16">
            <w:pPr>
              <w:spacing w:beforeAutospacing="1" w:afterAutospacing="1"/>
              <w:jc w:val="right"/>
            </w:pPr>
            <w:r>
              <w:rPr>
                <w:color w:val="000000"/>
              </w:rPr>
              <w:t>182</w:t>
            </w:r>
          </w:p>
        </w:tc>
        <w:tc>
          <w:tcPr>
            <w:tcW w:w="1997" w:type="dxa"/>
            <w:vAlign w:val="bottom"/>
          </w:tcPr>
          <w:p w14:paraId="339C6FB2" w14:textId="77777777" w:rsidR="009B0FCC" w:rsidRDefault="009B0FCC" w:rsidP="00721F16">
            <w:pPr>
              <w:spacing w:beforeAutospacing="1" w:afterAutospacing="1"/>
              <w:jc w:val="right"/>
            </w:pPr>
            <w:r>
              <w:rPr>
                <w:color w:val="000000"/>
              </w:rPr>
              <w:t>115</w:t>
            </w:r>
          </w:p>
        </w:tc>
        <w:tc>
          <w:tcPr>
            <w:tcW w:w="1997" w:type="dxa"/>
            <w:vAlign w:val="bottom"/>
          </w:tcPr>
          <w:p w14:paraId="1375BFA8" w14:textId="77777777" w:rsidR="009B0FCC" w:rsidRDefault="009B0FCC" w:rsidP="00721F16">
            <w:pPr>
              <w:spacing w:beforeAutospacing="1" w:afterAutospacing="1"/>
              <w:jc w:val="right"/>
            </w:pPr>
            <w:r>
              <w:rPr>
                <w:color w:val="000000"/>
              </w:rPr>
              <w:t>0</w:t>
            </w:r>
          </w:p>
        </w:tc>
      </w:tr>
      <w:tr w:rsidR="009B0FCC" w14:paraId="401C208E" w14:textId="77777777" w:rsidTr="00721F16">
        <w:trPr>
          <w:cantSplit/>
        </w:trPr>
        <w:tc>
          <w:tcPr>
            <w:tcW w:w="3600" w:type="dxa"/>
          </w:tcPr>
          <w:p w14:paraId="4E4ADBE1" w14:textId="77777777" w:rsidR="009B0FCC" w:rsidRDefault="009B0FCC" w:rsidP="00721F16">
            <w:pPr>
              <w:spacing w:beforeAutospacing="1" w:afterAutospacing="1"/>
            </w:pPr>
            <w:r>
              <w:rPr>
                <w:color w:val="000000"/>
              </w:rPr>
              <w:t>Asian</w:t>
            </w:r>
          </w:p>
        </w:tc>
        <w:tc>
          <w:tcPr>
            <w:tcW w:w="1996" w:type="dxa"/>
            <w:vAlign w:val="bottom"/>
          </w:tcPr>
          <w:p w14:paraId="28E22D2B" w14:textId="77777777" w:rsidR="009B0FCC" w:rsidRDefault="009B0FCC" w:rsidP="00721F16">
            <w:pPr>
              <w:spacing w:beforeAutospacing="1" w:afterAutospacing="1"/>
              <w:jc w:val="right"/>
            </w:pPr>
            <w:r>
              <w:rPr>
                <w:color w:val="000000"/>
              </w:rPr>
              <w:t>442</w:t>
            </w:r>
          </w:p>
        </w:tc>
        <w:tc>
          <w:tcPr>
            <w:tcW w:w="1997" w:type="dxa"/>
            <w:vAlign w:val="bottom"/>
          </w:tcPr>
          <w:p w14:paraId="07EB89B7" w14:textId="77777777" w:rsidR="009B0FCC" w:rsidRDefault="009B0FCC" w:rsidP="00721F16">
            <w:pPr>
              <w:spacing w:beforeAutospacing="1" w:afterAutospacing="1"/>
              <w:jc w:val="right"/>
            </w:pPr>
            <w:r>
              <w:rPr>
                <w:color w:val="000000"/>
              </w:rPr>
              <w:t>186</w:t>
            </w:r>
          </w:p>
        </w:tc>
        <w:tc>
          <w:tcPr>
            <w:tcW w:w="1997" w:type="dxa"/>
            <w:vAlign w:val="bottom"/>
          </w:tcPr>
          <w:p w14:paraId="720EE2B5" w14:textId="77777777" w:rsidR="009B0FCC" w:rsidRDefault="009B0FCC" w:rsidP="00721F16">
            <w:pPr>
              <w:spacing w:beforeAutospacing="1" w:afterAutospacing="1"/>
              <w:jc w:val="right"/>
            </w:pPr>
            <w:r>
              <w:rPr>
                <w:color w:val="000000"/>
              </w:rPr>
              <w:t>0</w:t>
            </w:r>
          </w:p>
        </w:tc>
      </w:tr>
      <w:tr w:rsidR="009B0FCC" w14:paraId="2C290688" w14:textId="77777777" w:rsidTr="00721F16">
        <w:trPr>
          <w:cantSplit/>
        </w:trPr>
        <w:tc>
          <w:tcPr>
            <w:tcW w:w="3600" w:type="dxa"/>
          </w:tcPr>
          <w:p w14:paraId="1219C985" w14:textId="77777777" w:rsidR="009B0FCC" w:rsidRDefault="009B0FCC" w:rsidP="00721F16">
            <w:pPr>
              <w:spacing w:beforeAutospacing="1" w:afterAutospacing="1"/>
            </w:pPr>
            <w:r>
              <w:rPr>
                <w:color w:val="000000"/>
              </w:rPr>
              <w:t>American Indian, Alaska Native</w:t>
            </w:r>
          </w:p>
        </w:tc>
        <w:tc>
          <w:tcPr>
            <w:tcW w:w="1996" w:type="dxa"/>
            <w:vAlign w:val="bottom"/>
          </w:tcPr>
          <w:p w14:paraId="0254B64E" w14:textId="77777777" w:rsidR="009B0FCC" w:rsidRDefault="009B0FCC" w:rsidP="00721F16">
            <w:pPr>
              <w:spacing w:beforeAutospacing="1" w:afterAutospacing="1"/>
              <w:jc w:val="right"/>
            </w:pPr>
            <w:r>
              <w:rPr>
                <w:color w:val="000000"/>
              </w:rPr>
              <w:t>600</w:t>
            </w:r>
          </w:p>
        </w:tc>
        <w:tc>
          <w:tcPr>
            <w:tcW w:w="1997" w:type="dxa"/>
            <w:vAlign w:val="bottom"/>
          </w:tcPr>
          <w:p w14:paraId="06E290A7" w14:textId="77777777" w:rsidR="009B0FCC" w:rsidRDefault="009B0FCC" w:rsidP="00721F16">
            <w:pPr>
              <w:spacing w:beforeAutospacing="1" w:afterAutospacing="1"/>
              <w:jc w:val="right"/>
            </w:pPr>
            <w:r>
              <w:rPr>
                <w:color w:val="000000"/>
              </w:rPr>
              <w:t>397</w:t>
            </w:r>
          </w:p>
        </w:tc>
        <w:tc>
          <w:tcPr>
            <w:tcW w:w="1997" w:type="dxa"/>
            <w:vAlign w:val="bottom"/>
          </w:tcPr>
          <w:p w14:paraId="3CD400A1" w14:textId="77777777" w:rsidR="009B0FCC" w:rsidRDefault="009B0FCC" w:rsidP="00721F16">
            <w:pPr>
              <w:spacing w:beforeAutospacing="1" w:afterAutospacing="1"/>
              <w:jc w:val="right"/>
            </w:pPr>
            <w:r>
              <w:rPr>
                <w:color w:val="000000"/>
              </w:rPr>
              <w:t>0</w:t>
            </w:r>
          </w:p>
        </w:tc>
      </w:tr>
      <w:tr w:rsidR="009B0FCC" w14:paraId="1DCCE565" w14:textId="77777777" w:rsidTr="00721F16">
        <w:trPr>
          <w:cantSplit/>
        </w:trPr>
        <w:tc>
          <w:tcPr>
            <w:tcW w:w="3600" w:type="dxa"/>
          </w:tcPr>
          <w:p w14:paraId="3CEC6919" w14:textId="77777777" w:rsidR="009B0FCC" w:rsidRDefault="009B0FCC" w:rsidP="00721F16">
            <w:pPr>
              <w:spacing w:beforeAutospacing="1" w:afterAutospacing="1"/>
            </w:pPr>
            <w:r>
              <w:rPr>
                <w:color w:val="000000"/>
              </w:rPr>
              <w:t>Pacific Islander</w:t>
            </w:r>
          </w:p>
        </w:tc>
        <w:tc>
          <w:tcPr>
            <w:tcW w:w="1996" w:type="dxa"/>
            <w:vAlign w:val="bottom"/>
          </w:tcPr>
          <w:p w14:paraId="5488A7D1" w14:textId="77777777" w:rsidR="009B0FCC" w:rsidRDefault="009B0FCC" w:rsidP="00721F16">
            <w:pPr>
              <w:spacing w:beforeAutospacing="1" w:afterAutospacing="1"/>
              <w:jc w:val="right"/>
            </w:pPr>
            <w:r>
              <w:rPr>
                <w:color w:val="000000"/>
              </w:rPr>
              <w:t>14</w:t>
            </w:r>
          </w:p>
        </w:tc>
        <w:tc>
          <w:tcPr>
            <w:tcW w:w="1997" w:type="dxa"/>
            <w:vAlign w:val="bottom"/>
          </w:tcPr>
          <w:p w14:paraId="199ADE8F" w14:textId="77777777" w:rsidR="009B0FCC" w:rsidRDefault="009B0FCC" w:rsidP="00721F16">
            <w:pPr>
              <w:spacing w:beforeAutospacing="1" w:afterAutospacing="1"/>
              <w:jc w:val="right"/>
            </w:pPr>
            <w:r>
              <w:rPr>
                <w:color w:val="000000"/>
              </w:rPr>
              <w:t>10</w:t>
            </w:r>
          </w:p>
        </w:tc>
        <w:tc>
          <w:tcPr>
            <w:tcW w:w="1997" w:type="dxa"/>
            <w:vAlign w:val="bottom"/>
          </w:tcPr>
          <w:p w14:paraId="6558E16C" w14:textId="77777777" w:rsidR="009B0FCC" w:rsidRDefault="009B0FCC" w:rsidP="00721F16">
            <w:pPr>
              <w:spacing w:beforeAutospacing="1" w:afterAutospacing="1"/>
              <w:jc w:val="right"/>
            </w:pPr>
            <w:r>
              <w:rPr>
                <w:color w:val="000000"/>
              </w:rPr>
              <w:t>0</w:t>
            </w:r>
          </w:p>
        </w:tc>
      </w:tr>
      <w:tr w:rsidR="009B0FCC" w14:paraId="00488791" w14:textId="77777777" w:rsidTr="00721F16">
        <w:trPr>
          <w:cantSplit/>
        </w:trPr>
        <w:tc>
          <w:tcPr>
            <w:tcW w:w="3600" w:type="dxa"/>
          </w:tcPr>
          <w:p w14:paraId="58892284" w14:textId="77777777" w:rsidR="009B0FCC" w:rsidRDefault="009B0FCC" w:rsidP="00721F16">
            <w:pPr>
              <w:spacing w:beforeAutospacing="1" w:afterAutospacing="1"/>
            </w:pPr>
            <w:r>
              <w:rPr>
                <w:color w:val="000000"/>
              </w:rPr>
              <w:t>Hispanic</w:t>
            </w:r>
          </w:p>
        </w:tc>
        <w:tc>
          <w:tcPr>
            <w:tcW w:w="1996" w:type="dxa"/>
            <w:vAlign w:val="bottom"/>
          </w:tcPr>
          <w:p w14:paraId="1FFDFF17" w14:textId="77777777" w:rsidR="009B0FCC" w:rsidRDefault="009B0FCC" w:rsidP="00721F16">
            <w:pPr>
              <w:spacing w:beforeAutospacing="1" w:afterAutospacing="1"/>
              <w:jc w:val="right"/>
            </w:pPr>
            <w:r>
              <w:rPr>
                <w:color w:val="000000"/>
              </w:rPr>
              <w:t>5,686</w:t>
            </w:r>
          </w:p>
        </w:tc>
        <w:tc>
          <w:tcPr>
            <w:tcW w:w="1997" w:type="dxa"/>
            <w:vAlign w:val="bottom"/>
          </w:tcPr>
          <w:p w14:paraId="6E2FE6BA" w14:textId="77777777" w:rsidR="009B0FCC" w:rsidRDefault="009B0FCC" w:rsidP="00721F16">
            <w:pPr>
              <w:spacing w:beforeAutospacing="1" w:afterAutospacing="1"/>
              <w:jc w:val="right"/>
            </w:pPr>
            <w:r>
              <w:rPr>
                <w:color w:val="000000"/>
              </w:rPr>
              <w:t>2,370</w:t>
            </w:r>
          </w:p>
        </w:tc>
        <w:tc>
          <w:tcPr>
            <w:tcW w:w="1997" w:type="dxa"/>
            <w:vAlign w:val="bottom"/>
          </w:tcPr>
          <w:p w14:paraId="3EB35173" w14:textId="77777777" w:rsidR="009B0FCC" w:rsidRDefault="009B0FCC" w:rsidP="00721F16">
            <w:pPr>
              <w:spacing w:beforeAutospacing="1" w:afterAutospacing="1"/>
              <w:jc w:val="right"/>
            </w:pPr>
            <w:r>
              <w:rPr>
                <w:color w:val="000000"/>
              </w:rPr>
              <w:t>0</w:t>
            </w:r>
          </w:p>
        </w:tc>
      </w:tr>
    </w:tbl>
    <w:p w14:paraId="79857088"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Disproportionally Greater Need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3276D116" w14:textId="77777777" w:rsidTr="00721F16">
        <w:trPr>
          <w:cantSplit/>
        </w:trPr>
        <w:tc>
          <w:tcPr>
            <w:tcW w:w="1080" w:type="dxa"/>
          </w:tcPr>
          <w:p w14:paraId="0F3B0DB8" w14:textId="77777777" w:rsidR="009B0FCC" w:rsidRDefault="009B0FCC" w:rsidP="00721F16">
            <w:pPr>
              <w:spacing w:after="0" w:line="240" w:lineRule="auto"/>
              <w:rPr>
                <w:sz w:val="16"/>
                <w:szCs w:val="16"/>
              </w:rPr>
            </w:pPr>
            <w:r>
              <w:rPr>
                <w:b/>
                <w:bCs/>
                <w:sz w:val="16"/>
                <w:szCs w:val="16"/>
              </w:rPr>
              <w:t>Data Source:</w:t>
            </w:r>
          </w:p>
        </w:tc>
        <w:tc>
          <w:tcPr>
            <w:tcW w:w="8510" w:type="dxa"/>
          </w:tcPr>
          <w:p w14:paraId="6789F487" w14:textId="77777777" w:rsidR="009B0FCC" w:rsidRDefault="009B0FCC" w:rsidP="00721F16">
            <w:pPr>
              <w:spacing w:beforeAutospacing="1" w:afterAutospacing="1"/>
              <w:rPr>
                <w:sz w:val="16"/>
                <w:szCs w:val="16"/>
              </w:rPr>
            </w:pPr>
            <w:r>
              <w:rPr>
                <w:sz w:val="16"/>
                <w:szCs w:val="16"/>
              </w:rPr>
              <w:t>2016-2020 CHAS</w:t>
            </w:r>
          </w:p>
        </w:tc>
      </w:tr>
    </w:tbl>
    <w:p w14:paraId="133FFE01" w14:textId="77777777" w:rsidR="009B0FCC" w:rsidRDefault="009B0FCC" w:rsidP="009B0FCC">
      <w:pPr>
        <w:spacing w:after="0" w:line="240" w:lineRule="auto"/>
        <w:rPr>
          <w:vanish/>
        </w:rPr>
      </w:pPr>
    </w:p>
    <w:p w14:paraId="19002B02" w14:textId="77777777" w:rsidR="009B0FCC" w:rsidRDefault="009B0FCC" w:rsidP="009B0FCC">
      <w:pPr>
        <w:spacing w:after="0" w:line="240" w:lineRule="auto"/>
        <w:rPr>
          <w:b/>
          <w:bCs/>
          <w:vanish/>
          <w:sz w:val="16"/>
          <w:szCs w:val="16"/>
        </w:rPr>
      </w:pPr>
    </w:p>
    <w:p w14:paraId="367E9982" w14:textId="77777777" w:rsidR="009B0FCC" w:rsidRDefault="009B0FCC" w:rsidP="009B0FCC">
      <w:pPr>
        <w:spacing w:after="0" w:line="240" w:lineRule="auto"/>
      </w:pPr>
    </w:p>
    <w:p w14:paraId="31D3E964" w14:textId="77777777" w:rsidR="009B0FCC" w:rsidRDefault="009B0FCC" w:rsidP="009B0FCC">
      <w:pPr>
        <w:spacing w:after="0" w:line="240" w:lineRule="auto"/>
      </w:pPr>
      <w:r>
        <w:t xml:space="preserve">*The four housing problems are: </w:t>
      </w:r>
    </w:p>
    <w:p w14:paraId="29AD8103" w14:textId="1F0D5C75" w:rsidR="009B0FCC" w:rsidRDefault="009B0FCC" w:rsidP="009B0FCC">
      <w:pPr>
        <w:spacing w:after="0" w:line="240" w:lineRule="auto"/>
      </w:pPr>
      <w:r>
        <w:t>1. Lacks complete kitchen facilities, 2. Lacks complete plumbing facilities, 3. More than one person per room, 4.</w:t>
      </w:r>
      <w:r w:rsidR="7893FF57">
        <w:t xml:space="preserve"> </w:t>
      </w:r>
      <w:r>
        <w:t xml:space="preserve">Cost Burden greater than 30% </w:t>
      </w:r>
    </w:p>
    <w:p w14:paraId="003B2836" w14:textId="77777777" w:rsidR="009B0FCC" w:rsidRDefault="009B0FCC" w:rsidP="009B0FCC">
      <w:pPr>
        <w:spacing w:after="0" w:line="240" w:lineRule="auto"/>
      </w:pPr>
    </w:p>
    <w:p w14:paraId="7882441B" w14:textId="77777777" w:rsidR="009B0FCC" w:rsidRDefault="009B0FCC" w:rsidP="009B0FCC">
      <w:pPr>
        <w:spacing w:after="0" w:line="240" w:lineRule="auto"/>
        <w:rPr>
          <w:szCs w:val="26"/>
        </w:rPr>
      </w:pPr>
    </w:p>
    <w:p w14:paraId="387BAB42" w14:textId="77777777" w:rsidR="009B0FCC" w:rsidRDefault="009B0FCC" w:rsidP="009B0FCC">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9B0FCC" w14:paraId="6FF40D8B" w14:textId="77777777" w:rsidTr="00721F16">
        <w:trPr>
          <w:cantSplit/>
          <w:tblHeader/>
        </w:trPr>
        <w:tc>
          <w:tcPr>
            <w:tcW w:w="3600" w:type="dxa"/>
          </w:tcPr>
          <w:p w14:paraId="7B65D6F8" w14:textId="77777777" w:rsidR="009B0FCC" w:rsidRDefault="009B0FCC" w:rsidP="00721F16">
            <w:pPr>
              <w:keepNext/>
              <w:widowControl w:val="0"/>
              <w:spacing w:after="0" w:line="240" w:lineRule="auto"/>
              <w:jc w:val="center"/>
              <w:rPr>
                <w:b/>
              </w:rPr>
            </w:pPr>
            <w:r>
              <w:rPr>
                <w:b/>
                <w:bCs/>
              </w:rPr>
              <w:t>Housing Problems</w:t>
            </w:r>
          </w:p>
        </w:tc>
        <w:tc>
          <w:tcPr>
            <w:tcW w:w="1996" w:type="dxa"/>
          </w:tcPr>
          <w:p w14:paraId="0CF4D9B0" w14:textId="77777777" w:rsidR="009B0FCC" w:rsidRDefault="009B0FCC" w:rsidP="00721F16">
            <w:pPr>
              <w:keepNext/>
              <w:widowControl w:val="0"/>
              <w:spacing w:after="0" w:line="240" w:lineRule="auto"/>
              <w:jc w:val="center"/>
              <w:rPr>
                <w:b/>
              </w:rPr>
            </w:pPr>
            <w:r>
              <w:rPr>
                <w:b/>
                <w:bCs/>
              </w:rPr>
              <w:t>Has one or more of four housing problems</w:t>
            </w:r>
          </w:p>
        </w:tc>
        <w:tc>
          <w:tcPr>
            <w:tcW w:w="1997" w:type="dxa"/>
          </w:tcPr>
          <w:p w14:paraId="284FF680" w14:textId="77777777" w:rsidR="009B0FCC" w:rsidRDefault="009B0FCC" w:rsidP="00721F16">
            <w:pPr>
              <w:keepNext/>
              <w:widowControl w:val="0"/>
              <w:spacing w:after="0" w:line="240" w:lineRule="auto"/>
              <w:jc w:val="center"/>
              <w:rPr>
                <w:b/>
              </w:rPr>
            </w:pPr>
            <w:r>
              <w:rPr>
                <w:b/>
                <w:bCs/>
              </w:rPr>
              <w:t>Has none of the four housing problems</w:t>
            </w:r>
          </w:p>
        </w:tc>
        <w:tc>
          <w:tcPr>
            <w:tcW w:w="1997" w:type="dxa"/>
          </w:tcPr>
          <w:p w14:paraId="1EB063DE" w14:textId="77777777" w:rsidR="009B0FCC" w:rsidRDefault="009B0FCC" w:rsidP="00721F16">
            <w:pPr>
              <w:keepNext/>
              <w:widowControl w:val="0"/>
              <w:spacing w:after="0" w:line="240" w:lineRule="auto"/>
              <w:jc w:val="center"/>
              <w:rPr>
                <w:b/>
              </w:rPr>
            </w:pPr>
            <w:r>
              <w:rPr>
                <w:b/>
                <w:bCs/>
              </w:rPr>
              <w:t>Household has no/negative income, but none of the other housing problems</w:t>
            </w:r>
          </w:p>
        </w:tc>
      </w:tr>
      <w:tr w:rsidR="009B0FCC" w14:paraId="2171BE02" w14:textId="77777777" w:rsidTr="00721F16">
        <w:trPr>
          <w:cantSplit/>
        </w:trPr>
        <w:tc>
          <w:tcPr>
            <w:tcW w:w="3600" w:type="dxa"/>
          </w:tcPr>
          <w:p w14:paraId="00B87BCB" w14:textId="77777777" w:rsidR="009B0FCC" w:rsidRDefault="009B0FCC" w:rsidP="00721F16">
            <w:pPr>
              <w:spacing w:beforeAutospacing="1" w:afterAutospacing="1"/>
            </w:pPr>
            <w:r>
              <w:rPr>
                <w:color w:val="000000"/>
              </w:rPr>
              <w:t>Jurisdiction as a whole</w:t>
            </w:r>
          </w:p>
        </w:tc>
        <w:tc>
          <w:tcPr>
            <w:tcW w:w="1996" w:type="dxa"/>
            <w:vAlign w:val="bottom"/>
          </w:tcPr>
          <w:p w14:paraId="4071DC9C" w14:textId="77777777" w:rsidR="009B0FCC" w:rsidRDefault="009B0FCC" w:rsidP="00721F16">
            <w:pPr>
              <w:spacing w:beforeAutospacing="1" w:afterAutospacing="1"/>
              <w:jc w:val="right"/>
            </w:pPr>
            <w:r>
              <w:rPr>
                <w:color w:val="000000"/>
              </w:rPr>
              <w:t>45,671</w:t>
            </w:r>
          </w:p>
        </w:tc>
        <w:tc>
          <w:tcPr>
            <w:tcW w:w="1997" w:type="dxa"/>
            <w:vAlign w:val="bottom"/>
          </w:tcPr>
          <w:p w14:paraId="6B29198C" w14:textId="77777777" w:rsidR="009B0FCC" w:rsidRDefault="009B0FCC" w:rsidP="00721F16">
            <w:pPr>
              <w:spacing w:beforeAutospacing="1" w:afterAutospacing="1"/>
              <w:jc w:val="right"/>
            </w:pPr>
            <w:r>
              <w:rPr>
                <w:color w:val="000000"/>
              </w:rPr>
              <w:t>68,018</w:t>
            </w:r>
          </w:p>
        </w:tc>
        <w:tc>
          <w:tcPr>
            <w:tcW w:w="1997" w:type="dxa"/>
            <w:vAlign w:val="bottom"/>
          </w:tcPr>
          <w:p w14:paraId="22C6031A" w14:textId="77777777" w:rsidR="009B0FCC" w:rsidRDefault="009B0FCC" w:rsidP="00721F16">
            <w:pPr>
              <w:spacing w:beforeAutospacing="1" w:afterAutospacing="1"/>
              <w:jc w:val="right"/>
            </w:pPr>
            <w:r>
              <w:rPr>
                <w:color w:val="000000"/>
              </w:rPr>
              <w:t>0</w:t>
            </w:r>
          </w:p>
        </w:tc>
      </w:tr>
      <w:tr w:rsidR="009B0FCC" w14:paraId="7A4E44E6" w14:textId="77777777" w:rsidTr="00721F16">
        <w:trPr>
          <w:cantSplit/>
        </w:trPr>
        <w:tc>
          <w:tcPr>
            <w:tcW w:w="3600" w:type="dxa"/>
          </w:tcPr>
          <w:p w14:paraId="23932A18" w14:textId="77777777" w:rsidR="009B0FCC" w:rsidRDefault="009B0FCC" w:rsidP="00721F16">
            <w:pPr>
              <w:spacing w:beforeAutospacing="1" w:afterAutospacing="1"/>
            </w:pPr>
            <w:r>
              <w:rPr>
                <w:color w:val="000000"/>
              </w:rPr>
              <w:t>White</w:t>
            </w:r>
          </w:p>
        </w:tc>
        <w:tc>
          <w:tcPr>
            <w:tcW w:w="1996" w:type="dxa"/>
            <w:vAlign w:val="bottom"/>
          </w:tcPr>
          <w:p w14:paraId="5FC2AC9D" w14:textId="77777777" w:rsidR="009B0FCC" w:rsidRDefault="009B0FCC" w:rsidP="00721F16">
            <w:pPr>
              <w:spacing w:beforeAutospacing="1" w:afterAutospacing="1"/>
              <w:jc w:val="right"/>
            </w:pPr>
            <w:r>
              <w:rPr>
                <w:color w:val="000000"/>
              </w:rPr>
              <w:t>38,259</w:t>
            </w:r>
          </w:p>
        </w:tc>
        <w:tc>
          <w:tcPr>
            <w:tcW w:w="1997" w:type="dxa"/>
            <w:vAlign w:val="bottom"/>
          </w:tcPr>
          <w:p w14:paraId="4A64F154" w14:textId="77777777" w:rsidR="009B0FCC" w:rsidRDefault="009B0FCC" w:rsidP="00721F16">
            <w:pPr>
              <w:spacing w:beforeAutospacing="1" w:afterAutospacing="1"/>
              <w:jc w:val="right"/>
            </w:pPr>
            <w:r>
              <w:rPr>
                <w:color w:val="000000"/>
              </w:rPr>
              <w:t>57,646</w:t>
            </w:r>
          </w:p>
        </w:tc>
        <w:tc>
          <w:tcPr>
            <w:tcW w:w="1997" w:type="dxa"/>
            <w:vAlign w:val="bottom"/>
          </w:tcPr>
          <w:p w14:paraId="1D8B0BBE" w14:textId="77777777" w:rsidR="009B0FCC" w:rsidRDefault="009B0FCC" w:rsidP="00721F16">
            <w:pPr>
              <w:spacing w:beforeAutospacing="1" w:afterAutospacing="1"/>
              <w:jc w:val="right"/>
            </w:pPr>
            <w:r>
              <w:rPr>
                <w:color w:val="000000"/>
              </w:rPr>
              <w:t>0</w:t>
            </w:r>
          </w:p>
        </w:tc>
      </w:tr>
      <w:tr w:rsidR="009B0FCC" w14:paraId="736323FD" w14:textId="77777777" w:rsidTr="00721F16">
        <w:trPr>
          <w:cantSplit/>
        </w:trPr>
        <w:tc>
          <w:tcPr>
            <w:tcW w:w="3600" w:type="dxa"/>
          </w:tcPr>
          <w:p w14:paraId="27B61355" w14:textId="77777777" w:rsidR="009B0FCC" w:rsidRDefault="009B0FCC" w:rsidP="00721F16">
            <w:pPr>
              <w:spacing w:beforeAutospacing="1" w:afterAutospacing="1"/>
            </w:pPr>
            <w:r>
              <w:rPr>
                <w:color w:val="000000"/>
              </w:rPr>
              <w:t>Black / African American</w:t>
            </w:r>
          </w:p>
        </w:tc>
        <w:tc>
          <w:tcPr>
            <w:tcW w:w="1996" w:type="dxa"/>
            <w:vAlign w:val="bottom"/>
          </w:tcPr>
          <w:p w14:paraId="0F106D63" w14:textId="77777777" w:rsidR="009B0FCC" w:rsidRDefault="009B0FCC" w:rsidP="00721F16">
            <w:pPr>
              <w:spacing w:beforeAutospacing="1" w:afterAutospacing="1"/>
              <w:jc w:val="right"/>
            </w:pPr>
            <w:r>
              <w:rPr>
                <w:color w:val="000000"/>
              </w:rPr>
              <w:t>491</w:t>
            </w:r>
          </w:p>
        </w:tc>
        <w:tc>
          <w:tcPr>
            <w:tcW w:w="1997" w:type="dxa"/>
            <w:vAlign w:val="bottom"/>
          </w:tcPr>
          <w:p w14:paraId="044129B6" w14:textId="77777777" w:rsidR="009B0FCC" w:rsidRDefault="009B0FCC" w:rsidP="00721F16">
            <w:pPr>
              <w:spacing w:beforeAutospacing="1" w:afterAutospacing="1"/>
              <w:jc w:val="right"/>
            </w:pPr>
            <w:r>
              <w:rPr>
                <w:color w:val="000000"/>
              </w:rPr>
              <w:t>238</w:t>
            </w:r>
          </w:p>
        </w:tc>
        <w:tc>
          <w:tcPr>
            <w:tcW w:w="1997" w:type="dxa"/>
            <w:vAlign w:val="bottom"/>
          </w:tcPr>
          <w:p w14:paraId="52E9EE2D" w14:textId="77777777" w:rsidR="009B0FCC" w:rsidRDefault="009B0FCC" w:rsidP="00721F16">
            <w:pPr>
              <w:spacing w:beforeAutospacing="1" w:afterAutospacing="1"/>
              <w:jc w:val="right"/>
            </w:pPr>
            <w:r>
              <w:rPr>
                <w:color w:val="000000"/>
              </w:rPr>
              <w:t>0</w:t>
            </w:r>
          </w:p>
        </w:tc>
      </w:tr>
      <w:tr w:rsidR="009B0FCC" w14:paraId="12A5B56C" w14:textId="77777777" w:rsidTr="00721F16">
        <w:trPr>
          <w:cantSplit/>
        </w:trPr>
        <w:tc>
          <w:tcPr>
            <w:tcW w:w="3600" w:type="dxa"/>
          </w:tcPr>
          <w:p w14:paraId="3D68937A" w14:textId="77777777" w:rsidR="009B0FCC" w:rsidRDefault="009B0FCC" w:rsidP="00721F16">
            <w:pPr>
              <w:spacing w:beforeAutospacing="1" w:afterAutospacing="1"/>
            </w:pPr>
            <w:r>
              <w:rPr>
                <w:color w:val="000000"/>
              </w:rPr>
              <w:t>Asian</w:t>
            </w:r>
          </w:p>
        </w:tc>
        <w:tc>
          <w:tcPr>
            <w:tcW w:w="1996" w:type="dxa"/>
            <w:vAlign w:val="bottom"/>
          </w:tcPr>
          <w:p w14:paraId="6FEE7ED1" w14:textId="77777777" w:rsidR="009B0FCC" w:rsidRDefault="009B0FCC" w:rsidP="00721F16">
            <w:pPr>
              <w:spacing w:beforeAutospacing="1" w:afterAutospacing="1"/>
              <w:jc w:val="right"/>
            </w:pPr>
            <w:r>
              <w:rPr>
                <w:color w:val="000000"/>
              </w:rPr>
              <w:t>500</w:t>
            </w:r>
          </w:p>
        </w:tc>
        <w:tc>
          <w:tcPr>
            <w:tcW w:w="1997" w:type="dxa"/>
            <w:vAlign w:val="bottom"/>
          </w:tcPr>
          <w:p w14:paraId="2B840D6A" w14:textId="77777777" w:rsidR="009B0FCC" w:rsidRDefault="009B0FCC" w:rsidP="00721F16">
            <w:pPr>
              <w:spacing w:beforeAutospacing="1" w:afterAutospacing="1"/>
              <w:jc w:val="right"/>
            </w:pPr>
            <w:r>
              <w:rPr>
                <w:color w:val="000000"/>
              </w:rPr>
              <w:t>620</w:t>
            </w:r>
          </w:p>
        </w:tc>
        <w:tc>
          <w:tcPr>
            <w:tcW w:w="1997" w:type="dxa"/>
            <w:vAlign w:val="bottom"/>
          </w:tcPr>
          <w:p w14:paraId="04036E28" w14:textId="77777777" w:rsidR="009B0FCC" w:rsidRDefault="009B0FCC" w:rsidP="00721F16">
            <w:pPr>
              <w:spacing w:beforeAutospacing="1" w:afterAutospacing="1"/>
              <w:jc w:val="right"/>
            </w:pPr>
            <w:r>
              <w:rPr>
                <w:color w:val="000000"/>
              </w:rPr>
              <w:t>0</w:t>
            </w:r>
          </w:p>
        </w:tc>
      </w:tr>
      <w:tr w:rsidR="009B0FCC" w14:paraId="1AF6BF43" w14:textId="77777777" w:rsidTr="00721F16">
        <w:trPr>
          <w:cantSplit/>
        </w:trPr>
        <w:tc>
          <w:tcPr>
            <w:tcW w:w="3600" w:type="dxa"/>
          </w:tcPr>
          <w:p w14:paraId="7A2DAF3F" w14:textId="77777777" w:rsidR="009B0FCC" w:rsidRDefault="009B0FCC" w:rsidP="00721F16">
            <w:pPr>
              <w:spacing w:beforeAutospacing="1" w:afterAutospacing="1"/>
            </w:pPr>
            <w:r>
              <w:rPr>
                <w:color w:val="000000"/>
              </w:rPr>
              <w:t>American Indian, Alaska Native</w:t>
            </w:r>
          </w:p>
        </w:tc>
        <w:tc>
          <w:tcPr>
            <w:tcW w:w="1996" w:type="dxa"/>
            <w:vAlign w:val="bottom"/>
          </w:tcPr>
          <w:p w14:paraId="45A8FADF" w14:textId="77777777" w:rsidR="009B0FCC" w:rsidRDefault="009B0FCC" w:rsidP="00721F16">
            <w:pPr>
              <w:spacing w:beforeAutospacing="1" w:afterAutospacing="1"/>
              <w:jc w:val="right"/>
            </w:pPr>
            <w:r>
              <w:rPr>
                <w:color w:val="000000"/>
              </w:rPr>
              <w:t>559</w:t>
            </w:r>
          </w:p>
        </w:tc>
        <w:tc>
          <w:tcPr>
            <w:tcW w:w="1997" w:type="dxa"/>
            <w:vAlign w:val="bottom"/>
          </w:tcPr>
          <w:p w14:paraId="7EAD27EE" w14:textId="77777777" w:rsidR="009B0FCC" w:rsidRDefault="009B0FCC" w:rsidP="00721F16">
            <w:pPr>
              <w:spacing w:beforeAutospacing="1" w:afterAutospacing="1"/>
              <w:jc w:val="right"/>
            </w:pPr>
            <w:r>
              <w:rPr>
                <w:color w:val="000000"/>
              </w:rPr>
              <w:t>820</w:t>
            </w:r>
          </w:p>
        </w:tc>
        <w:tc>
          <w:tcPr>
            <w:tcW w:w="1997" w:type="dxa"/>
            <w:vAlign w:val="bottom"/>
          </w:tcPr>
          <w:p w14:paraId="53E1DD61" w14:textId="77777777" w:rsidR="009B0FCC" w:rsidRDefault="009B0FCC" w:rsidP="00721F16">
            <w:pPr>
              <w:spacing w:beforeAutospacing="1" w:afterAutospacing="1"/>
              <w:jc w:val="right"/>
            </w:pPr>
            <w:r>
              <w:rPr>
                <w:color w:val="000000"/>
              </w:rPr>
              <w:t>0</w:t>
            </w:r>
          </w:p>
        </w:tc>
      </w:tr>
      <w:tr w:rsidR="009B0FCC" w14:paraId="69F2DB91" w14:textId="77777777" w:rsidTr="00721F16">
        <w:trPr>
          <w:cantSplit/>
        </w:trPr>
        <w:tc>
          <w:tcPr>
            <w:tcW w:w="3600" w:type="dxa"/>
          </w:tcPr>
          <w:p w14:paraId="07142BD5" w14:textId="77777777" w:rsidR="009B0FCC" w:rsidRDefault="009B0FCC" w:rsidP="00721F16">
            <w:pPr>
              <w:spacing w:beforeAutospacing="1" w:afterAutospacing="1"/>
            </w:pPr>
            <w:r>
              <w:rPr>
                <w:color w:val="000000"/>
              </w:rPr>
              <w:t>Pacific Islander</w:t>
            </w:r>
          </w:p>
        </w:tc>
        <w:tc>
          <w:tcPr>
            <w:tcW w:w="1996" w:type="dxa"/>
            <w:vAlign w:val="bottom"/>
          </w:tcPr>
          <w:p w14:paraId="2BE25097" w14:textId="77777777" w:rsidR="009B0FCC" w:rsidRDefault="009B0FCC" w:rsidP="00721F16">
            <w:pPr>
              <w:spacing w:beforeAutospacing="1" w:afterAutospacing="1"/>
              <w:jc w:val="right"/>
            </w:pPr>
            <w:r>
              <w:rPr>
                <w:color w:val="000000"/>
              </w:rPr>
              <w:t>83</w:t>
            </w:r>
          </w:p>
        </w:tc>
        <w:tc>
          <w:tcPr>
            <w:tcW w:w="1997" w:type="dxa"/>
            <w:vAlign w:val="bottom"/>
          </w:tcPr>
          <w:p w14:paraId="243A6BE7" w14:textId="77777777" w:rsidR="009B0FCC" w:rsidRDefault="009B0FCC" w:rsidP="00721F16">
            <w:pPr>
              <w:spacing w:beforeAutospacing="1" w:afterAutospacing="1"/>
              <w:jc w:val="right"/>
            </w:pPr>
            <w:r>
              <w:rPr>
                <w:color w:val="000000"/>
              </w:rPr>
              <w:t>75</w:t>
            </w:r>
          </w:p>
        </w:tc>
        <w:tc>
          <w:tcPr>
            <w:tcW w:w="1997" w:type="dxa"/>
            <w:vAlign w:val="bottom"/>
          </w:tcPr>
          <w:p w14:paraId="704A357C" w14:textId="77777777" w:rsidR="009B0FCC" w:rsidRDefault="009B0FCC" w:rsidP="00721F16">
            <w:pPr>
              <w:spacing w:beforeAutospacing="1" w:afterAutospacing="1"/>
              <w:jc w:val="right"/>
            </w:pPr>
            <w:r>
              <w:rPr>
                <w:color w:val="000000"/>
              </w:rPr>
              <w:t>0</w:t>
            </w:r>
          </w:p>
        </w:tc>
      </w:tr>
      <w:tr w:rsidR="009B0FCC" w14:paraId="49A46B4C" w14:textId="77777777" w:rsidTr="00721F16">
        <w:trPr>
          <w:cantSplit/>
        </w:trPr>
        <w:tc>
          <w:tcPr>
            <w:tcW w:w="3600" w:type="dxa"/>
          </w:tcPr>
          <w:p w14:paraId="24DE3DE4" w14:textId="77777777" w:rsidR="009B0FCC" w:rsidRDefault="009B0FCC" w:rsidP="00721F16">
            <w:pPr>
              <w:spacing w:beforeAutospacing="1" w:afterAutospacing="1"/>
            </w:pPr>
            <w:r>
              <w:rPr>
                <w:color w:val="000000"/>
              </w:rPr>
              <w:t>Hispanic</w:t>
            </w:r>
          </w:p>
        </w:tc>
        <w:tc>
          <w:tcPr>
            <w:tcW w:w="1996" w:type="dxa"/>
            <w:vAlign w:val="bottom"/>
          </w:tcPr>
          <w:p w14:paraId="7CF92319" w14:textId="77777777" w:rsidR="009B0FCC" w:rsidRDefault="009B0FCC" w:rsidP="00721F16">
            <w:pPr>
              <w:spacing w:beforeAutospacing="1" w:afterAutospacing="1"/>
              <w:jc w:val="right"/>
            </w:pPr>
            <w:r>
              <w:rPr>
                <w:color w:val="000000"/>
              </w:rPr>
              <w:t>5,112</w:t>
            </w:r>
          </w:p>
        </w:tc>
        <w:tc>
          <w:tcPr>
            <w:tcW w:w="1997" w:type="dxa"/>
            <w:vAlign w:val="bottom"/>
          </w:tcPr>
          <w:p w14:paraId="7CC47D06" w14:textId="77777777" w:rsidR="009B0FCC" w:rsidRDefault="009B0FCC" w:rsidP="00721F16">
            <w:pPr>
              <w:spacing w:beforeAutospacing="1" w:afterAutospacing="1"/>
              <w:jc w:val="right"/>
            </w:pPr>
            <w:r>
              <w:rPr>
                <w:color w:val="000000"/>
              </w:rPr>
              <w:t>7,774</w:t>
            </w:r>
          </w:p>
        </w:tc>
        <w:tc>
          <w:tcPr>
            <w:tcW w:w="1997" w:type="dxa"/>
            <w:vAlign w:val="bottom"/>
          </w:tcPr>
          <w:p w14:paraId="18FD54A1" w14:textId="77777777" w:rsidR="009B0FCC" w:rsidRDefault="009B0FCC" w:rsidP="00721F16">
            <w:pPr>
              <w:spacing w:beforeAutospacing="1" w:afterAutospacing="1"/>
              <w:jc w:val="right"/>
            </w:pPr>
            <w:r>
              <w:rPr>
                <w:color w:val="000000"/>
              </w:rPr>
              <w:t>0</w:t>
            </w:r>
          </w:p>
        </w:tc>
      </w:tr>
    </w:tbl>
    <w:p w14:paraId="43B50F09"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Disproportionally Greater Need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2F5D8D8D" w14:textId="77777777" w:rsidTr="00721F16">
        <w:trPr>
          <w:cantSplit/>
        </w:trPr>
        <w:tc>
          <w:tcPr>
            <w:tcW w:w="1080" w:type="dxa"/>
          </w:tcPr>
          <w:p w14:paraId="140EB09A" w14:textId="77777777" w:rsidR="009B0FCC" w:rsidRDefault="009B0FCC" w:rsidP="00721F16">
            <w:pPr>
              <w:spacing w:after="0" w:line="240" w:lineRule="auto"/>
              <w:rPr>
                <w:sz w:val="16"/>
                <w:szCs w:val="16"/>
              </w:rPr>
            </w:pPr>
            <w:r>
              <w:rPr>
                <w:b/>
                <w:bCs/>
                <w:sz w:val="16"/>
                <w:szCs w:val="16"/>
              </w:rPr>
              <w:t>Data Source:</w:t>
            </w:r>
          </w:p>
        </w:tc>
        <w:tc>
          <w:tcPr>
            <w:tcW w:w="8510" w:type="dxa"/>
          </w:tcPr>
          <w:p w14:paraId="1299BFBE" w14:textId="77777777" w:rsidR="009B0FCC" w:rsidRDefault="009B0FCC" w:rsidP="00721F16">
            <w:pPr>
              <w:spacing w:beforeAutospacing="1" w:afterAutospacing="1"/>
              <w:rPr>
                <w:sz w:val="16"/>
                <w:szCs w:val="16"/>
              </w:rPr>
            </w:pPr>
            <w:r>
              <w:rPr>
                <w:sz w:val="16"/>
                <w:szCs w:val="16"/>
              </w:rPr>
              <w:t>2016-2020 CHAS</w:t>
            </w:r>
          </w:p>
        </w:tc>
      </w:tr>
    </w:tbl>
    <w:p w14:paraId="330C3689" w14:textId="77777777" w:rsidR="009B0FCC" w:rsidRDefault="009B0FCC" w:rsidP="009B0FCC">
      <w:pPr>
        <w:spacing w:after="0" w:line="240" w:lineRule="auto"/>
        <w:rPr>
          <w:vanish/>
        </w:rPr>
      </w:pPr>
    </w:p>
    <w:p w14:paraId="7694F737" w14:textId="77777777" w:rsidR="009B0FCC" w:rsidRDefault="009B0FCC" w:rsidP="009B0FCC">
      <w:pPr>
        <w:spacing w:after="0" w:line="240" w:lineRule="auto"/>
        <w:rPr>
          <w:b/>
          <w:bCs/>
          <w:vanish/>
          <w:sz w:val="16"/>
          <w:szCs w:val="16"/>
        </w:rPr>
      </w:pPr>
    </w:p>
    <w:p w14:paraId="4BDCE3D4" w14:textId="77777777" w:rsidR="009B0FCC" w:rsidRDefault="009B0FCC" w:rsidP="009B0FCC">
      <w:pPr>
        <w:spacing w:after="0" w:line="240" w:lineRule="auto"/>
      </w:pPr>
    </w:p>
    <w:p w14:paraId="741D16C0" w14:textId="77777777" w:rsidR="009B0FCC" w:rsidRDefault="009B0FCC" w:rsidP="009B0FCC">
      <w:pPr>
        <w:spacing w:after="0" w:line="240" w:lineRule="auto"/>
      </w:pPr>
      <w:r>
        <w:t xml:space="preserve">*The four housing problems are: </w:t>
      </w:r>
    </w:p>
    <w:p w14:paraId="1AFEC2AE" w14:textId="6A244B1E" w:rsidR="009B0FCC" w:rsidRDefault="009B0FCC" w:rsidP="009B0FCC">
      <w:r>
        <w:t>1. Lacks complete kitchen facilities, 2. Lacks complete plumbing facilities, 3. More than one person per room, 4.</w:t>
      </w:r>
      <w:r w:rsidR="5944D1C1">
        <w:t xml:space="preserve"> </w:t>
      </w:r>
      <w:r>
        <w:t>Cost Burden greater than 30%</w:t>
      </w:r>
    </w:p>
    <w:p w14:paraId="3A7F5BA9" w14:textId="77777777" w:rsidR="009B0FCC" w:rsidRDefault="009B0FCC" w:rsidP="009B0FCC">
      <w:pPr>
        <w:keepNext/>
        <w:widowControl w:val="0"/>
        <w:rPr>
          <w:b/>
          <w:sz w:val="24"/>
          <w:szCs w:val="24"/>
        </w:rPr>
      </w:pPr>
      <w:r>
        <w:rPr>
          <w:b/>
          <w:sz w:val="24"/>
          <w:szCs w:val="24"/>
        </w:rPr>
        <w:lastRenderedPageBreak/>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9B0FCC" w14:paraId="701A2E42" w14:textId="77777777" w:rsidTr="00721F16">
        <w:trPr>
          <w:cantSplit/>
          <w:tblHeader/>
        </w:trPr>
        <w:tc>
          <w:tcPr>
            <w:tcW w:w="3600" w:type="dxa"/>
          </w:tcPr>
          <w:p w14:paraId="42EC430D" w14:textId="77777777" w:rsidR="009B0FCC" w:rsidRDefault="009B0FCC" w:rsidP="00721F16">
            <w:pPr>
              <w:keepNext/>
              <w:widowControl w:val="0"/>
              <w:spacing w:after="0" w:line="240" w:lineRule="auto"/>
              <w:jc w:val="center"/>
              <w:rPr>
                <w:b/>
              </w:rPr>
            </w:pPr>
            <w:r>
              <w:rPr>
                <w:b/>
                <w:bCs/>
              </w:rPr>
              <w:t>Housing Problems</w:t>
            </w:r>
          </w:p>
        </w:tc>
        <w:tc>
          <w:tcPr>
            <w:tcW w:w="1996" w:type="dxa"/>
          </w:tcPr>
          <w:p w14:paraId="7CD52FB2" w14:textId="77777777" w:rsidR="009B0FCC" w:rsidRDefault="009B0FCC" w:rsidP="00721F16">
            <w:pPr>
              <w:keepNext/>
              <w:widowControl w:val="0"/>
              <w:spacing w:after="0" w:line="240" w:lineRule="auto"/>
              <w:jc w:val="center"/>
              <w:rPr>
                <w:b/>
              </w:rPr>
            </w:pPr>
            <w:r>
              <w:rPr>
                <w:b/>
                <w:bCs/>
              </w:rPr>
              <w:t>Has one or more of four housing problems</w:t>
            </w:r>
          </w:p>
        </w:tc>
        <w:tc>
          <w:tcPr>
            <w:tcW w:w="1997" w:type="dxa"/>
          </w:tcPr>
          <w:p w14:paraId="1993C809" w14:textId="77777777" w:rsidR="009B0FCC" w:rsidRDefault="009B0FCC" w:rsidP="00721F16">
            <w:pPr>
              <w:keepNext/>
              <w:widowControl w:val="0"/>
              <w:spacing w:after="0" w:line="240" w:lineRule="auto"/>
              <w:jc w:val="center"/>
              <w:rPr>
                <w:b/>
              </w:rPr>
            </w:pPr>
            <w:r>
              <w:rPr>
                <w:b/>
                <w:bCs/>
              </w:rPr>
              <w:t>Has none of the four housing problems</w:t>
            </w:r>
          </w:p>
        </w:tc>
        <w:tc>
          <w:tcPr>
            <w:tcW w:w="1997" w:type="dxa"/>
          </w:tcPr>
          <w:p w14:paraId="556DCB39" w14:textId="77777777" w:rsidR="009B0FCC" w:rsidRDefault="009B0FCC" w:rsidP="00721F16">
            <w:pPr>
              <w:keepNext/>
              <w:widowControl w:val="0"/>
              <w:spacing w:after="0" w:line="240" w:lineRule="auto"/>
              <w:jc w:val="center"/>
              <w:rPr>
                <w:b/>
              </w:rPr>
            </w:pPr>
            <w:r>
              <w:rPr>
                <w:b/>
                <w:bCs/>
              </w:rPr>
              <w:t>Household has no/negative income, but none of the other housing problems</w:t>
            </w:r>
          </w:p>
        </w:tc>
      </w:tr>
      <w:tr w:rsidR="009B0FCC" w14:paraId="013D68F2" w14:textId="77777777" w:rsidTr="00721F16">
        <w:trPr>
          <w:cantSplit/>
        </w:trPr>
        <w:tc>
          <w:tcPr>
            <w:tcW w:w="3600" w:type="dxa"/>
          </w:tcPr>
          <w:p w14:paraId="376D910A" w14:textId="77777777" w:rsidR="009B0FCC" w:rsidRDefault="009B0FCC" w:rsidP="00721F16">
            <w:pPr>
              <w:spacing w:beforeAutospacing="1" w:afterAutospacing="1"/>
            </w:pPr>
            <w:r>
              <w:rPr>
                <w:color w:val="000000"/>
              </w:rPr>
              <w:t>Jurisdiction as a whole</w:t>
            </w:r>
          </w:p>
        </w:tc>
        <w:tc>
          <w:tcPr>
            <w:tcW w:w="1996" w:type="dxa"/>
            <w:vAlign w:val="bottom"/>
          </w:tcPr>
          <w:p w14:paraId="0161F83D" w14:textId="77777777" w:rsidR="009B0FCC" w:rsidRDefault="009B0FCC" w:rsidP="00721F16">
            <w:pPr>
              <w:spacing w:beforeAutospacing="1" w:afterAutospacing="1"/>
              <w:jc w:val="right"/>
            </w:pPr>
            <w:r>
              <w:rPr>
                <w:color w:val="000000"/>
              </w:rPr>
              <w:t>12,975</w:t>
            </w:r>
          </w:p>
        </w:tc>
        <w:tc>
          <w:tcPr>
            <w:tcW w:w="1997" w:type="dxa"/>
            <w:vAlign w:val="bottom"/>
          </w:tcPr>
          <w:p w14:paraId="267CFA34" w14:textId="77777777" w:rsidR="009B0FCC" w:rsidRDefault="009B0FCC" w:rsidP="00721F16">
            <w:pPr>
              <w:spacing w:beforeAutospacing="1" w:afterAutospacing="1"/>
              <w:jc w:val="right"/>
            </w:pPr>
            <w:r>
              <w:rPr>
                <w:color w:val="000000"/>
              </w:rPr>
              <w:t>54,591</w:t>
            </w:r>
          </w:p>
        </w:tc>
        <w:tc>
          <w:tcPr>
            <w:tcW w:w="1997" w:type="dxa"/>
            <w:vAlign w:val="bottom"/>
          </w:tcPr>
          <w:p w14:paraId="23975FA8" w14:textId="77777777" w:rsidR="009B0FCC" w:rsidRDefault="009B0FCC" w:rsidP="00721F16">
            <w:pPr>
              <w:spacing w:beforeAutospacing="1" w:afterAutospacing="1"/>
              <w:jc w:val="right"/>
            </w:pPr>
            <w:r>
              <w:rPr>
                <w:color w:val="000000"/>
              </w:rPr>
              <w:t>0</w:t>
            </w:r>
          </w:p>
        </w:tc>
      </w:tr>
      <w:tr w:rsidR="009B0FCC" w14:paraId="5CCEFD4A" w14:textId="77777777" w:rsidTr="00721F16">
        <w:trPr>
          <w:cantSplit/>
        </w:trPr>
        <w:tc>
          <w:tcPr>
            <w:tcW w:w="3600" w:type="dxa"/>
          </w:tcPr>
          <w:p w14:paraId="2BEFAA86" w14:textId="77777777" w:rsidR="009B0FCC" w:rsidRDefault="009B0FCC" w:rsidP="00721F16">
            <w:pPr>
              <w:spacing w:beforeAutospacing="1" w:afterAutospacing="1"/>
            </w:pPr>
            <w:r>
              <w:rPr>
                <w:color w:val="000000"/>
              </w:rPr>
              <w:t>White</w:t>
            </w:r>
          </w:p>
        </w:tc>
        <w:tc>
          <w:tcPr>
            <w:tcW w:w="1996" w:type="dxa"/>
            <w:vAlign w:val="bottom"/>
          </w:tcPr>
          <w:p w14:paraId="246DA505" w14:textId="77777777" w:rsidR="009B0FCC" w:rsidRDefault="009B0FCC" w:rsidP="00721F16">
            <w:pPr>
              <w:spacing w:beforeAutospacing="1" w:afterAutospacing="1"/>
              <w:jc w:val="right"/>
            </w:pPr>
            <w:r>
              <w:rPr>
                <w:color w:val="000000"/>
              </w:rPr>
              <w:t>11,373</w:t>
            </w:r>
          </w:p>
        </w:tc>
        <w:tc>
          <w:tcPr>
            <w:tcW w:w="1997" w:type="dxa"/>
            <w:vAlign w:val="bottom"/>
          </w:tcPr>
          <w:p w14:paraId="1D607F58" w14:textId="77777777" w:rsidR="009B0FCC" w:rsidRDefault="009B0FCC" w:rsidP="00721F16">
            <w:pPr>
              <w:spacing w:beforeAutospacing="1" w:afterAutospacing="1"/>
              <w:jc w:val="right"/>
            </w:pPr>
            <w:r>
              <w:rPr>
                <w:color w:val="000000"/>
              </w:rPr>
              <w:t>47,552</w:t>
            </w:r>
          </w:p>
        </w:tc>
        <w:tc>
          <w:tcPr>
            <w:tcW w:w="1997" w:type="dxa"/>
            <w:vAlign w:val="bottom"/>
          </w:tcPr>
          <w:p w14:paraId="1A02143C" w14:textId="77777777" w:rsidR="009B0FCC" w:rsidRDefault="009B0FCC" w:rsidP="00721F16">
            <w:pPr>
              <w:spacing w:beforeAutospacing="1" w:afterAutospacing="1"/>
              <w:jc w:val="right"/>
            </w:pPr>
            <w:r>
              <w:rPr>
                <w:color w:val="000000"/>
              </w:rPr>
              <w:t>0</w:t>
            </w:r>
          </w:p>
        </w:tc>
      </w:tr>
      <w:tr w:rsidR="009B0FCC" w14:paraId="036945AC" w14:textId="77777777" w:rsidTr="00721F16">
        <w:trPr>
          <w:cantSplit/>
        </w:trPr>
        <w:tc>
          <w:tcPr>
            <w:tcW w:w="3600" w:type="dxa"/>
          </w:tcPr>
          <w:p w14:paraId="0BD7E244" w14:textId="77777777" w:rsidR="009B0FCC" w:rsidRDefault="009B0FCC" w:rsidP="00721F16">
            <w:pPr>
              <w:spacing w:beforeAutospacing="1" w:afterAutospacing="1"/>
            </w:pPr>
            <w:r>
              <w:rPr>
                <w:color w:val="000000"/>
              </w:rPr>
              <w:t>Black / African American</w:t>
            </w:r>
          </w:p>
        </w:tc>
        <w:tc>
          <w:tcPr>
            <w:tcW w:w="1996" w:type="dxa"/>
            <w:vAlign w:val="bottom"/>
          </w:tcPr>
          <w:p w14:paraId="74101122" w14:textId="77777777" w:rsidR="009B0FCC" w:rsidRDefault="009B0FCC" w:rsidP="00721F16">
            <w:pPr>
              <w:spacing w:beforeAutospacing="1" w:afterAutospacing="1"/>
              <w:jc w:val="right"/>
            </w:pPr>
            <w:r>
              <w:rPr>
                <w:color w:val="000000"/>
              </w:rPr>
              <w:t>4</w:t>
            </w:r>
          </w:p>
        </w:tc>
        <w:tc>
          <w:tcPr>
            <w:tcW w:w="1997" w:type="dxa"/>
            <w:vAlign w:val="bottom"/>
          </w:tcPr>
          <w:p w14:paraId="276E3BAA" w14:textId="77777777" w:rsidR="009B0FCC" w:rsidRDefault="009B0FCC" w:rsidP="00721F16">
            <w:pPr>
              <w:spacing w:beforeAutospacing="1" w:afterAutospacing="1"/>
              <w:jc w:val="right"/>
            </w:pPr>
            <w:r>
              <w:rPr>
                <w:color w:val="000000"/>
              </w:rPr>
              <w:t>185</w:t>
            </w:r>
          </w:p>
        </w:tc>
        <w:tc>
          <w:tcPr>
            <w:tcW w:w="1997" w:type="dxa"/>
            <w:vAlign w:val="bottom"/>
          </w:tcPr>
          <w:p w14:paraId="4AF3BB67" w14:textId="77777777" w:rsidR="009B0FCC" w:rsidRDefault="009B0FCC" w:rsidP="00721F16">
            <w:pPr>
              <w:spacing w:beforeAutospacing="1" w:afterAutospacing="1"/>
              <w:jc w:val="right"/>
            </w:pPr>
            <w:r>
              <w:rPr>
                <w:color w:val="000000"/>
              </w:rPr>
              <w:t>0</w:t>
            </w:r>
          </w:p>
        </w:tc>
      </w:tr>
      <w:tr w:rsidR="009B0FCC" w14:paraId="69724A5B" w14:textId="77777777" w:rsidTr="00721F16">
        <w:trPr>
          <w:cantSplit/>
        </w:trPr>
        <w:tc>
          <w:tcPr>
            <w:tcW w:w="3600" w:type="dxa"/>
          </w:tcPr>
          <w:p w14:paraId="78A2967F" w14:textId="77777777" w:rsidR="009B0FCC" w:rsidRDefault="009B0FCC" w:rsidP="00721F16">
            <w:pPr>
              <w:spacing w:beforeAutospacing="1" w:afterAutospacing="1"/>
            </w:pPr>
            <w:r>
              <w:rPr>
                <w:color w:val="000000"/>
              </w:rPr>
              <w:t>Asian</w:t>
            </w:r>
          </w:p>
        </w:tc>
        <w:tc>
          <w:tcPr>
            <w:tcW w:w="1996" w:type="dxa"/>
            <w:vAlign w:val="bottom"/>
          </w:tcPr>
          <w:p w14:paraId="10747D20" w14:textId="77777777" w:rsidR="009B0FCC" w:rsidRDefault="009B0FCC" w:rsidP="00721F16">
            <w:pPr>
              <w:spacing w:beforeAutospacing="1" w:afterAutospacing="1"/>
              <w:jc w:val="right"/>
            </w:pPr>
            <w:r>
              <w:rPr>
                <w:color w:val="000000"/>
              </w:rPr>
              <w:t>233</w:t>
            </w:r>
          </w:p>
        </w:tc>
        <w:tc>
          <w:tcPr>
            <w:tcW w:w="1997" w:type="dxa"/>
            <w:vAlign w:val="bottom"/>
          </w:tcPr>
          <w:p w14:paraId="5FF0F92F" w14:textId="77777777" w:rsidR="009B0FCC" w:rsidRDefault="009B0FCC" w:rsidP="00721F16">
            <w:pPr>
              <w:spacing w:beforeAutospacing="1" w:afterAutospacing="1"/>
              <w:jc w:val="right"/>
            </w:pPr>
            <w:r>
              <w:rPr>
                <w:color w:val="000000"/>
              </w:rPr>
              <w:t>438</w:t>
            </w:r>
          </w:p>
        </w:tc>
        <w:tc>
          <w:tcPr>
            <w:tcW w:w="1997" w:type="dxa"/>
            <w:vAlign w:val="bottom"/>
          </w:tcPr>
          <w:p w14:paraId="3A9461A2" w14:textId="77777777" w:rsidR="009B0FCC" w:rsidRDefault="009B0FCC" w:rsidP="00721F16">
            <w:pPr>
              <w:spacing w:beforeAutospacing="1" w:afterAutospacing="1"/>
              <w:jc w:val="right"/>
            </w:pPr>
            <w:r>
              <w:rPr>
                <w:color w:val="000000"/>
              </w:rPr>
              <w:t>0</w:t>
            </w:r>
          </w:p>
        </w:tc>
      </w:tr>
      <w:tr w:rsidR="009B0FCC" w14:paraId="21494015" w14:textId="77777777" w:rsidTr="00721F16">
        <w:trPr>
          <w:cantSplit/>
        </w:trPr>
        <w:tc>
          <w:tcPr>
            <w:tcW w:w="3600" w:type="dxa"/>
          </w:tcPr>
          <w:p w14:paraId="609B8256" w14:textId="77777777" w:rsidR="009B0FCC" w:rsidRDefault="009B0FCC" w:rsidP="00721F16">
            <w:pPr>
              <w:spacing w:beforeAutospacing="1" w:afterAutospacing="1"/>
            </w:pPr>
            <w:r>
              <w:rPr>
                <w:color w:val="000000"/>
              </w:rPr>
              <w:t>American Indian, Alaska Native</w:t>
            </w:r>
          </w:p>
        </w:tc>
        <w:tc>
          <w:tcPr>
            <w:tcW w:w="1996" w:type="dxa"/>
            <w:vAlign w:val="bottom"/>
          </w:tcPr>
          <w:p w14:paraId="48E4120E" w14:textId="77777777" w:rsidR="009B0FCC" w:rsidRDefault="009B0FCC" w:rsidP="00721F16">
            <w:pPr>
              <w:spacing w:beforeAutospacing="1" w:afterAutospacing="1"/>
              <w:jc w:val="right"/>
            </w:pPr>
            <w:r>
              <w:rPr>
                <w:color w:val="000000"/>
              </w:rPr>
              <w:t>129</w:t>
            </w:r>
          </w:p>
        </w:tc>
        <w:tc>
          <w:tcPr>
            <w:tcW w:w="1997" w:type="dxa"/>
            <w:vAlign w:val="bottom"/>
          </w:tcPr>
          <w:p w14:paraId="709583BE" w14:textId="77777777" w:rsidR="009B0FCC" w:rsidRDefault="009B0FCC" w:rsidP="00721F16">
            <w:pPr>
              <w:spacing w:beforeAutospacing="1" w:afterAutospacing="1"/>
              <w:jc w:val="right"/>
            </w:pPr>
            <w:r>
              <w:rPr>
                <w:color w:val="000000"/>
              </w:rPr>
              <w:t>463</w:t>
            </w:r>
          </w:p>
        </w:tc>
        <w:tc>
          <w:tcPr>
            <w:tcW w:w="1997" w:type="dxa"/>
            <w:vAlign w:val="bottom"/>
          </w:tcPr>
          <w:p w14:paraId="32EBF601" w14:textId="77777777" w:rsidR="009B0FCC" w:rsidRDefault="009B0FCC" w:rsidP="00721F16">
            <w:pPr>
              <w:spacing w:beforeAutospacing="1" w:afterAutospacing="1"/>
              <w:jc w:val="right"/>
            </w:pPr>
            <w:r>
              <w:rPr>
                <w:color w:val="000000"/>
              </w:rPr>
              <w:t>0</w:t>
            </w:r>
          </w:p>
        </w:tc>
      </w:tr>
      <w:tr w:rsidR="009B0FCC" w14:paraId="1A394AC2" w14:textId="77777777" w:rsidTr="00721F16">
        <w:trPr>
          <w:cantSplit/>
        </w:trPr>
        <w:tc>
          <w:tcPr>
            <w:tcW w:w="3600" w:type="dxa"/>
          </w:tcPr>
          <w:p w14:paraId="122C368E" w14:textId="77777777" w:rsidR="009B0FCC" w:rsidRDefault="009B0FCC" w:rsidP="00721F16">
            <w:pPr>
              <w:spacing w:beforeAutospacing="1" w:afterAutospacing="1"/>
            </w:pPr>
            <w:r>
              <w:rPr>
                <w:color w:val="000000"/>
              </w:rPr>
              <w:t>Pacific Islander</w:t>
            </w:r>
          </w:p>
        </w:tc>
        <w:tc>
          <w:tcPr>
            <w:tcW w:w="1996" w:type="dxa"/>
            <w:vAlign w:val="bottom"/>
          </w:tcPr>
          <w:p w14:paraId="45359FA8" w14:textId="77777777" w:rsidR="009B0FCC" w:rsidRDefault="009B0FCC" w:rsidP="00721F16">
            <w:pPr>
              <w:spacing w:beforeAutospacing="1" w:afterAutospacing="1"/>
              <w:jc w:val="right"/>
            </w:pPr>
            <w:r>
              <w:rPr>
                <w:color w:val="000000"/>
              </w:rPr>
              <w:t>0</w:t>
            </w:r>
          </w:p>
        </w:tc>
        <w:tc>
          <w:tcPr>
            <w:tcW w:w="1997" w:type="dxa"/>
            <w:vAlign w:val="bottom"/>
          </w:tcPr>
          <w:p w14:paraId="353AC11B" w14:textId="77777777" w:rsidR="009B0FCC" w:rsidRDefault="009B0FCC" w:rsidP="00721F16">
            <w:pPr>
              <w:spacing w:beforeAutospacing="1" w:afterAutospacing="1"/>
              <w:jc w:val="right"/>
            </w:pPr>
            <w:r>
              <w:rPr>
                <w:color w:val="000000"/>
              </w:rPr>
              <w:t>14</w:t>
            </w:r>
          </w:p>
        </w:tc>
        <w:tc>
          <w:tcPr>
            <w:tcW w:w="1997" w:type="dxa"/>
            <w:vAlign w:val="bottom"/>
          </w:tcPr>
          <w:p w14:paraId="2A0EF0D1" w14:textId="77777777" w:rsidR="009B0FCC" w:rsidRDefault="009B0FCC" w:rsidP="00721F16">
            <w:pPr>
              <w:spacing w:beforeAutospacing="1" w:afterAutospacing="1"/>
              <w:jc w:val="right"/>
            </w:pPr>
            <w:r>
              <w:rPr>
                <w:color w:val="000000"/>
              </w:rPr>
              <w:t>0</w:t>
            </w:r>
          </w:p>
        </w:tc>
      </w:tr>
      <w:tr w:rsidR="009B0FCC" w14:paraId="346485B2" w14:textId="77777777" w:rsidTr="00721F16">
        <w:trPr>
          <w:cantSplit/>
        </w:trPr>
        <w:tc>
          <w:tcPr>
            <w:tcW w:w="3600" w:type="dxa"/>
          </w:tcPr>
          <w:p w14:paraId="22F5BD3C" w14:textId="77777777" w:rsidR="009B0FCC" w:rsidRDefault="009B0FCC" w:rsidP="00721F16">
            <w:pPr>
              <w:spacing w:beforeAutospacing="1" w:afterAutospacing="1"/>
            </w:pPr>
            <w:r>
              <w:rPr>
                <w:color w:val="000000"/>
              </w:rPr>
              <w:t>Hispanic</w:t>
            </w:r>
          </w:p>
        </w:tc>
        <w:tc>
          <w:tcPr>
            <w:tcW w:w="1996" w:type="dxa"/>
            <w:vAlign w:val="bottom"/>
          </w:tcPr>
          <w:p w14:paraId="48696895" w14:textId="77777777" w:rsidR="009B0FCC" w:rsidRDefault="009B0FCC" w:rsidP="00721F16">
            <w:pPr>
              <w:spacing w:beforeAutospacing="1" w:afterAutospacing="1"/>
              <w:jc w:val="right"/>
            </w:pPr>
            <w:r>
              <w:rPr>
                <w:color w:val="000000"/>
              </w:rPr>
              <w:t>1,080</w:t>
            </w:r>
          </w:p>
        </w:tc>
        <w:tc>
          <w:tcPr>
            <w:tcW w:w="1997" w:type="dxa"/>
            <w:vAlign w:val="bottom"/>
          </w:tcPr>
          <w:p w14:paraId="0EDE0867" w14:textId="77777777" w:rsidR="009B0FCC" w:rsidRDefault="009B0FCC" w:rsidP="00721F16">
            <w:pPr>
              <w:spacing w:beforeAutospacing="1" w:afterAutospacing="1"/>
              <w:jc w:val="right"/>
            </w:pPr>
            <w:r>
              <w:rPr>
                <w:color w:val="000000"/>
              </w:rPr>
              <w:t>5,261</w:t>
            </w:r>
          </w:p>
        </w:tc>
        <w:tc>
          <w:tcPr>
            <w:tcW w:w="1997" w:type="dxa"/>
            <w:vAlign w:val="bottom"/>
          </w:tcPr>
          <w:p w14:paraId="76F51CF3" w14:textId="77777777" w:rsidR="009B0FCC" w:rsidRDefault="009B0FCC" w:rsidP="00721F16">
            <w:pPr>
              <w:spacing w:beforeAutospacing="1" w:afterAutospacing="1"/>
              <w:jc w:val="right"/>
            </w:pPr>
            <w:r>
              <w:rPr>
                <w:color w:val="000000"/>
              </w:rPr>
              <w:t>0</w:t>
            </w:r>
          </w:p>
        </w:tc>
      </w:tr>
    </w:tbl>
    <w:p w14:paraId="0F69DB67"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Disproportionally Greater Need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2A6E83BD" w14:textId="77777777" w:rsidTr="00721F16">
        <w:trPr>
          <w:cantSplit/>
        </w:trPr>
        <w:tc>
          <w:tcPr>
            <w:tcW w:w="1080" w:type="dxa"/>
          </w:tcPr>
          <w:p w14:paraId="6B12BACF" w14:textId="77777777" w:rsidR="009B0FCC" w:rsidRDefault="009B0FCC" w:rsidP="00721F16">
            <w:pPr>
              <w:spacing w:after="0" w:line="240" w:lineRule="auto"/>
              <w:rPr>
                <w:sz w:val="16"/>
                <w:szCs w:val="16"/>
              </w:rPr>
            </w:pPr>
            <w:r>
              <w:rPr>
                <w:b/>
                <w:bCs/>
                <w:sz w:val="16"/>
                <w:szCs w:val="16"/>
              </w:rPr>
              <w:t>Data Source:</w:t>
            </w:r>
          </w:p>
        </w:tc>
        <w:tc>
          <w:tcPr>
            <w:tcW w:w="8510" w:type="dxa"/>
          </w:tcPr>
          <w:p w14:paraId="48958079" w14:textId="77777777" w:rsidR="009B0FCC" w:rsidRDefault="009B0FCC" w:rsidP="00721F16">
            <w:pPr>
              <w:spacing w:beforeAutospacing="1" w:afterAutospacing="1"/>
              <w:rPr>
                <w:sz w:val="16"/>
                <w:szCs w:val="16"/>
              </w:rPr>
            </w:pPr>
            <w:r>
              <w:rPr>
                <w:sz w:val="16"/>
                <w:szCs w:val="16"/>
              </w:rPr>
              <w:t>2016-2020 CHAS</w:t>
            </w:r>
          </w:p>
        </w:tc>
      </w:tr>
    </w:tbl>
    <w:p w14:paraId="6CC0C512" w14:textId="77777777" w:rsidR="009B0FCC" w:rsidRDefault="009B0FCC" w:rsidP="009B0FCC">
      <w:pPr>
        <w:spacing w:after="0" w:line="240" w:lineRule="auto"/>
        <w:rPr>
          <w:vanish/>
        </w:rPr>
      </w:pPr>
    </w:p>
    <w:p w14:paraId="3A553475" w14:textId="77777777" w:rsidR="009B0FCC" w:rsidRDefault="009B0FCC" w:rsidP="009B0FCC">
      <w:pPr>
        <w:spacing w:after="0" w:line="240" w:lineRule="auto"/>
        <w:rPr>
          <w:b/>
          <w:bCs/>
          <w:vanish/>
          <w:sz w:val="16"/>
          <w:szCs w:val="16"/>
        </w:rPr>
      </w:pPr>
    </w:p>
    <w:p w14:paraId="71CA3C26" w14:textId="77777777" w:rsidR="009B0FCC" w:rsidRDefault="009B0FCC" w:rsidP="009B0FCC">
      <w:pPr>
        <w:spacing w:after="0" w:line="240" w:lineRule="auto"/>
      </w:pPr>
    </w:p>
    <w:p w14:paraId="7672813A" w14:textId="77777777" w:rsidR="009B0FCC" w:rsidRDefault="009B0FCC" w:rsidP="009B0FCC">
      <w:pPr>
        <w:spacing w:after="0" w:line="240" w:lineRule="auto"/>
      </w:pPr>
      <w:r>
        <w:t xml:space="preserve">*The four housing problems are: </w:t>
      </w:r>
    </w:p>
    <w:p w14:paraId="21D47EFD" w14:textId="766AE11D" w:rsidR="009B0FCC" w:rsidRDefault="009B0FCC" w:rsidP="009B0FCC">
      <w:r>
        <w:t>1. Lacks complete kitchen facilities, 2. Lacks complete plumbing facilities, 3. More than one person per room, 4.</w:t>
      </w:r>
      <w:r w:rsidR="71833CC7">
        <w:t xml:space="preserve"> </w:t>
      </w:r>
      <w:r>
        <w:t>Cost Burden greater than 30%</w:t>
      </w:r>
    </w:p>
    <w:p w14:paraId="70187F8E" w14:textId="77777777" w:rsidR="009B0FCC" w:rsidRDefault="009B0FCC" w:rsidP="009B0FCC">
      <w:pPr>
        <w:spacing w:line="204" w:lineRule="auto"/>
        <w:rPr>
          <w:b/>
          <w:sz w:val="24"/>
          <w:szCs w:val="24"/>
        </w:rPr>
      </w:pPr>
      <w:r w:rsidRPr="497B8E2D">
        <w:rPr>
          <w:b/>
          <w:bCs/>
          <w:sz w:val="24"/>
          <w:szCs w:val="24"/>
        </w:rPr>
        <w:t>Discussion</w:t>
      </w:r>
    </w:p>
    <w:p w14:paraId="76E26E02" w14:textId="77777777" w:rsidR="009B0FCC" w:rsidRDefault="009B0FCC" w:rsidP="00C83593">
      <w:pPr>
        <w:jc w:val="both"/>
        <w:rPr>
          <w:b/>
          <w:bCs/>
          <w:sz w:val="24"/>
          <w:szCs w:val="24"/>
          <w:u w:val="single"/>
        </w:rPr>
      </w:pPr>
      <w:r w:rsidRPr="497B8E2D">
        <w:rPr>
          <w:sz w:val="24"/>
          <w:szCs w:val="24"/>
          <w:u w:val="single"/>
        </w:rPr>
        <w:t>0-30% AMI</w:t>
      </w:r>
    </w:p>
    <w:p w14:paraId="67A333A4" w14:textId="77777777" w:rsidR="009B0FCC" w:rsidRDefault="009B0FCC" w:rsidP="00C83593">
      <w:pPr>
        <w:jc w:val="both"/>
        <w:rPr>
          <w:sz w:val="24"/>
          <w:szCs w:val="24"/>
        </w:rPr>
      </w:pPr>
      <w:r w:rsidRPr="497B8E2D">
        <w:rPr>
          <w:sz w:val="24"/>
          <w:szCs w:val="24"/>
        </w:rPr>
        <w:t>None of the racial or ethnic groups have a disproportionately greater need (10% or more than the than the income level as a whole) in the 0-30% AMI category. All groups experience housing problems at rates within or below the jurisdiction as a whole’s rate of 76.3%.</w:t>
      </w:r>
    </w:p>
    <w:p w14:paraId="7B011096" w14:textId="77777777" w:rsidR="009B0FCC" w:rsidRDefault="009B0FCC" w:rsidP="00C83593">
      <w:pPr>
        <w:jc w:val="both"/>
        <w:rPr>
          <w:sz w:val="24"/>
          <w:szCs w:val="24"/>
        </w:rPr>
      </w:pPr>
      <w:r w:rsidRPr="497B8E2D">
        <w:rPr>
          <w:sz w:val="24"/>
          <w:szCs w:val="24"/>
          <w:u w:val="single"/>
        </w:rPr>
        <w:t>30-50% AMI</w:t>
      </w:r>
    </w:p>
    <w:p w14:paraId="72E64DEA" w14:textId="77777777" w:rsidR="009B0FCC" w:rsidRDefault="009B0FCC" w:rsidP="00C83593">
      <w:pPr>
        <w:jc w:val="both"/>
        <w:rPr>
          <w:sz w:val="24"/>
          <w:szCs w:val="24"/>
        </w:rPr>
      </w:pPr>
      <w:r w:rsidRPr="497B8E2D">
        <w:rPr>
          <w:sz w:val="24"/>
          <w:szCs w:val="24"/>
        </w:rPr>
        <w:t xml:space="preserve">66.6% of households in this income category experience housing problems. None of the racial or ethnic categories experience disproportionate need at 10% or higher than the </w:t>
      </w:r>
      <w:proofErr w:type="gramStart"/>
      <w:r w:rsidRPr="497B8E2D">
        <w:rPr>
          <w:sz w:val="24"/>
          <w:szCs w:val="24"/>
        </w:rPr>
        <w:t>jurisdiction as a whole</w:t>
      </w:r>
      <w:proofErr w:type="gramEnd"/>
      <w:r w:rsidRPr="497B8E2D">
        <w:rPr>
          <w:sz w:val="24"/>
          <w:szCs w:val="24"/>
        </w:rPr>
        <w:t>. 70.4% of Asian households and 70.6% of Hispanic households experience housing problems – although these do not meet the criteria for disproportionately greater need, they are the groups that have the highest rate of housing problems.</w:t>
      </w:r>
    </w:p>
    <w:p w14:paraId="0847FAEE" w14:textId="77777777" w:rsidR="009B0FCC" w:rsidRDefault="009B0FCC" w:rsidP="00C83593">
      <w:pPr>
        <w:jc w:val="both"/>
        <w:rPr>
          <w:sz w:val="24"/>
          <w:szCs w:val="24"/>
          <w:u w:val="single"/>
        </w:rPr>
      </w:pPr>
      <w:r w:rsidRPr="497B8E2D">
        <w:rPr>
          <w:sz w:val="24"/>
          <w:szCs w:val="24"/>
          <w:u w:val="single"/>
        </w:rPr>
        <w:t>50-80% AMI</w:t>
      </w:r>
    </w:p>
    <w:p w14:paraId="4C7225BF" w14:textId="77777777" w:rsidR="009B0FCC" w:rsidRDefault="009B0FCC" w:rsidP="00C83593">
      <w:pPr>
        <w:jc w:val="both"/>
        <w:rPr>
          <w:sz w:val="24"/>
          <w:szCs w:val="24"/>
        </w:rPr>
      </w:pPr>
      <w:r w:rsidRPr="497B8E2D">
        <w:rPr>
          <w:sz w:val="24"/>
          <w:szCs w:val="24"/>
        </w:rPr>
        <w:t xml:space="preserve">40.17% of households in this income category experience housing problems. Two racial groups have a disproportionately greater housing need compared to the overall jurisdiction. 67.35 of Black/African American households with 50-80% AMI experience housing problems, which is about 27% more than the </w:t>
      </w:r>
      <w:proofErr w:type="gramStart"/>
      <w:r w:rsidRPr="497B8E2D">
        <w:rPr>
          <w:sz w:val="24"/>
          <w:szCs w:val="24"/>
        </w:rPr>
        <w:t>jurisdiction as a whole</w:t>
      </w:r>
      <w:proofErr w:type="gramEnd"/>
      <w:r w:rsidRPr="497B8E2D">
        <w:rPr>
          <w:sz w:val="24"/>
          <w:szCs w:val="24"/>
        </w:rPr>
        <w:t xml:space="preserve">. 52.53% of Pacific Islander households in this </w:t>
      </w:r>
      <w:r w:rsidRPr="497B8E2D">
        <w:rPr>
          <w:sz w:val="24"/>
          <w:szCs w:val="24"/>
        </w:rPr>
        <w:lastRenderedPageBreak/>
        <w:t xml:space="preserve">income category experience housing problems, which is about 12% more than the </w:t>
      </w:r>
      <w:proofErr w:type="gramStart"/>
      <w:r w:rsidRPr="497B8E2D">
        <w:rPr>
          <w:sz w:val="24"/>
          <w:szCs w:val="24"/>
        </w:rPr>
        <w:t>jurisdiction as a whole</w:t>
      </w:r>
      <w:proofErr w:type="gramEnd"/>
      <w:r w:rsidRPr="497B8E2D">
        <w:rPr>
          <w:sz w:val="24"/>
          <w:szCs w:val="24"/>
        </w:rPr>
        <w:t>.</w:t>
      </w:r>
    </w:p>
    <w:p w14:paraId="521EED72" w14:textId="77777777" w:rsidR="009B0FCC" w:rsidRDefault="009B0FCC" w:rsidP="00C83593">
      <w:pPr>
        <w:jc w:val="both"/>
        <w:rPr>
          <w:sz w:val="24"/>
          <w:szCs w:val="24"/>
        </w:rPr>
      </w:pPr>
      <w:r w:rsidRPr="497B8E2D">
        <w:rPr>
          <w:sz w:val="24"/>
          <w:szCs w:val="24"/>
          <w:u w:val="single"/>
        </w:rPr>
        <w:t>80-100% AMI</w:t>
      </w:r>
    </w:p>
    <w:p w14:paraId="07881F2F" w14:textId="77777777" w:rsidR="009B0FCC" w:rsidRDefault="009B0FCC" w:rsidP="00C83593">
      <w:pPr>
        <w:jc w:val="both"/>
        <w:rPr>
          <w:sz w:val="24"/>
          <w:szCs w:val="24"/>
        </w:rPr>
      </w:pPr>
      <w:r w:rsidRPr="497B8E2D">
        <w:rPr>
          <w:sz w:val="24"/>
          <w:szCs w:val="24"/>
        </w:rPr>
        <w:t xml:space="preserve">19.2% of households in this income category experience housing problems. Asian households in this income group have a disproportionately greater housing need – 34.72% of Asian households with 80-100% AMI experience housing problems. </w:t>
      </w:r>
    </w:p>
    <w:p w14:paraId="0C210FB7" w14:textId="77777777" w:rsidR="009B0FCC" w:rsidRDefault="009B0FCC" w:rsidP="009B0FCC">
      <w:pPr>
        <w:pStyle w:val="Heading2"/>
        <w:pageBreakBefore/>
        <w:rPr>
          <w:rFonts w:ascii="Calibri" w:hAnsi="Calibri"/>
          <w:i/>
        </w:rPr>
      </w:pPr>
      <w:bookmarkStart w:id="20" w:name="_Toc194673838"/>
      <w:r>
        <w:rPr>
          <w:rFonts w:ascii="Calibri" w:hAnsi="Calibri"/>
        </w:rPr>
        <w:lastRenderedPageBreak/>
        <w:t>NA-20 Disproportionately Greater Need: Severe Housing Problems – 91.305(b)(2)</w:t>
      </w:r>
      <w:bookmarkEnd w:id="20"/>
    </w:p>
    <w:p w14:paraId="6B649773" w14:textId="77777777" w:rsidR="009B0FCC" w:rsidRPr="00C00F48" w:rsidRDefault="009B0FCC" w:rsidP="009B0FCC">
      <w:pPr>
        <w:rPr>
          <w:rFonts w:asciiTheme="minorHAnsi" w:hAnsiTheme="minorHAnsi" w:cstheme="minorHAnsi"/>
          <w:b/>
          <w:bCs/>
          <w:sz w:val="24"/>
          <w:szCs w:val="24"/>
        </w:rPr>
      </w:pPr>
      <w:r w:rsidRPr="00C00F48">
        <w:rPr>
          <w:rFonts w:asciiTheme="minorHAnsi" w:hAnsiTheme="minorHAnsi" w:cstheme="minorHAnsi"/>
          <w:b/>
          <w:bCs/>
          <w:sz w:val="24"/>
          <w:szCs w:val="24"/>
        </w:rPr>
        <w:t xml:space="preserve">Assess the need of any racial or ethnic group that has </w:t>
      </w:r>
      <w:proofErr w:type="gramStart"/>
      <w:r w:rsidRPr="00C00F48">
        <w:rPr>
          <w:rFonts w:asciiTheme="minorHAnsi" w:hAnsiTheme="minorHAnsi" w:cstheme="minorHAnsi"/>
          <w:b/>
          <w:bCs/>
          <w:sz w:val="24"/>
          <w:szCs w:val="24"/>
        </w:rPr>
        <w:t>disproportionately</w:t>
      </w:r>
      <w:proofErr w:type="gramEnd"/>
      <w:r w:rsidRPr="00C00F48">
        <w:rPr>
          <w:rFonts w:asciiTheme="minorHAnsi" w:hAnsiTheme="minorHAnsi" w:cstheme="minorHAnsi"/>
          <w:b/>
          <w:bCs/>
          <w:sz w:val="24"/>
          <w:szCs w:val="24"/>
        </w:rPr>
        <w:t xml:space="preserve"> greater need in comparison to the needs of that category of </w:t>
      </w:r>
      <w:proofErr w:type="gramStart"/>
      <w:r w:rsidRPr="00C00F48">
        <w:rPr>
          <w:rFonts w:asciiTheme="minorHAnsi" w:hAnsiTheme="minorHAnsi" w:cstheme="minorHAnsi"/>
          <w:b/>
          <w:bCs/>
          <w:sz w:val="24"/>
          <w:szCs w:val="24"/>
        </w:rPr>
        <w:t>need as a whole</w:t>
      </w:r>
      <w:proofErr w:type="gramEnd"/>
      <w:r w:rsidRPr="00C00F48">
        <w:rPr>
          <w:rFonts w:asciiTheme="minorHAnsi" w:hAnsiTheme="minorHAnsi" w:cstheme="minorHAnsi"/>
          <w:b/>
          <w:bCs/>
          <w:sz w:val="24"/>
          <w:szCs w:val="24"/>
        </w:rPr>
        <w:t>.</w:t>
      </w:r>
    </w:p>
    <w:p w14:paraId="0D130AEB" w14:textId="77777777" w:rsidR="009B0FCC" w:rsidRPr="00C00F48" w:rsidRDefault="009B0FCC" w:rsidP="009B0FCC">
      <w:pPr>
        <w:spacing w:line="204" w:lineRule="auto"/>
        <w:rPr>
          <w:rFonts w:asciiTheme="minorHAnsi" w:hAnsiTheme="minorHAnsi" w:cstheme="minorHAnsi"/>
          <w:b/>
          <w:sz w:val="24"/>
          <w:szCs w:val="24"/>
        </w:rPr>
      </w:pPr>
      <w:r w:rsidRPr="00C00F48">
        <w:rPr>
          <w:rFonts w:asciiTheme="minorHAnsi" w:hAnsiTheme="minorHAnsi" w:cstheme="minorHAnsi"/>
          <w:b/>
          <w:bCs/>
          <w:sz w:val="24"/>
          <w:szCs w:val="24"/>
        </w:rPr>
        <w:t>Introduction</w:t>
      </w:r>
    </w:p>
    <w:p w14:paraId="2E96A1D4" w14:textId="77777777" w:rsidR="009B0FCC" w:rsidRPr="00C00F48" w:rsidRDefault="009B0FCC" w:rsidP="00C83593">
      <w:pPr>
        <w:spacing w:beforeAutospacing="1" w:afterAutospacing="1"/>
        <w:jc w:val="both"/>
        <w:rPr>
          <w:rFonts w:asciiTheme="minorHAnsi" w:hAnsiTheme="minorHAnsi" w:cstheme="minorHAnsi"/>
          <w:sz w:val="24"/>
          <w:szCs w:val="24"/>
        </w:rPr>
      </w:pPr>
      <w:r w:rsidRPr="00C00F48">
        <w:rPr>
          <w:rFonts w:asciiTheme="minorHAnsi" w:eastAsia="Aptos" w:hAnsiTheme="minorHAnsi" w:cstheme="minorHAnsi"/>
          <w:color w:val="000000" w:themeColor="text1"/>
          <w:sz w:val="24"/>
          <w:szCs w:val="24"/>
        </w:rPr>
        <w:t xml:space="preserve">This section compares the existence of housing problems amongst racial groups against that of the jurisdiction as a whole </w:t>
      </w:r>
      <w:proofErr w:type="gramStart"/>
      <w:r w:rsidRPr="00C00F48">
        <w:rPr>
          <w:rFonts w:asciiTheme="minorHAnsi" w:eastAsia="Aptos" w:hAnsiTheme="minorHAnsi" w:cstheme="minorHAnsi"/>
          <w:color w:val="000000" w:themeColor="text1"/>
          <w:sz w:val="24"/>
          <w:szCs w:val="24"/>
        </w:rPr>
        <w:t>in an effort to</w:t>
      </w:r>
      <w:proofErr w:type="gramEnd"/>
      <w:r w:rsidRPr="00C00F48">
        <w:rPr>
          <w:rFonts w:asciiTheme="minorHAnsi" w:eastAsia="Aptos" w:hAnsiTheme="minorHAnsi" w:cstheme="minorHAnsi"/>
          <w:color w:val="000000" w:themeColor="text1"/>
          <w:sz w:val="24"/>
          <w:szCs w:val="24"/>
        </w:rPr>
        <w:t xml:space="preserve"> determine if any group(s) share a disproportionate burden of the area’s housing problems. For this purpose, HUD guidelines deem a disproportionately greater </w:t>
      </w:r>
      <w:proofErr w:type="gramStart"/>
      <w:r w:rsidRPr="00C00F48">
        <w:rPr>
          <w:rFonts w:asciiTheme="minorHAnsi" w:eastAsia="Aptos" w:hAnsiTheme="minorHAnsi" w:cstheme="minorHAnsi"/>
          <w:color w:val="000000" w:themeColor="text1"/>
          <w:sz w:val="24"/>
          <w:szCs w:val="24"/>
        </w:rPr>
        <w:t>need exists</w:t>
      </w:r>
      <w:proofErr w:type="gramEnd"/>
      <w:r w:rsidRPr="00C00F48">
        <w:rPr>
          <w:rFonts w:asciiTheme="minorHAnsi" w:eastAsia="Aptos" w:hAnsiTheme="minorHAnsi" w:cstheme="minorHAnsi"/>
          <w:color w:val="000000" w:themeColor="text1"/>
          <w:sz w:val="24"/>
          <w:szCs w:val="24"/>
        </w:rPr>
        <w:t xml:space="preserve"> when persons of a particular racial or ethnic group experiences housing problems at a rate of at least 10 percentage points higher than the </w:t>
      </w:r>
      <w:proofErr w:type="gramStart"/>
      <w:r w:rsidRPr="00C00F48">
        <w:rPr>
          <w:rFonts w:asciiTheme="minorHAnsi" w:eastAsia="Aptos" w:hAnsiTheme="minorHAnsi" w:cstheme="minorHAnsi"/>
          <w:color w:val="000000" w:themeColor="text1"/>
          <w:sz w:val="24"/>
          <w:szCs w:val="24"/>
        </w:rPr>
        <w:t>jurisdiction as a whole</w:t>
      </w:r>
      <w:proofErr w:type="gramEnd"/>
      <w:r w:rsidRPr="00C00F48">
        <w:rPr>
          <w:rFonts w:asciiTheme="minorHAnsi" w:eastAsia="Aptos" w:hAnsiTheme="minorHAnsi" w:cstheme="minorHAnsi"/>
          <w:color w:val="000000" w:themeColor="text1"/>
          <w:sz w:val="24"/>
          <w:szCs w:val="24"/>
        </w:rPr>
        <w:t>.</w:t>
      </w:r>
    </w:p>
    <w:p w14:paraId="63CB0E4A" w14:textId="77777777" w:rsidR="009B0FCC" w:rsidRDefault="009B0FCC" w:rsidP="009B0FCC">
      <w:pPr>
        <w:spacing w:line="204" w:lineRule="auto"/>
        <w:rPr>
          <w:b/>
          <w:bCs/>
          <w:sz w:val="24"/>
          <w:szCs w:val="24"/>
        </w:rPr>
      </w:pPr>
    </w:p>
    <w:p w14:paraId="7FF029A3" w14:textId="77777777" w:rsidR="009B0FCC" w:rsidRDefault="009B0FCC" w:rsidP="009B0FCC">
      <w:pPr>
        <w:keepNext/>
        <w:widowControl w:val="0"/>
        <w:rPr>
          <w:b/>
          <w:sz w:val="24"/>
          <w:szCs w:val="24"/>
        </w:rPr>
      </w:pPr>
      <w:r>
        <w:rPr>
          <w:b/>
          <w:sz w:val="24"/>
          <w:szCs w:val="24"/>
        </w:rPr>
        <w:t>0%-30%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9B0FCC" w14:paraId="6865D4AC" w14:textId="77777777" w:rsidTr="00721F16">
        <w:trPr>
          <w:cantSplit/>
          <w:tblHeader/>
        </w:trPr>
        <w:tc>
          <w:tcPr>
            <w:tcW w:w="3600" w:type="dxa"/>
          </w:tcPr>
          <w:p w14:paraId="3B7A3C9D" w14:textId="77777777" w:rsidR="009B0FCC" w:rsidRDefault="009B0FCC" w:rsidP="00721F16">
            <w:pPr>
              <w:keepNext/>
              <w:widowControl w:val="0"/>
              <w:spacing w:after="0" w:line="240" w:lineRule="auto"/>
              <w:jc w:val="center"/>
              <w:rPr>
                <w:b/>
              </w:rPr>
            </w:pPr>
            <w:r>
              <w:rPr>
                <w:b/>
                <w:bCs/>
              </w:rPr>
              <w:t>Severe Housing Problems*</w:t>
            </w:r>
          </w:p>
        </w:tc>
        <w:tc>
          <w:tcPr>
            <w:tcW w:w="1996" w:type="dxa"/>
          </w:tcPr>
          <w:p w14:paraId="5B742A2D" w14:textId="77777777" w:rsidR="009B0FCC" w:rsidRDefault="009B0FCC" w:rsidP="00721F16">
            <w:pPr>
              <w:keepNext/>
              <w:widowControl w:val="0"/>
              <w:spacing w:after="0" w:line="240" w:lineRule="auto"/>
              <w:jc w:val="center"/>
              <w:rPr>
                <w:b/>
              </w:rPr>
            </w:pPr>
            <w:r>
              <w:rPr>
                <w:b/>
                <w:bCs/>
              </w:rPr>
              <w:t>Has one or more of four housing problems</w:t>
            </w:r>
          </w:p>
        </w:tc>
        <w:tc>
          <w:tcPr>
            <w:tcW w:w="1997" w:type="dxa"/>
          </w:tcPr>
          <w:p w14:paraId="1282E3B5" w14:textId="77777777" w:rsidR="009B0FCC" w:rsidRDefault="009B0FCC" w:rsidP="00721F16">
            <w:pPr>
              <w:keepNext/>
              <w:widowControl w:val="0"/>
              <w:spacing w:after="0" w:line="240" w:lineRule="auto"/>
              <w:jc w:val="center"/>
              <w:rPr>
                <w:b/>
              </w:rPr>
            </w:pPr>
            <w:r>
              <w:rPr>
                <w:b/>
                <w:bCs/>
              </w:rPr>
              <w:t>Has none of the four housing problems</w:t>
            </w:r>
          </w:p>
        </w:tc>
        <w:tc>
          <w:tcPr>
            <w:tcW w:w="1997" w:type="dxa"/>
          </w:tcPr>
          <w:p w14:paraId="426644AF" w14:textId="77777777" w:rsidR="009B0FCC" w:rsidRDefault="009B0FCC" w:rsidP="00721F16">
            <w:pPr>
              <w:keepNext/>
              <w:widowControl w:val="0"/>
              <w:spacing w:after="0" w:line="240" w:lineRule="auto"/>
              <w:jc w:val="center"/>
              <w:rPr>
                <w:b/>
              </w:rPr>
            </w:pPr>
            <w:r>
              <w:rPr>
                <w:b/>
                <w:bCs/>
              </w:rPr>
              <w:t>Household has no/negative income, but none of the other housing problems</w:t>
            </w:r>
          </w:p>
        </w:tc>
      </w:tr>
      <w:tr w:rsidR="009B0FCC" w14:paraId="44C7AC94" w14:textId="77777777" w:rsidTr="00721F16">
        <w:trPr>
          <w:cantSplit/>
        </w:trPr>
        <w:tc>
          <w:tcPr>
            <w:tcW w:w="3600" w:type="dxa"/>
          </w:tcPr>
          <w:p w14:paraId="259CC84A" w14:textId="77777777" w:rsidR="009B0FCC" w:rsidRDefault="009B0FCC" w:rsidP="00721F16">
            <w:pPr>
              <w:spacing w:beforeAutospacing="1" w:afterAutospacing="1"/>
            </w:pPr>
            <w:r>
              <w:rPr>
                <w:color w:val="000000"/>
              </w:rPr>
              <w:t>Jurisdiction as a whole</w:t>
            </w:r>
          </w:p>
        </w:tc>
        <w:tc>
          <w:tcPr>
            <w:tcW w:w="1996" w:type="dxa"/>
            <w:vAlign w:val="bottom"/>
          </w:tcPr>
          <w:p w14:paraId="0ABC97C0" w14:textId="77777777" w:rsidR="009B0FCC" w:rsidRDefault="009B0FCC" w:rsidP="00721F16">
            <w:pPr>
              <w:spacing w:beforeAutospacing="1" w:afterAutospacing="1"/>
              <w:jc w:val="right"/>
            </w:pPr>
            <w:r>
              <w:rPr>
                <w:color w:val="000000"/>
              </w:rPr>
              <w:t>41,578</w:t>
            </w:r>
          </w:p>
        </w:tc>
        <w:tc>
          <w:tcPr>
            <w:tcW w:w="1997" w:type="dxa"/>
            <w:vAlign w:val="bottom"/>
          </w:tcPr>
          <w:p w14:paraId="00166490" w14:textId="77777777" w:rsidR="009B0FCC" w:rsidRDefault="009B0FCC" w:rsidP="00721F16">
            <w:pPr>
              <w:spacing w:beforeAutospacing="1" w:afterAutospacing="1"/>
              <w:jc w:val="right"/>
            </w:pPr>
            <w:r>
              <w:rPr>
                <w:color w:val="000000"/>
              </w:rPr>
              <w:t>16,966</w:t>
            </w:r>
          </w:p>
        </w:tc>
        <w:tc>
          <w:tcPr>
            <w:tcW w:w="1997" w:type="dxa"/>
            <w:vAlign w:val="bottom"/>
          </w:tcPr>
          <w:p w14:paraId="761CAA8C" w14:textId="77777777" w:rsidR="009B0FCC" w:rsidRDefault="009B0FCC" w:rsidP="00721F16">
            <w:pPr>
              <w:spacing w:beforeAutospacing="1" w:afterAutospacing="1"/>
              <w:jc w:val="right"/>
            </w:pPr>
            <w:r>
              <w:rPr>
                <w:color w:val="000000"/>
              </w:rPr>
              <w:t>9,381</w:t>
            </w:r>
          </w:p>
        </w:tc>
      </w:tr>
      <w:tr w:rsidR="009B0FCC" w14:paraId="4F1631ED" w14:textId="77777777" w:rsidTr="00721F16">
        <w:trPr>
          <w:cantSplit/>
        </w:trPr>
        <w:tc>
          <w:tcPr>
            <w:tcW w:w="3600" w:type="dxa"/>
          </w:tcPr>
          <w:p w14:paraId="3B348AA6" w14:textId="77777777" w:rsidR="009B0FCC" w:rsidRDefault="009B0FCC" w:rsidP="00721F16">
            <w:pPr>
              <w:spacing w:beforeAutospacing="1" w:afterAutospacing="1"/>
            </w:pPr>
            <w:r>
              <w:rPr>
                <w:color w:val="000000"/>
              </w:rPr>
              <w:t>White</w:t>
            </w:r>
          </w:p>
        </w:tc>
        <w:tc>
          <w:tcPr>
            <w:tcW w:w="1996" w:type="dxa"/>
            <w:vAlign w:val="bottom"/>
          </w:tcPr>
          <w:p w14:paraId="69B7D6D2" w14:textId="77777777" w:rsidR="009B0FCC" w:rsidRDefault="009B0FCC" w:rsidP="00721F16">
            <w:pPr>
              <w:spacing w:beforeAutospacing="1" w:afterAutospacing="1"/>
              <w:jc w:val="right"/>
            </w:pPr>
            <w:r>
              <w:rPr>
                <w:color w:val="000000"/>
              </w:rPr>
              <w:t>34,616</w:t>
            </w:r>
          </w:p>
        </w:tc>
        <w:tc>
          <w:tcPr>
            <w:tcW w:w="1997" w:type="dxa"/>
            <w:vAlign w:val="bottom"/>
          </w:tcPr>
          <w:p w14:paraId="4CB9324C" w14:textId="77777777" w:rsidR="009B0FCC" w:rsidRDefault="009B0FCC" w:rsidP="00721F16">
            <w:pPr>
              <w:spacing w:beforeAutospacing="1" w:afterAutospacing="1"/>
              <w:jc w:val="right"/>
            </w:pPr>
            <w:r>
              <w:rPr>
                <w:color w:val="000000"/>
              </w:rPr>
              <w:t>14,143</w:t>
            </w:r>
          </w:p>
        </w:tc>
        <w:tc>
          <w:tcPr>
            <w:tcW w:w="1997" w:type="dxa"/>
            <w:vAlign w:val="bottom"/>
          </w:tcPr>
          <w:p w14:paraId="77CB58AF" w14:textId="77777777" w:rsidR="009B0FCC" w:rsidRDefault="009B0FCC" w:rsidP="00721F16">
            <w:pPr>
              <w:spacing w:beforeAutospacing="1" w:afterAutospacing="1"/>
              <w:jc w:val="right"/>
            </w:pPr>
            <w:r>
              <w:rPr>
                <w:color w:val="000000"/>
              </w:rPr>
              <w:t>7,507</w:t>
            </w:r>
          </w:p>
        </w:tc>
      </w:tr>
      <w:tr w:rsidR="009B0FCC" w14:paraId="55258B6B" w14:textId="77777777" w:rsidTr="00721F16">
        <w:trPr>
          <w:cantSplit/>
        </w:trPr>
        <w:tc>
          <w:tcPr>
            <w:tcW w:w="3600" w:type="dxa"/>
          </w:tcPr>
          <w:p w14:paraId="218630C9" w14:textId="77777777" w:rsidR="009B0FCC" w:rsidRDefault="009B0FCC" w:rsidP="00721F16">
            <w:pPr>
              <w:spacing w:beforeAutospacing="1" w:afterAutospacing="1"/>
            </w:pPr>
            <w:r>
              <w:rPr>
                <w:color w:val="000000"/>
              </w:rPr>
              <w:t>Black / African American</w:t>
            </w:r>
          </w:p>
        </w:tc>
        <w:tc>
          <w:tcPr>
            <w:tcW w:w="1996" w:type="dxa"/>
            <w:vAlign w:val="bottom"/>
          </w:tcPr>
          <w:p w14:paraId="340A40C6" w14:textId="77777777" w:rsidR="009B0FCC" w:rsidRDefault="009B0FCC" w:rsidP="00721F16">
            <w:pPr>
              <w:spacing w:beforeAutospacing="1" w:afterAutospacing="1"/>
              <w:jc w:val="right"/>
            </w:pPr>
            <w:r>
              <w:rPr>
                <w:color w:val="000000"/>
              </w:rPr>
              <w:t>349</w:t>
            </w:r>
          </w:p>
        </w:tc>
        <w:tc>
          <w:tcPr>
            <w:tcW w:w="1997" w:type="dxa"/>
            <w:vAlign w:val="bottom"/>
          </w:tcPr>
          <w:p w14:paraId="0863B6C9" w14:textId="77777777" w:rsidR="009B0FCC" w:rsidRDefault="009B0FCC" w:rsidP="00721F16">
            <w:pPr>
              <w:spacing w:beforeAutospacing="1" w:afterAutospacing="1"/>
              <w:jc w:val="right"/>
            </w:pPr>
            <w:r>
              <w:rPr>
                <w:color w:val="000000"/>
              </w:rPr>
              <w:t>195</w:t>
            </w:r>
          </w:p>
        </w:tc>
        <w:tc>
          <w:tcPr>
            <w:tcW w:w="1997" w:type="dxa"/>
            <w:vAlign w:val="bottom"/>
          </w:tcPr>
          <w:p w14:paraId="7468021A" w14:textId="77777777" w:rsidR="009B0FCC" w:rsidRDefault="009B0FCC" w:rsidP="00721F16">
            <w:pPr>
              <w:spacing w:beforeAutospacing="1" w:afterAutospacing="1"/>
              <w:jc w:val="right"/>
            </w:pPr>
            <w:r>
              <w:rPr>
                <w:color w:val="000000"/>
              </w:rPr>
              <w:t>60</w:t>
            </w:r>
          </w:p>
        </w:tc>
      </w:tr>
      <w:tr w:rsidR="009B0FCC" w14:paraId="2608F051" w14:textId="77777777" w:rsidTr="00721F16">
        <w:trPr>
          <w:cantSplit/>
        </w:trPr>
        <w:tc>
          <w:tcPr>
            <w:tcW w:w="3600" w:type="dxa"/>
          </w:tcPr>
          <w:p w14:paraId="1C6257F9" w14:textId="77777777" w:rsidR="009B0FCC" w:rsidRDefault="009B0FCC" w:rsidP="00721F16">
            <w:pPr>
              <w:spacing w:beforeAutospacing="1" w:afterAutospacing="1"/>
            </w:pPr>
            <w:r>
              <w:rPr>
                <w:color w:val="000000"/>
              </w:rPr>
              <w:t>Asian</w:t>
            </w:r>
          </w:p>
        </w:tc>
        <w:tc>
          <w:tcPr>
            <w:tcW w:w="1996" w:type="dxa"/>
            <w:vAlign w:val="bottom"/>
          </w:tcPr>
          <w:p w14:paraId="03D5A59B" w14:textId="77777777" w:rsidR="009B0FCC" w:rsidRDefault="009B0FCC" w:rsidP="00721F16">
            <w:pPr>
              <w:spacing w:beforeAutospacing="1" w:afterAutospacing="1"/>
              <w:jc w:val="right"/>
            </w:pPr>
            <w:r>
              <w:rPr>
                <w:color w:val="000000"/>
              </w:rPr>
              <w:t>283</w:t>
            </w:r>
          </w:p>
        </w:tc>
        <w:tc>
          <w:tcPr>
            <w:tcW w:w="1997" w:type="dxa"/>
            <w:vAlign w:val="bottom"/>
          </w:tcPr>
          <w:p w14:paraId="363EDCFD" w14:textId="77777777" w:rsidR="009B0FCC" w:rsidRDefault="009B0FCC" w:rsidP="00721F16">
            <w:pPr>
              <w:spacing w:beforeAutospacing="1" w:afterAutospacing="1"/>
              <w:jc w:val="right"/>
            </w:pPr>
            <w:r>
              <w:rPr>
                <w:color w:val="000000"/>
              </w:rPr>
              <w:t>282</w:t>
            </w:r>
          </w:p>
        </w:tc>
        <w:tc>
          <w:tcPr>
            <w:tcW w:w="1997" w:type="dxa"/>
            <w:vAlign w:val="bottom"/>
          </w:tcPr>
          <w:p w14:paraId="24B099CC" w14:textId="77777777" w:rsidR="009B0FCC" w:rsidRDefault="009B0FCC" w:rsidP="00721F16">
            <w:pPr>
              <w:spacing w:beforeAutospacing="1" w:afterAutospacing="1"/>
              <w:jc w:val="right"/>
            </w:pPr>
            <w:r>
              <w:rPr>
                <w:color w:val="000000"/>
              </w:rPr>
              <w:t>527</w:t>
            </w:r>
          </w:p>
        </w:tc>
      </w:tr>
      <w:tr w:rsidR="009B0FCC" w14:paraId="3FE044D1" w14:textId="77777777" w:rsidTr="00721F16">
        <w:trPr>
          <w:cantSplit/>
        </w:trPr>
        <w:tc>
          <w:tcPr>
            <w:tcW w:w="3600" w:type="dxa"/>
          </w:tcPr>
          <w:p w14:paraId="3FF818A9" w14:textId="77777777" w:rsidR="009B0FCC" w:rsidRDefault="009B0FCC" w:rsidP="00721F16">
            <w:pPr>
              <w:spacing w:beforeAutospacing="1" w:afterAutospacing="1"/>
            </w:pPr>
            <w:r>
              <w:rPr>
                <w:color w:val="000000"/>
              </w:rPr>
              <w:t>American Indian, Alaska Native</w:t>
            </w:r>
          </w:p>
        </w:tc>
        <w:tc>
          <w:tcPr>
            <w:tcW w:w="1996" w:type="dxa"/>
            <w:vAlign w:val="bottom"/>
          </w:tcPr>
          <w:p w14:paraId="2BD6DEF1" w14:textId="77777777" w:rsidR="009B0FCC" w:rsidRDefault="009B0FCC" w:rsidP="00721F16">
            <w:pPr>
              <w:spacing w:beforeAutospacing="1" w:afterAutospacing="1"/>
              <w:jc w:val="right"/>
            </w:pPr>
            <w:r>
              <w:rPr>
                <w:color w:val="000000"/>
              </w:rPr>
              <w:t>736</w:t>
            </w:r>
          </w:p>
        </w:tc>
        <w:tc>
          <w:tcPr>
            <w:tcW w:w="1997" w:type="dxa"/>
            <w:vAlign w:val="bottom"/>
          </w:tcPr>
          <w:p w14:paraId="6D338B54" w14:textId="77777777" w:rsidR="009B0FCC" w:rsidRDefault="009B0FCC" w:rsidP="00721F16">
            <w:pPr>
              <w:spacing w:beforeAutospacing="1" w:afterAutospacing="1"/>
              <w:jc w:val="right"/>
            </w:pPr>
            <w:r>
              <w:rPr>
                <w:color w:val="000000"/>
              </w:rPr>
              <w:t>422</w:t>
            </w:r>
          </w:p>
        </w:tc>
        <w:tc>
          <w:tcPr>
            <w:tcW w:w="1997" w:type="dxa"/>
            <w:vAlign w:val="bottom"/>
          </w:tcPr>
          <w:p w14:paraId="6D75162A" w14:textId="77777777" w:rsidR="009B0FCC" w:rsidRDefault="009B0FCC" w:rsidP="00721F16">
            <w:pPr>
              <w:spacing w:beforeAutospacing="1" w:afterAutospacing="1"/>
              <w:jc w:val="right"/>
            </w:pPr>
            <w:r>
              <w:rPr>
                <w:color w:val="000000"/>
              </w:rPr>
              <w:t>98</w:t>
            </w:r>
          </w:p>
        </w:tc>
      </w:tr>
      <w:tr w:rsidR="009B0FCC" w14:paraId="1806224A" w14:textId="77777777" w:rsidTr="00721F16">
        <w:trPr>
          <w:cantSplit/>
        </w:trPr>
        <w:tc>
          <w:tcPr>
            <w:tcW w:w="3600" w:type="dxa"/>
          </w:tcPr>
          <w:p w14:paraId="19BCCDA3" w14:textId="77777777" w:rsidR="009B0FCC" w:rsidRDefault="009B0FCC" w:rsidP="00721F16">
            <w:pPr>
              <w:spacing w:beforeAutospacing="1" w:afterAutospacing="1"/>
            </w:pPr>
            <w:r>
              <w:rPr>
                <w:color w:val="000000"/>
              </w:rPr>
              <w:t>Pacific Islander</w:t>
            </w:r>
          </w:p>
        </w:tc>
        <w:tc>
          <w:tcPr>
            <w:tcW w:w="1996" w:type="dxa"/>
            <w:vAlign w:val="bottom"/>
          </w:tcPr>
          <w:p w14:paraId="7B29932B" w14:textId="77777777" w:rsidR="009B0FCC" w:rsidRDefault="009B0FCC" w:rsidP="00721F16">
            <w:pPr>
              <w:spacing w:beforeAutospacing="1" w:afterAutospacing="1"/>
              <w:jc w:val="right"/>
            </w:pPr>
            <w:r>
              <w:rPr>
                <w:color w:val="000000"/>
              </w:rPr>
              <w:t>34</w:t>
            </w:r>
          </w:p>
        </w:tc>
        <w:tc>
          <w:tcPr>
            <w:tcW w:w="1997" w:type="dxa"/>
            <w:vAlign w:val="bottom"/>
          </w:tcPr>
          <w:p w14:paraId="04FFD83A" w14:textId="77777777" w:rsidR="009B0FCC" w:rsidRDefault="009B0FCC" w:rsidP="00721F16">
            <w:pPr>
              <w:spacing w:beforeAutospacing="1" w:afterAutospacing="1"/>
              <w:jc w:val="right"/>
            </w:pPr>
            <w:r>
              <w:rPr>
                <w:color w:val="000000"/>
              </w:rPr>
              <w:t>30</w:t>
            </w:r>
          </w:p>
        </w:tc>
        <w:tc>
          <w:tcPr>
            <w:tcW w:w="1997" w:type="dxa"/>
            <w:vAlign w:val="bottom"/>
          </w:tcPr>
          <w:p w14:paraId="6616E96F" w14:textId="77777777" w:rsidR="009B0FCC" w:rsidRDefault="009B0FCC" w:rsidP="00721F16">
            <w:pPr>
              <w:spacing w:beforeAutospacing="1" w:afterAutospacing="1"/>
              <w:jc w:val="right"/>
            </w:pPr>
            <w:r>
              <w:rPr>
                <w:color w:val="000000"/>
              </w:rPr>
              <w:t>0</w:t>
            </w:r>
          </w:p>
        </w:tc>
      </w:tr>
      <w:tr w:rsidR="009B0FCC" w14:paraId="0DED6C7D" w14:textId="77777777" w:rsidTr="00721F16">
        <w:trPr>
          <w:cantSplit/>
        </w:trPr>
        <w:tc>
          <w:tcPr>
            <w:tcW w:w="3600" w:type="dxa"/>
          </w:tcPr>
          <w:p w14:paraId="3E5E37FD" w14:textId="77777777" w:rsidR="009B0FCC" w:rsidRDefault="009B0FCC" w:rsidP="00721F16">
            <w:pPr>
              <w:spacing w:beforeAutospacing="1" w:afterAutospacing="1"/>
            </w:pPr>
            <w:r>
              <w:rPr>
                <w:color w:val="000000"/>
              </w:rPr>
              <w:t>Hispanic</w:t>
            </w:r>
          </w:p>
        </w:tc>
        <w:tc>
          <w:tcPr>
            <w:tcW w:w="1996" w:type="dxa"/>
            <w:vAlign w:val="bottom"/>
          </w:tcPr>
          <w:p w14:paraId="3F96CD36" w14:textId="77777777" w:rsidR="009B0FCC" w:rsidRDefault="009B0FCC" w:rsidP="00721F16">
            <w:pPr>
              <w:spacing w:beforeAutospacing="1" w:afterAutospacing="1"/>
              <w:jc w:val="right"/>
            </w:pPr>
            <w:r>
              <w:rPr>
                <w:color w:val="000000"/>
              </w:rPr>
              <w:t>4,440</w:t>
            </w:r>
          </w:p>
        </w:tc>
        <w:tc>
          <w:tcPr>
            <w:tcW w:w="1997" w:type="dxa"/>
            <w:vAlign w:val="bottom"/>
          </w:tcPr>
          <w:p w14:paraId="174B6477" w14:textId="77777777" w:rsidR="009B0FCC" w:rsidRDefault="009B0FCC" w:rsidP="00721F16">
            <w:pPr>
              <w:spacing w:beforeAutospacing="1" w:afterAutospacing="1"/>
              <w:jc w:val="right"/>
            </w:pPr>
            <w:r>
              <w:rPr>
                <w:color w:val="000000"/>
              </w:rPr>
              <w:t>1,515</w:t>
            </w:r>
          </w:p>
        </w:tc>
        <w:tc>
          <w:tcPr>
            <w:tcW w:w="1997" w:type="dxa"/>
            <w:vAlign w:val="bottom"/>
          </w:tcPr>
          <w:p w14:paraId="4259E686" w14:textId="77777777" w:rsidR="009B0FCC" w:rsidRDefault="009B0FCC" w:rsidP="00721F16">
            <w:pPr>
              <w:spacing w:beforeAutospacing="1" w:afterAutospacing="1"/>
              <w:jc w:val="right"/>
            </w:pPr>
            <w:r>
              <w:rPr>
                <w:color w:val="000000"/>
              </w:rPr>
              <w:t>1,012</w:t>
            </w:r>
          </w:p>
        </w:tc>
      </w:tr>
    </w:tbl>
    <w:p w14:paraId="6867A7A9"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Severe Housing Problems 0 - 30%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4CFC7177" w14:textId="77777777" w:rsidTr="00721F16">
        <w:trPr>
          <w:cantSplit/>
        </w:trPr>
        <w:tc>
          <w:tcPr>
            <w:tcW w:w="1080" w:type="dxa"/>
          </w:tcPr>
          <w:p w14:paraId="6B97FDB2" w14:textId="77777777" w:rsidR="009B0FCC" w:rsidRDefault="009B0FCC" w:rsidP="00721F16">
            <w:pPr>
              <w:spacing w:after="0" w:line="240" w:lineRule="auto"/>
              <w:rPr>
                <w:sz w:val="16"/>
                <w:szCs w:val="16"/>
              </w:rPr>
            </w:pPr>
            <w:r>
              <w:rPr>
                <w:b/>
                <w:bCs/>
                <w:sz w:val="16"/>
                <w:szCs w:val="16"/>
              </w:rPr>
              <w:t>Data Source:</w:t>
            </w:r>
          </w:p>
        </w:tc>
        <w:tc>
          <w:tcPr>
            <w:tcW w:w="8510" w:type="dxa"/>
          </w:tcPr>
          <w:p w14:paraId="40EC86CE" w14:textId="77777777" w:rsidR="009B0FCC" w:rsidRDefault="009B0FCC" w:rsidP="00721F16">
            <w:pPr>
              <w:spacing w:beforeAutospacing="1" w:afterAutospacing="1"/>
              <w:rPr>
                <w:sz w:val="16"/>
                <w:szCs w:val="16"/>
              </w:rPr>
            </w:pPr>
            <w:r>
              <w:rPr>
                <w:sz w:val="16"/>
                <w:szCs w:val="16"/>
              </w:rPr>
              <w:t>2016-2020 CHAS</w:t>
            </w:r>
          </w:p>
        </w:tc>
      </w:tr>
    </w:tbl>
    <w:p w14:paraId="0B99B9E6" w14:textId="77777777" w:rsidR="009B0FCC" w:rsidRDefault="009B0FCC" w:rsidP="009B0FCC">
      <w:pPr>
        <w:spacing w:after="0" w:line="240" w:lineRule="auto"/>
        <w:rPr>
          <w:vanish/>
        </w:rPr>
      </w:pPr>
    </w:p>
    <w:p w14:paraId="237D73F7" w14:textId="77777777" w:rsidR="009B0FCC" w:rsidRDefault="009B0FCC" w:rsidP="009B0FCC">
      <w:pPr>
        <w:spacing w:after="0" w:line="240" w:lineRule="auto"/>
        <w:rPr>
          <w:b/>
          <w:bCs/>
          <w:vanish/>
          <w:sz w:val="16"/>
          <w:szCs w:val="16"/>
        </w:rPr>
      </w:pPr>
    </w:p>
    <w:p w14:paraId="1ED6822E" w14:textId="77777777" w:rsidR="009B0FCC" w:rsidRDefault="009B0FCC" w:rsidP="009B0FCC">
      <w:pPr>
        <w:spacing w:after="0" w:line="240" w:lineRule="auto"/>
      </w:pPr>
    </w:p>
    <w:p w14:paraId="264CE213" w14:textId="77777777" w:rsidR="009B0FCC" w:rsidRDefault="009B0FCC" w:rsidP="009B0FCC">
      <w:pPr>
        <w:spacing w:after="0" w:line="240" w:lineRule="auto"/>
      </w:pPr>
      <w:r>
        <w:t xml:space="preserve">*The four severe housing problems are: </w:t>
      </w:r>
    </w:p>
    <w:p w14:paraId="6E89B1B1" w14:textId="6FB050ED" w:rsidR="009B0FCC" w:rsidRDefault="009B0FCC" w:rsidP="009B0FCC">
      <w:pPr>
        <w:spacing w:after="0" w:line="240" w:lineRule="auto"/>
      </w:pPr>
      <w:r>
        <w:t>1. Lacks complete kitchen facilities, 2. Lacks complete plumbing facilities, 3. More than 1.5 persons per room, 4.</w:t>
      </w:r>
      <w:r w:rsidR="45354E10">
        <w:t xml:space="preserve"> </w:t>
      </w:r>
      <w:r>
        <w:t xml:space="preserve">Cost Burden over 50% </w:t>
      </w:r>
    </w:p>
    <w:p w14:paraId="3372B562" w14:textId="77777777" w:rsidR="009B0FCC" w:rsidRDefault="009B0FCC" w:rsidP="009B0FCC">
      <w:pPr>
        <w:spacing w:after="0" w:line="240" w:lineRule="auto"/>
      </w:pPr>
    </w:p>
    <w:p w14:paraId="52A54199" w14:textId="77777777" w:rsidR="009B0FCC" w:rsidRDefault="009B0FCC" w:rsidP="009B0FCC">
      <w:pPr>
        <w:spacing w:after="0" w:line="240" w:lineRule="auto"/>
      </w:pPr>
    </w:p>
    <w:p w14:paraId="28D271FC" w14:textId="77777777" w:rsidR="009B0FCC" w:rsidRDefault="009B0FCC" w:rsidP="009B0FCC">
      <w:pPr>
        <w:keepNext/>
        <w:widowControl w:val="0"/>
        <w:rPr>
          <w:b/>
          <w:sz w:val="24"/>
          <w:szCs w:val="24"/>
        </w:rPr>
      </w:pPr>
      <w:r>
        <w:rPr>
          <w:b/>
          <w:sz w:val="24"/>
          <w:szCs w:val="24"/>
        </w:rPr>
        <w:lastRenderedPageBreak/>
        <w:t>30%-50%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9B0FCC" w14:paraId="07978B0F" w14:textId="77777777" w:rsidTr="00721F16">
        <w:trPr>
          <w:cantSplit/>
          <w:tblHeader/>
        </w:trPr>
        <w:tc>
          <w:tcPr>
            <w:tcW w:w="3600" w:type="dxa"/>
          </w:tcPr>
          <w:p w14:paraId="2C6B9D80" w14:textId="77777777" w:rsidR="009B0FCC" w:rsidRDefault="009B0FCC" w:rsidP="00721F16">
            <w:pPr>
              <w:keepNext/>
              <w:widowControl w:val="0"/>
              <w:spacing w:after="0" w:line="240" w:lineRule="auto"/>
              <w:jc w:val="center"/>
              <w:rPr>
                <w:b/>
              </w:rPr>
            </w:pPr>
            <w:r>
              <w:rPr>
                <w:b/>
                <w:bCs/>
              </w:rPr>
              <w:t>Severe Housing Problems*</w:t>
            </w:r>
          </w:p>
        </w:tc>
        <w:tc>
          <w:tcPr>
            <w:tcW w:w="1996" w:type="dxa"/>
          </w:tcPr>
          <w:p w14:paraId="3785FFE2" w14:textId="77777777" w:rsidR="009B0FCC" w:rsidRDefault="009B0FCC" w:rsidP="00721F16">
            <w:pPr>
              <w:keepNext/>
              <w:widowControl w:val="0"/>
              <w:spacing w:after="0" w:line="240" w:lineRule="auto"/>
              <w:jc w:val="center"/>
              <w:rPr>
                <w:b/>
              </w:rPr>
            </w:pPr>
            <w:r>
              <w:rPr>
                <w:b/>
                <w:bCs/>
              </w:rPr>
              <w:t>Has one or more of four housing problems</w:t>
            </w:r>
          </w:p>
        </w:tc>
        <w:tc>
          <w:tcPr>
            <w:tcW w:w="1997" w:type="dxa"/>
          </w:tcPr>
          <w:p w14:paraId="2AB64669" w14:textId="77777777" w:rsidR="009B0FCC" w:rsidRDefault="009B0FCC" w:rsidP="00721F16">
            <w:pPr>
              <w:keepNext/>
              <w:widowControl w:val="0"/>
              <w:spacing w:after="0" w:line="240" w:lineRule="auto"/>
              <w:jc w:val="center"/>
              <w:rPr>
                <w:b/>
              </w:rPr>
            </w:pPr>
            <w:r>
              <w:rPr>
                <w:b/>
                <w:bCs/>
              </w:rPr>
              <w:t>Has none of the four housing problems</w:t>
            </w:r>
          </w:p>
        </w:tc>
        <w:tc>
          <w:tcPr>
            <w:tcW w:w="1997" w:type="dxa"/>
          </w:tcPr>
          <w:p w14:paraId="2DB804A9" w14:textId="77777777" w:rsidR="009B0FCC" w:rsidRDefault="009B0FCC" w:rsidP="00721F16">
            <w:pPr>
              <w:keepNext/>
              <w:widowControl w:val="0"/>
              <w:spacing w:after="0" w:line="240" w:lineRule="auto"/>
              <w:jc w:val="center"/>
              <w:rPr>
                <w:b/>
              </w:rPr>
            </w:pPr>
            <w:r>
              <w:rPr>
                <w:b/>
                <w:bCs/>
              </w:rPr>
              <w:t>Household has no/negative income, but none of the other housing problems</w:t>
            </w:r>
          </w:p>
        </w:tc>
      </w:tr>
      <w:tr w:rsidR="009B0FCC" w14:paraId="5BAEED3E" w14:textId="77777777" w:rsidTr="00721F16">
        <w:trPr>
          <w:cantSplit/>
        </w:trPr>
        <w:tc>
          <w:tcPr>
            <w:tcW w:w="3600" w:type="dxa"/>
          </w:tcPr>
          <w:p w14:paraId="5BBE72BF" w14:textId="77777777" w:rsidR="009B0FCC" w:rsidRDefault="009B0FCC" w:rsidP="00721F16">
            <w:pPr>
              <w:spacing w:beforeAutospacing="1" w:afterAutospacing="1"/>
            </w:pPr>
            <w:r>
              <w:rPr>
                <w:color w:val="000000"/>
              </w:rPr>
              <w:t>Jurisdiction as a whole</w:t>
            </w:r>
          </w:p>
        </w:tc>
        <w:tc>
          <w:tcPr>
            <w:tcW w:w="1996" w:type="dxa"/>
            <w:vAlign w:val="bottom"/>
          </w:tcPr>
          <w:p w14:paraId="34450159" w14:textId="77777777" w:rsidR="009B0FCC" w:rsidRDefault="009B0FCC" w:rsidP="00721F16">
            <w:pPr>
              <w:spacing w:beforeAutospacing="1" w:afterAutospacing="1"/>
              <w:jc w:val="right"/>
            </w:pPr>
            <w:r>
              <w:rPr>
                <w:color w:val="000000"/>
              </w:rPr>
              <w:t>22,452</w:t>
            </w:r>
          </w:p>
        </w:tc>
        <w:tc>
          <w:tcPr>
            <w:tcW w:w="1997" w:type="dxa"/>
            <w:vAlign w:val="bottom"/>
          </w:tcPr>
          <w:p w14:paraId="565185C1" w14:textId="77777777" w:rsidR="009B0FCC" w:rsidRDefault="009B0FCC" w:rsidP="00721F16">
            <w:pPr>
              <w:spacing w:beforeAutospacing="1" w:afterAutospacing="1"/>
              <w:jc w:val="right"/>
            </w:pPr>
            <w:r>
              <w:rPr>
                <w:color w:val="000000"/>
              </w:rPr>
              <w:t>47,769</w:t>
            </w:r>
          </w:p>
        </w:tc>
        <w:tc>
          <w:tcPr>
            <w:tcW w:w="1997" w:type="dxa"/>
            <w:vAlign w:val="bottom"/>
          </w:tcPr>
          <w:p w14:paraId="10850F76" w14:textId="77777777" w:rsidR="009B0FCC" w:rsidRDefault="009B0FCC" w:rsidP="00721F16">
            <w:pPr>
              <w:spacing w:beforeAutospacing="1" w:afterAutospacing="1"/>
              <w:jc w:val="right"/>
            </w:pPr>
            <w:r>
              <w:rPr>
                <w:color w:val="000000"/>
              </w:rPr>
              <w:t>0</w:t>
            </w:r>
          </w:p>
        </w:tc>
      </w:tr>
      <w:tr w:rsidR="009B0FCC" w14:paraId="342176A1" w14:textId="77777777" w:rsidTr="00721F16">
        <w:trPr>
          <w:cantSplit/>
        </w:trPr>
        <w:tc>
          <w:tcPr>
            <w:tcW w:w="3600" w:type="dxa"/>
          </w:tcPr>
          <w:p w14:paraId="60D05962" w14:textId="77777777" w:rsidR="009B0FCC" w:rsidRDefault="009B0FCC" w:rsidP="00721F16">
            <w:pPr>
              <w:spacing w:beforeAutospacing="1" w:afterAutospacing="1"/>
            </w:pPr>
            <w:r>
              <w:rPr>
                <w:color w:val="000000"/>
              </w:rPr>
              <w:t>White</w:t>
            </w:r>
          </w:p>
        </w:tc>
        <w:tc>
          <w:tcPr>
            <w:tcW w:w="1996" w:type="dxa"/>
            <w:vAlign w:val="bottom"/>
          </w:tcPr>
          <w:p w14:paraId="3401FA17" w14:textId="77777777" w:rsidR="009B0FCC" w:rsidRDefault="009B0FCC" w:rsidP="00721F16">
            <w:pPr>
              <w:spacing w:beforeAutospacing="1" w:afterAutospacing="1"/>
              <w:jc w:val="right"/>
            </w:pPr>
            <w:r>
              <w:rPr>
                <w:color w:val="000000"/>
              </w:rPr>
              <w:t>18,394</w:t>
            </w:r>
          </w:p>
        </w:tc>
        <w:tc>
          <w:tcPr>
            <w:tcW w:w="1997" w:type="dxa"/>
            <w:vAlign w:val="bottom"/>
          </w:tcPr>
          <w:p w14:paraId="4AE41700" w14:textId="77777777" w:rsidR="009B0FCC" w:rsidRDefault="009B0FCC" w:rsidP="00721F16">
            <w:pPr>
              <w:spacing w:beforeAutospacing="1" w:afterAutospacing="1"/>
              <w:jc w:val="right"/>
            </w:pPr>
            <w:r>
              <w:rPr>
                <w:color w:val="000000"/>
              </w:rPr>
              <w:t>40,425</w:t>
            </w:r>
          </w:p>
        </w:tc>
        <w:tc>
          <w:tcPr>
            <w:tcW w:w="1997" w:type="dxa"/>
            <w:vAlign w:val="bottom"/>
          </w:tcPr>
          <w:p w14:paraId="2B534241" w14:textId="77777777" w:rsidR="009B0FCC" w:rsidRDefault="009B0FCC" w:rsidP="00721F16">
            <w:pPr>
              <w:spacing w:beforeAutospacing="1" w:afterAutospacing="1"/>
              <w:jc w:val="right"/>
            </w:pPr>
            <w:r>
              <w:rPr>
                <w:color w:val="000000"/>
              </w:rPr>
              <w:t>0</w:t>
            </w:r>
          </w:p>
        </w:tc>
      </w:tr>
      <w:tr w:rsidR="009B0FCC" w14:paraId="5C89B52F" w14:textId="77777777" w:rsidTr="00721F16">
        <w:trPr>
          <w:cantSplit/>
        </w:trPr>
        <w:tc>
          <w:tcPr>
            <w:tcW w:w="3600" w:type="dxa"/>
          </w:tcPr>
          <w:p w14:paraId="02D0CF1D" w14:textId="77777777" w:rsidR="009B0FCC" w:rsidRDefault="009B0FCC" w:rsidP="00721F16">
            <w:pPr>
              <w:spacing w:beforeAutospacing="1" w:afterAutospacing="1"/>
            </w:pPr>
            <w:r>
              <w:rPr>
                <w:color w:val="000000"/>
              </w:rPr>
              <w:t>Black / African American</w:t>
            </w:r>
          </w:p>
        </w:tc>
        <w:tc>
          <w:tcPr>
            <w:tcW w:w="1996" w:type="dxa"/>
            <w:vAlign w:val="bottom"/>
          </w:tcPr>
          <w:p w14:paraId="1FA65019" w14:textId="77777777" w:rsidR="009B0FCC" w:rsidRDefault="009B0FCC" w:rsidP="00721F16">
            <w:pPr>
              <w:spacing w:beforeAutospacing="1" w:afterAutospacing="1"/>
              <w:jc w:val="right"/>
            </w:pPr>
            <w:r>
              <w:rPr>
                <w:color w:val="000000"/>
              </w:rPr>
              <w:t>133</w:t>
            </w:r>
          </w:p>
        </w:tc>
        <w:tc>
          <w:tcPr>
            <w:tcW w:w="1997" w:type="dxa"/>
            <w:vAlign w:val="bottom"/>
          </w:tcPr>
          <w:p w14:paraId="4A5B8A47" w14:textId="77777777" w:rsidR="009B0FCC" w:rsidRDefault="009B0FCC" w:rsidP="00721F16">
            <w:pPr>
              <w:spacing w:beforeAutospacing="1" w:afterAutospacing="1"/>
              <w:jc w:val="right"/>
            </w:pPr>
            <w:r>
              <w:rPr>
                <w:color w:val="000000"/>
              </w:rPr>
              <w:t>169</w:t>
            </w:r>
          </w:p>
        </w:tc>
        <w:tc>
          <w:tcPr>
            <w:tcW w:w="1997" w:type="dxa"/>
            <w:vAlign w:val="bottom"/>
          </w:tcPr>
          <w:p w14:paraId="34D4A34E" w14:textId="77777777" w:rsidR="009B0FCC" w:rsidRDefault="009B0FCC" w:rsidP="00721F16">
            <w:pPr>
              <w:spacing w:beforeAutospacing="1" w:afterAutospacing="1"/>
              <w:jc w:val="right"/>
            </w:pPr>
            <w:r>
              <w:rPr>
                <w:color w:val="000000"/>
              </w:rPr>
              <w:t>0</w:t>
            </w:r>
          </w:p>
        </w:tc>
      </w:tr>
      <w:tr w:rsidR="009B0FCC" w14:paraId="2C6D06A3" w14:textId="77777777" w:rsidTr="00721F16">
        <w:trPr>
          <w:cantSplit/>
        </w:trPr>
        <w:tc>
          <w:tcPr>
            <w:tcW w:w="3600" w:type="dxa"/>
          </w:tcPr>
          <w:p w14:paraId="29F8C1B7" w14:textId="77777777" w:rsidR="009B0FCC" w:rsidRDefault="009B0FCC" w:rsidP="00721F16">
            <w:pPr>
              <w:spacing w:beforeAutospacing="1" w:afterAutospacing="1"/>
            </w:pPr>
            <w:r>
              <w:rPr>
                <w:color w:val="000000"/>
              </w:rPr>
              <w:t>Asian</w:t>
            </w:r>
          </w:p>
        </w:tc>
        <w:tc>
          <w:tcPr>
            <w:tcW w:w="1996" w:type="dxa"/>
            <w:vAlign w:val="bottom"/>
          </w:tcPr>
          <w:p w14:paraId="472C43B3" w14:textId="77777777" w:rsidR="009B0FCC" w:rsidRDefault="009B0FCC" w:rsidP="00721F16">
            <w:pPr>
              <w:spacing w:beforeAutospacing="1" w:afterAutospacing="1"/>
              <w:jc w:val="right"/>
            </w:pPr>
            <w:r>
              <w:rPr>
                <w:color w:val="000000"/>
              </w:rPr>
              <w:t>308</w:t>
            </w:r>
          </w:p>
        </w:tc>
        <w:tc>
          <w:tcPr>
            <w:tcW w:w="1997" w:type="dxa"/>
            <w:vAlign w:val="bottom"/>
          </w:tcPr>
          <w:p w14:paraId="082E090A" w14:textId="77777777" w:rsidR="009B0FCC" w:rsidRDefault="009B0FCC" w:rsidP="00721F16">
            <w:pPr>
              <w:spacing w:beforeAutospacing="1" w:afterAutospacing="1"/>
              <w:jc w:val="right"/>
            </w:pPr>
            <w:r>
              <w:rPr>
                <w:color w:val="000000"/>
              </w:rPr>
              <w:t>320</w:t>
            </w:r>
          </w:p>
        </w:tc>
        <w:tc>
          <w:tcPr>
            <w:tcW w:w="1997" w:type="dxa"/>
            <w:vAlign w:val="bottom"/>
          </w:tcPr>
          <w:p w14:paraId="691D8465" w14:textId="77777777" w:rsidR="009B0FCC" w:rsidRDefault="009B0FCC" w:rsidP="00721F16">
            <w:pPr>
              <w:spacing w:beforeAutospacing="1" w:afterAutospacing="1"/>
              <w:jc w:val="right"/>
            </w:pPr>
            <w:r>
              <w:rPr>
                <w:color w:val="000000"/>
              </w:rPr>
              <w:t>0</w:t>
            </w:r>
          </w:p>
        </w:tc>
      </w:tr>
      <w:tr w:rsidR="009B0FCC" w14:paraId="71219C4F" w14:textId="77777777" w:rsidTr="00721F16">
        <w:trPr>
          <w:cantSplit/>
        </w:trPr>
        <w:tc>
          <w:tcPr>
            <w:tcW w:w="3600" w:type="dxa"/>
          </w:tcPr>
          <w:p w14:paraId="6DA45CED" w14:textId="77777777" w:rsidR="009B0FCC" w:rsidRDefault="009B0FCC" w:rsidP="00721F16">
            <w:pPr>
              <w:spacing w:beforeAutospacing="1" w:afterAutospacing="1"/>
            </w:pPr>
            <w:r>
              <w:rPr>
                <w:color w:val="000000"/>
              </w:rPr>
              <w:t>American Indian, Alaska Native</w:t>
            </w:r>
          </w:p>
        </w:tc>
        <w:tc>
          <w:tcPr>
            <w:tcW w:w="1996" w:type="dxa"/>
            <w:vAlign w:val="bottom"/>
          </w:tcPr>
          <w:p w14:paraId="558DD566" w14:textId="77777777" w:rsidR="009B0FCC" w:rsidRDefault="009B0FCC" w:rsidP="00721F16">
            <w:pPr>
              <w:spacing w:beforeAutospacing="1" w:afterAutospacing="1"/>
              <w:jc w:val="right"/>
            </w:pPr>
            <w:r>
              <w:rPr>
                <w:color w:val="000000"/>
              </w:rPr>
              <w:t>264</w:t>
            </w:r>
          </w:p>
        </w:tc>
        <w:tc>
          <w:tcPr>
            <w:tcW w:w="1997" w:type="dxa"/>
            <w:vAlign w:val="bottom"/>
          </w:tcPr>
          <w:p w14:paraId="3D409A13" w14:textId="77777777" w:rsidR="009B0FCC" w:rsidRDefault="009B0FCC" w:rsidP="00721F16">
            <w:pPr>
              <w:spacing w:beforeAutospacing="1" w:afterAutospacing="1"/>
              <w:jc w:val="right"/>
            </w:pPr>
            <w:r>
              <w:rPr>
                <w:color w:val="000000"/>
              </w:rPr>
              <w:t>731</w:t>
            </w:r>
          </w:p>
        </w:tc>
        <w:tc>
          <w:tcPr>
            <w:tcW w:w="1997" w:type="dxa"/>
            <w:vAlign w:val="bottom"/>
          </w:tcPr>
          <w:p w14:paraId="72639394" w14:textId="77777777" w:rsidR="009B0FCC" w:rsidRDefault="009B0FCC" w:rsidP="00721F16">
            <w:pPr>
              <w:spacing w:beforeAutospacing="1" w:afterAutospacing="1"/>
              <w:jc w:val="right"/>
            </w:pPr>
            <w:r>
              <w:rPr>
                <w:color w:val="000000"/>
              </w:rPr>
              <w:t>0</w:t>
            </w:r>
          </w:p>
        </w:tc>
      </w:tr>
      <w:tr w:rsidR="009B0FCC" w14:paraId="3C7BC300" w14:textId="77777777" w:rsidTr="00721F16">
        <w:trPr>
          <w:cantSplit/>
        </w:trPr>
        <w:tc>
          <w:tcPr>
            <w:tcW w:w="3600" w:type="dxa"/>
          </w:tcPr>
          <w:p w14:paraId="3176732B" w14:textId="77777777" w:rsidR="009B0FCC" w:rsidRDefault="009B0FCC" w:rsidP="00721F16">
            <w:pPr>
              <w:spacing w:beforeAutospacing="1" w:afterAutospacing="1"/>
            </w:pPr>
            <w:r>
              <w:rPr>
                <w:color w:val="000000"/>
              </w:rPr>
              <w:t>Pacific Islander</w:t>
            </w:r>
          </w:p>
        </w:tc>
        <w:tc>
          <w:tcPr>
            <w:tcW w:w="1996" w:type="dxa"/>
            <w:vAlign w:val="bottom"/>
          </w:tcPr>
          <w:p w14:paraId="282D04D3" w14:textId="77777777" w:rsidR="009B0FCC" w:rsidRDefault="009B0FCC" w:rsidP="00721F16">
            <w:pPr>
              <w:spacing w:beforeAutospacing="1" w:afterAutospacing="1"/>
              <w:jc w:val="right"/>
            </w:pPr>
            <w:r>
              <w:rPr>
                <w:color w:val="000000"/>
              </w:rPr>
              <w:t>14</w:t>
            </w:r>
          </w:p>
        </w:tc>
        <w:tc>
          <w:tcPr>
            <w:tcW w:w="1997" w:type="dxa"/>
            <w:vAlign w:val="bottom"/>
          </w:tcPr>
          <w:p w14:paraId="621EE213" w14:textId="77777777" w:rsidR="009B0FCC" w:rsidRDefault="009B0FCC" w:rsidP="00721F16">
            <w:pPr>
              <w:spacing w:beforeAutospacing="1" w:afterAutospacing="1"/>
              <w:jc w:val="right"/>
            </w:pPr>
            <w:r>
              <w:rPr>
                <w:color w:val="000000"/>
              </w:rPr>
              <w:t>10</w:t>
            </w:r>
          </w:p>
        </w:tc>
        <w:tc>
          <w:tcPr>
            <w:tcW w:w="1997" w:type="dxa"/>
            <w:vAlign w:val="bottom"/>
          </w:tcPr>
          <w:p w14:paraId="55D3E16C" w14:textId="77777777" w:rsidR="009B0FCC" w:rsidRDefault="009B0FCC" w:rsidP="00721F16">
            <w:pPr>
              <w:spacing w:beforeAutospacing="1" w:afterAutospacing="1"/>
              <w:jc w:val="right"/>
            </w:pPr>
            <w:r>
              <w:rPr>
                <w:color w:val="000000"/>
              </w:rPr>
              <w:t>0</w:t>
            </w:r>
          </w:p>
        </w:tc>
      </w:tr>
      <w:tr w:rsidR="009B0FCC" w14:paraId="1CF1916F" w14:textId="77777777" w:rsidTr="00721F16">
        <w:trPr>
          <w:cantSplit/>
        </w:trPr>
        <w:tc>
          <w:tcPr>
            <w:tcW w:w="3600" w:type="dxa"/>
          </w:tcPr>
          <w:p w14:paraId="72F4BDE0" w14:textId="77777777" w:rsidR="009B0FCC" w:rsidRDefault="009B0FCC" w:rsidP="00721F16">
            <w:pPr>
              <w:spacing w:beforeAutospacing="1" w:afterAutospacing="1"/>
            </w:pPr>
            <w:r>
              <w:rPr>
                <w:color w:val="000000"/>
              </w:rPr>
              <w:t>Hispanic</w:t>
            </w:r>
          </w:p>
        </w:tc>
        <w:tc>
          <w:tcPr>
            <w:tcW w:w="1996" w:type="dxa"/>
            <w:vAlign w:val="bottom"/>
          </w:tcPr>
          <w:p w14:paraId="32252347" w14:textId="77777777" w:rsidR="009B0FCC" w:rsidRDefault="009B0FCC" w:rsidP="00721F16">
            <w:pPr>
              <w:spacing w:beforeAutospacing="1" w:afterAutospacing="1"/>
              <w:jc w:val="right"/>
            </w:pPr>
            <w:r>
              <w:rPr>
                <w:color w:val="000000"/>
              </w:rPr>
              <w:t>2,975</w:t>
            </w:r>
          </w:p>
        </w:tc>
        <w:tc>
          <w:tcPr>
            <w:tcW w:w="1997" w:type="dxa"/>
            <w:vAlign w:val="bottom"/>
          </w:tcPr>
          <w:p w14:paraId="55C719A8" w14:textId="77777777" w:rsidR="009B0FCC" w:rsidRDefault="009B0FCC" w:rsidP="00721F16">
            <w:pPr>
              <w:spacing w:beforeAutospacing="1" w:afterAutospacing="1"/>
              <w:jc w:val="right"/>
            </w:pPr>
            <w:r>
              <w:rPr>
                <w:color w:val="000000"/>
              </w:rPr>
              <w:t>5,089</w:t>
            </w:r>
          </w:p>
        </w:tc>
        <w:tc>
          <w:tcPr>
            <w:tcW w:w="1997" w:type="dxa"/>
            <w:vAlign w:val="bottom"/>
          </w:tcPr>
          <w:p w14:paraId="52302B14" w14:textId="77777777" w:rsidR="009B0FCC" w:rsidRDefault="009B0FCC" w:rsidP="00721F16">
            <w:pPr>
              <w:spacing w:beforeAutospacing="1" w:afterAutospacing="1"/>
              <w:jc w:val="right"/>
            </w:pPr>
            <w:r>
              <w:rPr>
                <w:color w:val="000000"/>
              </w:rPr>
              <w:t>0</w:t>
            </w:r>
          </w:p>
        </w:tc>
      </w:tr>
    </w:tbl>
    <w:p w14:paraId="7A6509C4"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Severe Housing Problems 30 - 50%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42097455" w14:textId="77777777" w:rsidTr="00721F16">
        <w:trPr>
          <w:cantSplit/>
        </w:trPr>
        <w:tc>
          <w:tcPr>
            <w:tcW w:w="1080" w:type="dxa"/>
          </w:tcPr>
          <w:p w14:paraId="1134981F" w14:textId="77777777" w:rsidR="009B0FCC" w:rsidRDefault="009B0FCC" w:rsidP="00721F16">
            <w:pPr>
              <w:spacing w:after="0" w:line="240" w:lineRule="auto"/>
              <w:rPr>
                <w:sz w:val="16"/>
                <w:szCs w:val="16"/>
              </w:rPr>
            </w:pPr>
            <w:r>
              <w:rPr>
                <w:b/>
                <w:bCs/>
                <w:sz w:val="16"/>
                <w:szCs w:val="16"/>
              </w:rPr>
              <w:t>Data Source:</w:t>
            </w:r>
          </w:p>
        </w:tc>
        <w:tc>
          <w:tcPr>
            <w:tcW w:w="8510" w:type="dxa"/>
          </w:tcPr>
          <w:p w14:paraId="29BC90BD" w14:textId="77777777" w:rsidR="009B0FCC" w:rsidRDefault="009B0FCC" w:rsidP="00721F16">
            <w:pPr>
              <w:spacing w:beforeAutospacing="1" w:afterAutospacing="1"/>
              <w:rPr>
                <w:sz w:val="16"/>
                <w:szCs w:val="16"/>
              </w:rPr>
            </w:pPr>
            <w:r>
              <w:rPr>
                <w:sz w:val="16"/>
                <w:szCs w:val="16"/>
              </w:rPr>
              <w:t>2016-2020 CHAS</w:t>
            </w:r>
          </w:p>
        </w:tc>
      </w:tr>
    </w:tbl>
    <w:p w14:paraId="7FC0BA44" w14:textId="77777777" w:rsidR="009B0FCC" w:rsidRDefault="009B0FCC" w:rsidP="009B0FCC">
      <w:pPr>
        <w:spacing w:after="0" w:line="240" w:lineRule="auto"/>
        <w:rPr>
          <w:vanish/>
        </w:rPr>
      </w:pPr>
    </w:p>
    <w:p w14:paraId="1FB6B74B" w14:textId="77777777" w:rsidR="009B0FCC" w:rsidRDefault="009B0FCC" w:rsidP="009B0FCC">
      <w:pPr>
        <w:spacing w:after="0" w:line="240" w:lineRule="auto"/>
        <w:rPr>
          <w:b/>
          <w:bCs/>
          <w:vanish/>
          <w:sz w:val="16"/>
          <w:szCs w:val="16"/>
        </w:rPr>
      </w:pPr>
    </w:p>
    <w:p w14:paraId="3FA28400" w14:textId="77777777" w:rsidR="009B0FCC" w:rsidRDefault="009B0FCC" w:rsidP="009B0FCC">
      <w:pPr>
        <w:spacing w:after="0" w:line="240" w:lineRule="auto"/>
      </w:pPr>
    </w:p>
    <w:p w14:paraId="58AEBFFA" w14:textId="77777777" w:rsidR="009B0FCC" w:rsidRDefault="009B0FCC" w:rsidP="009B0FCC">
      <w:pPr>
        <w:spacing w:after="0" w:line="240" w:lineRule="auto"/>
      </w:pPr>
      <w:r>
        <w:t xml:space="preserve">*The four severe housing problems are: </w:t>
      </w:r>
    </w:p>
    <w:p w14:paraId="4307BAB4" w14:textId="35F30F1E" w:rsidR="009B0FCC" w:rsidRDefault="009B0FCC" w:rsidP="009B0FCC">
      <w:pPr>
        <w:spacing w:after="0" w:line="240" w:lineRule="auto"/>
      </w:pPr>
      <w:r>
        <w:t>1. Lacks complete kitchen facilities, 2. Lacks complete plumbing facilities, 3. More than 1.5 persons per room, 4.</w:t>
      </w:r>
      <w:r w:rsidR="288A3379">
        <w:t xml:space="preserve"> </w:t>
      </w:r>
      <w:r>
        <w:t xml:space="preserve">Cost Burden over 50% </w:t>
      </w:r>
    </w:p>
    <w:p w14:paraId="1A925FEA" w14:textId="77777777" w:rsidR="009B0FCC" w:rsidRDefault="009B0FCC" w:rsidP="009B0FCC">
      <w:pPr>
        <w:spacing w:after="0" w:line="240" w:lineRule="auto"/>
      </w:pPr>
    </w:p>
    <w:p w14:paraId="7C764349" w14:textId="77777777" w:rsidR="009B0FCC" w:rsidRDefault="009B0FCC" w:rsidP="009B0FCC">
      <w:pPr>
        <w:spacing w:after="0" w:line="240" w:lineRule="auto"/>
      </w:pPr>
    </w:p>
    <w:p w14:paraId="600038F6" w14:textId="77777777" w:rsidR="009B0FCC" w:rsidRDefault="009B0FCC" w:rsidP="009B0FCC">
      <w:pPr>
        <w:keepNext/>
        <w:widowControl w:val="0"/>
        <w:rPr>
          <w:b/>
          <w:sz w:val="24"/>
          <w:szCs w:val="24"/>
        </w:rPr>
      </w:pPr>
      <w:r>
        <w:rPr>
          <w:b/>
          <w:sz w:val="24"/>
          <w:szCs w:val="24"/>
        </w:rPr>
        <w:t>50%-80%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9B0FCC" w14:paraId="01986973" w14:textId="77777777" w:rsidTr="00721F16">
        <w:trPr>
          <w:cantSplit/>
          <w:tblHeader/>
        </w:trPr>
        <w:tc>
          <w:tcPr>
            <w:tcW w:w="3600" w:type="dxa"/>
          </w:tcPr>
          <w:p w14:paraId="03960F83" w14:textId="77777777" w:rsidR="009B0FCC" w:rsidRDefault="009B0FCC" w:rsidP="00721F16">
            <w:pPr>
              <w:keepNext/>
              <w:widowControl w:val="0"/>
              <w:spacing w:after="0" w:line="240" w:lineRule="auto"/>
              <w:jc w:val="center"/>
              <w:rPr>
                <w:b/>
              </w:rPr>
            </w:pPr>
            <w:r>
              <w:rPr>
                <w:b/>
                <w:bCs/>
              </w:rPr>
              <w:t>Severe Housing Problems*</w:t>
            </w:r>
          </w:p>
        </w:tc>
        <w:tc>
          <w:tcPr>
            <w:tcW w:w="1996" w:type="dxa"/>
          </w:tcPr>
          <w:p w14:paraId="2EDDB569" w14:textId="77777777" w:rsidR="009B0FCC" w:rsidRDefault="009B0FCC" w:rsidP="00721F16">
            <w:pPr>
              <w:keepNext/>
              <w:widowControl w:val="0"/>
              <w:spacing w:after="0" w:line="240" w:lineRule="auto"/>
              <w:jc w:val="center"/>
              <w:rPr>
                <w:b/>
              </w:rPr>
            </w:pPr>
            <w:r>
              <w:rPr>
                <w:b/>
                <w:bCs/>
              </w:rPr>
              <w:t>Has one or more of four housing problems</w:t>
            </w:r>
          </w:p>
        </w:tc>
        <w:tc>
          <w:tcPr>
            <w:tcW w:w="1997" w:type="dxa"/>
          </w:tcPr>
          <w:p w14:paraId="0A85460E" w14:textId="77777777" w:rsidR="009B0FCC" w:rsidRDefault="009B0FCC" w:rsidP="00721F16">
            <w:pPr>
              <w:keepNext/>
              <w:widowControl w:val="0"/>
              <w:spacing w:after="0" w:line="240" w:lineRule="auto"/>
              <w:jc w:val="center"/>
              <w:rPr>
                <w:b/>
              </w:rPr>
            </w:pPr>
            <w:r>
              <w:rPr>
                <w:b/>
                <w:bCs/>
              </w:rPr>
              <w:t>Has none of the four housing problems</w:t>
            </w:r>
          </w:p>
        </w:tc>
        <w:tc>
          <w:tcPr>
            <w:tcW w:w="1997" w:type="dxa"/>
          </w:tcPr>
          <w:p w14:paraId="35DD3073" w14:textId="77777777" w:rsidR="009B0FCC" w:rsidRDefault="009B0FCC" w:rsidP="00721F16">
            <w:pPr>
              <w:keepNext/>
              <w:widowControl w:val="0"/>
              <w:spacing w:after="0" w:line="240" w:lineRule="auto"/>
              <w:jc w:val="center"/>
              <w:rPr>
                <w:b/>
              </w:rPr>
            </w:pPr>
            <w:r>
              <w:rPr>
                <w:b/>
                <w:bCs/>
              </w:rPr>
              <w:t>Household has no/negative income, but none of the other housing problems</w:t>
            </w:r>
          </w:p>
        </w:tc>
      </w:tr>
      <w:tr w:rsidR="009B0FCC" w14:paraId="5AF6C031" w14:textId="77777777" w:rsidTr="00721F16">
        <w:trPr>
          <w:cantSplit/>
        </w:trPr>
        <w:tc>
          <w:tcPr>
            <w:tcW w:w="3600" w:type="dxa"/>
          </w:tcPr>
          <w:p w14:paraId="4F1200B2" w14:textId="77777777" w:rsidR="009B0FCC" w:rsidRDefault="009B0FCC" w:rsidP="00721F16">
            <w:pPr>
              <w:spacing w:beforeAutospacing="1" w:afterAutospacing="1"/>
            </w:pPr>
            <w:r>
              <w:rPr>
                <w:color w:val="000000"/>
              </w:rPr>
              <w:t>Jurisdiction as a whole</w:t>
            </w:r>
          </w:p>
        </w:tc>
        <w:tc>
          <w:tcPr>
            <w:tcW w:w="1996" w:type="dxa"/>
            <w:vAlign w:val="bottom"/>
          </w:tcPr>
          <w:p w14:paraId="00B1950B" w14:textId="77777777" w:rsidR="009B0FCC" w:rsidRDefault="009B0FCC" w:rsidP="00721F16">
            <w:pPr>
              <w:spacing w:beforeAutospacing="1" w:afterAutospacing="1"/>
              <w:jc w:val="right"/>
            </w:pPr>
            <w:r>
              <w:rPr>
                <w:color w:val="000000"/>
              </w:rPr>
              <w:t>13,310</w:t>
            </w:r>
          </w:p>
        </w:tc>
        <w:tc>
          <w:tcPr>
            <w:tcW w:w="1997" w:type="dxa"/>
            <w:vAlign w:val="bottom"/>
          </w:tcPr>
          <w:p w14:paraId="37AF86E9" w14:textId="77777777" w:rsidR="009B0FCC" w:rsidRDefault="009B0FCC" w:rsidP="00721F16">
            <w:pPr>
              <w:spacing w:beforeAutospacing="1" w:afterAutospacing="1"/>
              <w:jc w:val="right"/>
            </w:pPr>
            <w:r>
              <w:rPr>
                <w:color w:val="000000"/>
              </w:rPr>
              <w:t>100,299</w:t>
            </w:r>
          </w:p>
        </w:tc>
        <w:tc>
          <w:tcPr>
            <w:tcW w:w="1997" w:type="dxa"/>
            <w:vAlign w:val="bottom"/>
          </w:tcPr>
          <w:p w14:paraId="63D77029" w14:textId="77777777" w:rsidR="009B0FCC" w:rsidRDefault="009B0FCC" w:rsidP="00721F16">
            <w:pPr>
              <w:spacing w:beforeAutospacing="1" w:afterAutospacing="1"/>
              <w:jc w:val="right"/>
            </w:pPr>
            <w:r>
              <w:rPr>
                <w:color w:val="000000"/>
              </w:rPr>
              <w:t>0</w:t>
            </w:r>
          </w:p>
        </w:tc>
      </w:tr>
      <w:tr w:rsidR="009B0FCC" w14:paraId="20E8AE41" w14:textId="77777777" w:rsidTr="00721F16">
        <w:trPr>
          <w:cantSplit/>
        </w:trPr>
        <w:tc>
          <w:tcPr>
            <w:tcW w:w="3600" w:type="dxa"/>
          </w:tcPr>
          <w:p w14:paraId="4737F5D6" w14:textId="77777777" w:rsidR="009B0FCC" w:rsidRDefault="009B0FCC" w:rsidP="00721F16">
            <w:pPr>
              <w:spacing w:beforeAutospacing="1" w:afterAutospacing="1"/>
            </w:pPr>
            <w:r>
              <w:rPr>
                <w:color w:val="000000"/>
              </w:rPr>
              <w:t>White</w:t>
            </w:r>
          </w:p>
        </w:tc>
        <w:tc>
          <w:tcPr>
            <w:tcW w:w="1996" w:type="dxa"/>
            <w:vAlign w:val="bottom"/>
          </w:tcPr>
          <w:p w14:paraId="48DEEB02" w14:textId="77777777" w:rsidR="009B0FCC" w:rsidRDefault="009B0FCC" w:rsidP="00721F16">
            <w:pPr>
              <w:spacing w:beforeAutospacing="1" w:afterAutospacing="1"/>
              <w:jc w:val="right"/>
            </w:pPr>
            <w:r>
              <w:rPr>
                <w:color w:val="000000"/>
              </w:rPr>
              <w:t>10,687</w:t>
            </w:r>
          </w:p>
        </w:tc>
        <w:tc>
          <w:tcPr>
            <w:tcW w:w="1997" w:type="dxa"/>
            <w:vAlign w:val="bottom"/>
          </w:tcPr>
          <w:p w14:paraId="2AEA8485" w14:textId="77777777" w:rsidR="009B0FCC" w:rsidRDefault="009B0FCC" w:rsidP="00721F16">
            <w:pPr>
              <w:spacing w:beforeAutospacing="1" w:afterAutospacing="1"/>
              <w:jc w:val="right"/>
            </w:pPr>
            <w:r>
              <w:rPr>
                <w:color w:val="000000"/>
              </w:rPr>
              <w:t>85,114</w:t>
            </w:r>
          </w:p>
        </w:tc>
        <w:tc>
          <w:tcPr>
            <w:tcW w:w="1997" w:type="dxa"/>
            <w:vAlign w:val="bottom"/>
          </w:tcPr>
          <w:p w14:paraId="01EA9F2A" w14:textId="77777777" w:rsidR="009B0FCC" w:rsidRDefault="009B0FCC" w:rsidP="00721F16">
            <w:pPr>
              <w:spacing w:beforeAutospacing="1" w:afterAutospacing="1"/>
              <w:jc w:val="right"/>
            </w:pPr>
            <w:r>
              <w:rPr>
                <w:color w:val="000000"/>
              </w:rPr>
              <w:t>0</w:t>
            </w:r>
          </w:p>
        </w:tc>
      </w:tr>
      <w:tr w:rsidR="009B0FCC" w14:paraId="198D9AC7" w14:textId="77777777" w:rsidTr="00721F16">
        <w:trPr>
          <w:cantSplit/>
        </w:trPr>
        <w:tc>
          <w:tcPr>
            <w:tcW w:w="3600" w:type="dxa"/>
          </w:tcPr>
          <w:p w14:paraId="1971BC99" w14:textId="77777777" w:rsidR="009B0FCC" w:rsidRDefault="009B0FCC" w:rsidP="00721F16">
            <w:pPr>
              <w:spacing w:beforeAutospacing="1" w:afterAutospacing="1"/>
            </w:pPr>
            <w:r>
              <w:rPr>
                <w:color w:val="000000"/>
              </w:rPr>
              <w:t>Black / African American</w:t>
            </w:r>
          </w:p>
        </w:tc>
        <w:tc>
          <w:tcPr>
            <w:tcW w:w="1996" w:type="dxa"/>
            <w:vAlign w:val="bottom"/>
          </w:tcPr>
          <w:p w14:paraId="3B5D00EA" w14:textId="77777777" w:rsidR="009B0FCC" w:rsidRDefault="009B0FCC" w:rsidP="00721F16">
            <w:pPr>
              <w:spacing w:beforeAutospacing="1" w:afterAutospacing="1"/>
              <w:jc w:val="right"/>
            </w:pPr>
            <w:r>
              <w:rPr>
                <w:color w:val="000000"/>
              </w:rPr>
              <w:t>90</w:t>
            </w:r>
          </w:p>
        </w:tc>
        <w:tc>
          <w:tcPr>
            <w:tcW w:w="1997" w:type="dxa"/>
            <w:vAlign w:val="bottom"/>
          </w:tcPr>
          <w:p w14:paraId="79F8E7D9" w14:textId="77777777" w:rsidR="009B0FCC" w:rsidRDefault="009B0FCC" w:rsidP="00721F16">
            <w:pPr>
              <w:spacing w:beforeAutospacing="1" w:afterAutospacing="1"/>
              <w:jc w:val="right"/>
            </w:pPr>
            <w:r>
              <w:rPr>
                <w:color w:val="000000"/>
              </w:rPr>
              <w:t>645</w:t>
            </w:r>
          </w:p>
        </w:tc>
        <w:tc>
          <w:tcPr>
            <w:tcW w:w="1997" w:type="dxa"/>
            <w:vAlign w:val="bottom"/>
          </w:tcPr>
          <w:p w14:paraId="5CE35DAD" w14:textId="77777777" w:rsidR="009B0FCC" w:rsidRDefault="009B0FCC" w:rsidP="00721F16">
            <w:pPr>
              <w:spacing w:beforeAutospacing="1" w:afterAutospacing="1"/>
              <w:jc w:val="right"/>
            </w:pPr>
            <w:r>
              <w:rPr>
                <w:color w:val="000000"/>
              </w:rPr>
              <w:t>0</w:t>
            </w:r>
          </w:p>
        </w:tc>
      </w:tr>
      <w:tr w:rsidR="009B0FCC" w14:paraId="2FADE919" w14:textId="77777777" w:rsidTr="00721F16">
        <w:trPr>
          <w:cantSplit/>
        </w:trPr>
        <w:tc>
          <w:tcPr>
            <w:tcW w:w="3600" w:type="dxa"/>
          </w:tcPr>
          <w:p w14:paraId="68779178" w14:textId="77777777" w:rsidR="009B0FCC" w:rsidRDefault="009B0FCC" w:rsidP="00721F16">
            <w:pPr>
              <w:spacing w:beforeAutospacing="1" w:afterAutospacing="1"/>
            </w:pPr>
            <w:r>
              <w:rPr>
                <w:color w:val="000000"/>
              </w:rPr>
              <w:t>Asian</w:t>
            </w:r>
          </w:p>
        </w:tc>
        <w:tc>
          <w:tcPr>
            <w:tcW w:w="1996" w:type="dxa"/>
            <w:vAlign w:val="bottom"/>
          </w:tcPr>
          <w:p w14:paraId="4E1485E1" w14:textId="77777777" w:rsidR="009B0FCC" w:rsidRDefault="009B0FCC" w:rsidP="00721F16">
            <w:pPr>
              <w:spacing w:beforeAutospacing="1" w:afterAutospacing="1"/>
              <w:jc w:val="right"/>
            </w:pPr>
            <w:r>
              <w:rPr>
                <w:color w:val="000000"/>
              </w:rPr>
              <w:t>187</w:t>
            </w:r>
          </w:p>
        </w:tc>
        <w:tc>
          <w:tcPr>
            <w:tcW w:w="1997" w:type="dxa"/>
            <w:vAlign w:val="bottom"/>
          </w:tcPr>
          <w:p w14:paraId="0460E80D" w14:textId="77777777" w:rsidR="009B0FCC" w:rsidRDefault="009B0FCC" w:rsidP="00721F16">
            <w:pPr>
              <w:spacing w:beforeAutospacing="1" w:afterAutospacing="1"/>
              <w:jc w:val="right"/>
            </w:pPr>
            <w:r>
              <w:rPr>
                <w:color w:val="000000"/>
              </w:rPr>
              <w:t>923</w:t>
            </w:r>
          </w:p>
        </w:tc>
        <w:tc>
          <w:tcPr>
            <w:tcW w:w="1997" w:type="dxa"/>
            <w:vAlign w:val="bottom"/>
          </w:tcPr>
          <w:p w14:paraId="14B2F000" w14:textId="77777777" w:rsidR="009B0FCC" w:rsidRDefault="009B0FCC" w:rsidP="00721F16">
            <w:pPr>
              <w:spacing w:beforeAutospacing="1" w:afterAutospacing="1"/>
              <w:jc w:val="right"/>
            </w:pPr>
            <w:r>
              <w:rPr>
                <w:color w:val="000000"/>
              </w:rPr>
              <w:t>0</w:t>
            </w:r>
          </w:p>
        </w:tc>
      </w:tr>
      <w:tr w:rsidR="009B0FCC" w14:paraId="0146BEF0" w14:textId="77777777" w:rsidTr="00721F16">
        <w:trPr>
          <w:cantSplit/>
        </w:trPr>
        <w:tc>
          <w:tcPr>
            <w:tcW w:w="3600" w:type="dxa"/>
          </w:tcPr>
          <w:p w14:paraId="3DD4274B" w14:textId="77777777" w:rsidR="009B0FCC" w:rsidRDefault="009B0FCC" w:rsidP="00721F16">
            <w:pPr>
              <w:spacing w:beforeAutospacing="1" w:afterAutospacing="1"/>
            </w:pPr>
            <w:r>
              <w:rPr>
                <w:color w:val="000000"/>
              </w:rPr>
              <w:t>American Indian, Alaska Native</w:t>
            </w:r>
          </w:p>
        </w:tc>
        <w:tc>
          <w:tcPr>
            <w:tcW w:w="1996" w:type="dxa"/>
            <w:vAlign w:val="bottom"/>
          </w:tcPr>
          <w:p w14:paraId="0EF43F77" w14:textId="77777777" w:rsidR="009B0FCC" w:rsidRDefault="009B0FCC" w:rsidP="00721F16">
            <w:pPr>
              <w:spacing w:beforeAutospacing="1" w:afterAutospacing="1"/>
              <w:jc w:val="right"/>
            </w:pPr>
            <w:r>
              <w:rPr>
                <w:color w:val="000000"/>
              </w:rPr>
              <w:t>191</w:t>
            </w:r>
          </w:p>
        </w:tc>
        <w:tc>
          <w:tcPr>
            <w:tcW w:w="1997" w:type="dxa"/>
            <w:vAlign w:val="bottom"/>
          </w:tcPr>
          <w:p w14:paraId="4B337C31" w14:textId="77777777" w:rsidR="009B0FCC" w:rsidRDefault="009B0FCC" w:rsidP="00721F16">
            <w:pPr>
              <w:spacing w:beforeAutospacing="1" w:afterAutospacing="1"/>
              <w:jc w:val="right"/>
            </w:pPr>
            <w:r>
              <w:rPr>
                <w:color w:val="000000"/>
              </w:rPr>
              <w:t>1,191</w:t>
            </w:r>
          </w:p>
        </w:tc>
        <w:tc>
          <w:tcPr>
            <w:tcW w:w="1997" w:type="dxa"/>
            <w:vAlign w:val="bottom"/>
          </w:tcPr>
          <w:p w14:paraId="113033FA" w14:textId="77777777" w:rsidR="009B0FCC" w:rsidRDefault="009B0FCC" w:rsidP="00721F16">
            <w:pPr>
              <w:spacing w:beforeAutospacing="1" w:afterAutospacing="1"/>
              <w:jc w:val="right"/>
            </w:pPr>
            <w:r>
              <w:rPr>
                <w:color w:val="000000"/>
              </w:rPr>
              <w:t>0</w:t>
            </w:r>
          </w:p>
        </w:tc>
      </w:tr>
      <w:tr w:rsidR="009B0FCC" w14:paraId="5B95F78D" w14:textId="77777777" w:rsidTr="00721F16">
        <w:trPr>
          <w:cantSplit/>
        </w:trPr>
        <w:tc>
          <w:tcPr>
            <w:tcW w:w="3600" w:type="dxa"/>
          </w:tcPr>
          <w:p w14:paraId="1217AABF" w14:textId="77777777" w:rsidR="009B0FCC" w:rsidRDefault="009B0FCC" w:rsidP="00721F16">
            <w:pPr>
              <w:spacing w:beforeAutospacing="1" w:afterAutospacing="1"/>
            </w:pPr>
            <w:r>
              <w:rPr>
                <w:color w:val="000000"/>
              </w:rPr>
              <w:t>Pacific Islander</w:t>
            </w:r>
          </w:p>
        </w:tc>
        <w:tc>
          <w:tcPr>
            <w:tcW w:w="1996" w:type="dxa"/>
            <w:vAlign w:val="bottom"/>
          </w:tcPr>
          <w:p w14:paraId="30FE25A6" w14:textId="77777777" w:rsidR="009B0FCC" w:rsidRDefault="009B0FCC" w:rsidP="00721F16">
            <w:pPr>
              <w:spacing w:beforeAutospacing="1" w:afterAutospacing="1"/>
              <w:jc w:val="right"/>
            </w:pPr>
            <w:r>
              <w:rPr>
                <w:color w:val="000000"/>
              </w:rPr>
              <w:t>8</w:t>
            </w:r>
          </w:p>
        </w:tc>
        <w:tc>
          <w:tcPr>
            <w:tcW w:w="1997" w:type="dxa"/>
            <w:vAlign w:val="bottom"/>
          </w:tcPr>
          <w:p w14:paraId="20F7227E" w14:textId="77777777" w:rsidR="009B0FCC" w:rsidRDefault="009B0FCC" w:rsidP="00721F16">
            <w:pPr>
              <w:spacing w:beforeAutospacing="1" w:afterAutospacing="1"/>
              <w:jc w:val="right"/>
            </w:pPr>
            <w:r>
              <w:rPr>
                <w:color w:val="000000"/>
              </w:rPr>
              <w:t>150</w:t>
            </w:r>
          </w:p>
        </w:tc>
        <w:tc>
          <w:tcPr>
            <w:tcW w:w="1997" w:type="dxa"/>
            <w:vAlign w:val="bottom"/>
          </w:tcPr>
          <w:p w14:paraId="43F2FB0D" w14:textId="77777777" w:rsidR="009B0FCC" w:rsidRDefault="009B0FCC" w:rsidP="00721F16">
            <w:pPr>
              <w:spacing w:beforeAutospacing="1" w:afterAutospacing="1"/>
              <w:jc w:val="right"/>
            </w:pPr>
            <w:r>
              <w:rPr>
                <w:color w:val="000000"/>
              </w:rPr>
              <w:t>0</w:t>
            </w:r>
          </w:p>
        </w:tc>
      </w:tr>
      <w:tr w:rsidR="009B0FCC" w14:paraId="33243224" w14:textId="77777777" w:rsidTr="00721F16">
        <w:trPr>
          <w:cantSplit/>
        </w:trPr>
        <w:tc>
          <w:tcPr>
            <w:tcW w:w="3600" w:type="dxa"/>
          </w:tcPr>
          <w:p w14:paraId="2346CBDE" w14:textId="77777777" w:rsidR="009B0FCC" w:rsidRDefault="009B0FCC" w:rsidP="00721F16">
            <w:pPr>
              <w:spacing w:beforeAutospacing="1" w:afterAutospacing="1"/>
            </w:pPr>
            <w:r>
              <w:rPr>
                <w:color w:val="000000"/>
              </w:rPr>
              <w:t>Hispanic</w:t>
            </w:r>
          </w:p>
        </w:tc>
        <w:tc>
          <w:tcPr>
            <w:tcW w:w="1996" w:type="dxa"/>
            <w:vAlign w:val="bottom"/>
          </w:tcPr>
          <w:p w14:paraId="6E07CFD9" w14:textId="77777777" w:rsidR="009B0FCC" w:rsidRDefault="009B0FCC" w:rsidP="00721F16">
            <w:pPr>
              <w:spacing w:beforeAutospacing="1" w:afterAutospacing="1"/>
              <w:jc w:val="right"/>
            </w:pPr>
            <w:r>
              <w:rPr>
                <w:color w:val="000000"/>
              </w:rPr>
              <w:t>1,961</w:t>
            </w:r>
          </w:p>
        </w:tc>
        <w:tc>
          <w:tcPr>
            <w:tcW w:w="1997" w:type="dxa"/>
            <w:vAlign w:val="bottom"/>
          </w:tcPr>
          <w:p w14:paraId="3CBDAD9F" w14:textId="77777777" w:rsidR="009B0FCC" w:rsidRDefault="009B0FCC" w:rsidP="00721F16">
            <w:pPr>
              <w:spacing w:beforeAutospacing="1" w:afterAutospacing="1"/>
              <w:jc w:val="right"/>
            </w:pPr>
            <w:r>
              <w:rPr>
                <w:color w:val="000000"/>
              </w:rPr>
              <w:t>10,945</w:t>
            </w:r>
          </w:p>
        </w:tc>
        <w:tc>
          <w:tcPr>
            <w:tcW w:w="1997" w:type="dxa"/>
            <w:vAlign w:val="bottom"/>
          </w:tcPr>
          <w:p w14:paraId="53BA74EB" w14:textId="77777777" w:rsidR="009B0FCC" w:rsidRDefault="009B0FCC" w:rsidP="00721F16">
            <w:pPr>
              <w:spacing w:beforeAutospacing="1" w:afterAutospacing="1"/>
              <w:jc w:val="right"/>
            </w:pPr>
            <w:r>
              <w:rPr>
                <w:color w:val="000000"/>
              </w:rPr>
              <w:t>0</w:t>
            </w:r>
          </w:p>
        </w:tc>
      </w:tr>
    </w:tbl>
    <w:p w14:paraId="0EA44F98"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Severe Housing Problems 50 - 80%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3449FBA8" w14:textId="77777777" w:rsidTr="00721F16">
        <w:trPr>
          <w:cantSplit/>
        </w:trPr>
        <w:tc>
          <w:tcPr>
            <w:tcW w:w="1080" w:type="dxa"/>
          </w:tcPr>
          <w:p w14:paraId="508E3CC1" w14:textId="77777777" w:rsidR="009B0FCC" w:rsidRDefault="009B0FCC" w:rsidP="00721F16">
            <w:pPr>
              <w:spacing w:after="0" w:line="240" w:lineRule="auto"/>
              <w:rPr>
                <w:sz w:val="16"/>
                <w:szCs w:val="16"/>
              </w:rPr>
            </w:pPr>
            <w:r>
              <w:rPr>
                <w:b/>
                <w:bCs/>
                <w:sz w:val="16"/>
                <w:szCs w:val="16"/>
              </w:rPr>
              <w:t>Data Source:</w:t>
            </w:r>
          </w:p>
        </w:tc>
        <w:tc>
          <w:tcPr>
            <w:tcW w:w="8510" w:type="dxa"/>
          </w:tcPr>
          <w:p w14:paraId="7BBD9D57" w14:textId="77777777" w:rsidR="009B0FCC" w:rsidRDefault="009B0FCC" w:rsidP="00721F16">
            <w:pPr>
              <w:spacing w:beforeAutospacing="1" w:afterAutospacing="1"/>
              <w:rPr>
                <w:sz w:val="16"/>
                <w:szCs w:val="16"/>
              </w:rPr>
            </w:pPr>
            <w:r>
              <w:rPr>
                <w:rFonts w:cs="Arial"/>
                <w:sz w:val="16"/>
                <w:szCs w:val="16"/>
              </w:rPr>
              <w:t>2016-2020 CHAS</w:t>
            </w:r>
          </w:p>
        </w:tc>
      </w:tr>
    </w:tbl>
    <w:p w14:paraId="154828FC" w14:textId="77777777" w:rsidR="009B0FCC" w:rsidRDefault="009B0FCC" w:rsidP="009B0FCC">
      <w:pPr>
        <w:spacing w:after="0" w:line="240" w:lineRule="auto"/>
        <w:rPr>
          <w:vanish/>
        </w:rPr>
      </w:pPr>
    </w:p>
    <w:p w14:paraId="0C5913EE" w14:textId="77777777" w:rsidR="009B0FCC" w:rsidRDefault="009B0FCC" w:rsidP="009B0FCC">
      <w:pPr>
        <w:spacing w:after="0" w:line="240" w:lineRule="auto"/>
        <w:rPr>
          <w:b/>
          <w:bCs/>
          <w:vanish/>
          <w:sz w:val="16"/>
          <w:szCs w:val="16"/>
        </w:rPr>
      </w:pPr>
    </w:p>
    <w:p w14:paraId="505E56C5" w14:textId="77777777" w:rsidR="009B0FCC" w:rsidRDefault="009B0FCC" w:rsidP="009B0FCC">
      <w:pPr>
        <w:spacing w:after="0" w:line="240" w:lineRule="auto"/>
      </w:pPr>
    </w:p>
    <w:p w14:paraId="4E339E14" w14:textId="77777777" w:rsidR="009B0FCC" w:rsidRDefault="009B0FCC" w:rsidP="009B0FCC">
      <w:pPr>
        <w:spacing w:after="0" w:line="240" w:lineRule="auto"/>
      </w:pPr>
      <w:r>
        <w:t xml:space="preserve">*The four severe housing problems are: </w:t>
      </w:r>
    </w:p>
    <w:p w14:paraId="2D444F4A" w14:textId="0EF37CF3" w:rsidR="009B0FCC" w:rsidRDefault="009B0FCC" w:rsidP="009B0FCC">
      <w:pPr>
        <w:spacing w:after="0" w:line="240" w:lineRule="auto"/>
      </w:pPr>
      <w:r>
        <w:t>1. Lacks complete kitchen facilities, 2. Lacks complete plumbing facilities, 3. More than 1.5 persons per room, 4.</w:t>
      </w:r>
      <w:r w:rsidR="1ED9A376">
        <w:t xml:space="preserve"> </w:t>
      </w:r>
      <w:r>
        <w:t xml:space="preserve">Cost Burden over 50% </w:t>
      </w:r>
    </w:p>
    <w:p w14:paraId="30A2A48C" w14:textId="77777777" w:rsidR="009B0FCC" w:rsidRDefault="009B0FCC" w:rsidP="009B0FCC">
      <w:pPr>
        <w:spacing w:after="0" w:line="240" w:lineRule="auto"/>
      </w:pPr>
    </w:p>
    <w:p w14:paraId="6A8F6074" w14:textId="77777777" w:rsidR="009B0FCC" w:rsidRDefault="009B0FCC" w:rsidP="009B0FCC">
      <w:pPr>
        <w:spacing w:after="0" w:line="240" w:lineRule="auto"/>
      </w:pPr>
    </w:p>
    <w:p w14:paraId="19743AED" w14:textId="77777777" w:rsidR="009B0FCC" w:rsidRDefault="009B0FCC" w:rsidP="009B0FCC">
      <w:pPr>
        <w:keepNext/>
        <w:widowControl w:val="0"/>
        <w:rPr>
          <w:b/>
          <w:sz w:val="24"/>
          <w:szCs w:val="24"/>
        </w:rPr>
      </w:pPr>
      <w:r>
        <w:rPr>
          <w:b/>
          <w:sz w:val="24"/>
          <w:szCs w:val="24"/>
        </w:rPr>
        <w:lastRenderedPageBreak/>
        <w:t>80%-100% of Area Median Income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9B0FCC" w14:paraId="3EFA20BC" w14:textId="77777777" w:rsidTr="00721F16">
        <w:trPr>
          <w:cantSplit/>
          <w:tblHeader/>
        </w:trPr>
        <w:tc>
          <w:tcPr>
            <w:tcW w:w="3600" w:type="dxa"/>
          </w:tcPr>
          <w:p w14:paraId="1B056872" w14:textId="77777777" w:rsidR="009B0FCC" w:rsidRDefault="009B0FCC" w:rsidP="00721F16">
            <w:pPr>
              <w:keepNext/>
              <w:widowControl w:val="0"/>
              <w:spacing w:after="0" w:line="240" w:lineRule="auto"/>
              <w:jc w:val="center"/>
              <w:rPr>
                <w:b/>
              </w:rPr>
            </w:pPr>
            <w:r>
              <w:rPr>
                <w:b/>
                <w:bCs/>
              </w:rPr>
              <w:t>Severe Housing Problems*</w:t>
            </w:r>
          </w:p>
        </w:tc>
        <w:tc>
          <w:tcPr>
            <w:tcW w:w="1996" w:type="dxa"/>
          </w:tcPr>
          <w:p w14:paraId="3984A8CB" w14:textId="77777777" w:rsidR="009B0FCC" w:rsidRDefault="009B0FCC" w:rsidP="00721F16">
            <w:pPr>
              <w:keepNext/>
              <w:widowControl w:val="0"/>
              <w:spacing w:after="0" w:line="240" w:lineRule="auto"/>
              <w:jc w:val="center"/>
              <w:rPr>
                <w:b/>
              </w:rPr>
            </w:pPr>
            <w:r>
              <w:rPr>
                <w:b/>
                <w:bCs/>
              </w:rPr>
              <w:t>Has one or more of four housing problems</w:t>
            </w:r>
          </w:p>
        </w:tc>
        <w:tc>
          <w:tcPr>
            <w:tcW w:w="1997" w:type="dxa"/>
          </w:tcPr>
          <w:p w14:paraId="314C433F" w14:textId="77777777" w:rsidR="009B0FCC" w:rsidRDefault="009B0FCC" w:rsidP="00721F16">
            <w:pPr>
              <w:keepNext/>
              <w:widowControl w:val="0"/>
              <w:spacing w:after="0" w:line="240" w:lineRule="auto"/>
              <w:jc w:val="center"/>
              <w:rPr>
                <w:b/>
              </w:rPr>
            </w:pPr>
            <w:r>
              <w:rPr>
                <w:b/>
                <w:bCs/>
              </w:rPr>
              <w:t>Has none of the four housing problems</w:t>
            </w:r>
          </w:p>
        </w:tc>
        <w:tc>
          <w:tcPr>
            <w:tcW w:w="1997" w:type="dxa"/>
          </w:tcPr>
          <w:p w14:paraId="55BC9703" w14:textId="77777777" w:rsidR="009B0FCC" w:rsidRDefault="009B0FCC" w:rsidP="00721F16">
            <w:pPr>
              <w:keepNext/>
              <w:widowControl w:val="0"/>
              <w:spacing w:after="0" w:line="240" w:lineRule="auto"/>
              <w:jc w:val="center"/>
              <w:rPr>
                <w:b/>
              </w:rPr>
            </w:pPr>
            <w:r>
              <w:rPr>
                <w:b/>
                <w:bCs/>
              </w:rPr>
              <w:t>Household has no/negative income, but none of the other housing problems</w:t>
            </w:r>
          </w:p>
        </w:tc>
      </w:tr>
      <w:tr w:rsidR="009B0FCC" w14:paraId="4BB09D52" w14:textId="77777777" w:rsidTr="00721F16">
        <w:trPr>
          <w:cantSplit/>
        </w:trPr>
        <w:tc>
          <w:tcPr>
            <w:tcW w:w="3600" w:type="dxa"/>
          </w:tcPr>
          <w:p w14:paraId="1CC6B38D" w14:textId="77777777" w:rsidR="009B0FCC" w:rsidRDefault="009B0FCC" w:rsidP="00721F16">
            <w:pPr>
              <w:spacing w:beforeAutospacing="1" w:afterAutospacing="1"/>
            </w:pPr>
            <w:r>
              <w:rPr>
                <w:color w:val="000000"/>
              </w:rPr>
              <w:t>Jurisdiction as a whole</w:t>
            </w:r>
          </w:p>
        </w:tc>
        <w:tc>
          <w:tcPr>
            <w:tcW w:w="1996" w:type="dxa"/>
            <w:vAlign w:val="bottom"/>
          </w:tcPr>
          <w:p w14:paraId="0DE2E73E" w14:textId="77777777" w:rsidR="009B0FCC" w:rsidRDefault="009B0FCC" w:rsidP="00721F16">
            <w:pPr>
              <w:spacing w:beforeAutospacing="1" w:afterAutospacing="1"/>
              <w:jc w:val="right"/>
            </w:pPr>
            <w:r>
              <w:rPr>
                <w:color w:val="000000"/>
              </w:rPr>
              <w:t>3,648</w:t>
            </w:r>
          </w:p>
        </w:tc>
        <w:tc>
          <w:tcPr>
            <w:tcW w:w="1997" w:type="dxa"/>
            <w:vAlign w:val="bottom"/>
          </w:tcPr>
          <w:p w14:paraId="54CDDFC8" w14:textId="77777777" w:rsidR="009B0FCC" w:rsidRDefault="009B0FCC" w:rsidP="00721F16">
            <w:pPr>
              <w:spacing w:beforeAutospacing="1" w:afterAutospacing="1"/>
              <w:jc w:val="right"/>
            </w:pPr>
            <w:r>
              <w:rPr>
                <w:color w:val="000000"/>
              </w:rPr>
              <w:t>63,835</w:t>
            </w:r>
          </w:p>
        </w:tc>
        <w:tc>
          <w:tcPr>
            <w:tcW w:w="1997" w:type="dxa"/>
            <w:vAlign w:val="bottom"/>
          </w:tcPr>
          <w:p w14:paraId="790EE693" w14:textId="77777777" w:rsidR="009B0FCC" w:rsidRDefault="009B0FCC" w:rsidP="00721F16">
            <w:pPr>
              <w:spacing w:beforeAutospacing="1" w:afterAutospacing="1"/>
              <w:jc w:val="right"/>
            </w:pPr>
            <w:r>
              <w:rPr>
                <w:color w:val="000000"/>
              </w:rPr>
              <w:t>0</w:t>
            </w:r>
          </w:p>
        </w:tc>
      </w:tr>
      <w:tr w:rsidR="009B0FCC" w14:paraId="5674E39A" w14:textId="77777777" w:rsidTr="00721F16">
        <w:trPr>
          <w:cantSplit/>
        </w:trPr>
        <w:tc>
          <w:tcPr>
            <w:tcW w:w="3600" w:type="dxa"/>
          </w:tcPr>
          <w:p w14:paraId="51903FCF" w14:textId="77777777" w:rsidR="009B0FCC" w:rsidRDefault="009B0FCC" w:rsidP="00721F16">
            <w:pPr>
              <w:spacing w:beforeAutospacing="1" w:afterAutospacing="1"/>
            </w:pPr>
            <w:r>
              <w:rPr>
                <w:color w:val="000000"/>
              </w:rPr>
              <w:t>White</w:t>
            </w:r>
          </w:p>
        </w:tc>
        <w:tc>
          <w:tcPr>
            <w:tcW w:w="1996" w:type="dxa"/>
            <w:vAlign w:val="bottom"/>
          </w:tcPr>
          <w:p w14:paraId="25ECCD0E" w14:textId="77777777" w:rsidR="009B0FCC" w:rsidRDefault="009B0FCC" w:rsidP="00721F16">
            <w:pPr>
              <w:spacing w:beforeAutospacing="1" w:afterAutospacing="1"/>
              <w:jc w:val="right"/>
            </w:pPr>
            <w:r>
              <w:rPr>
                <w:color w:val="000000"/>
              </w:rPr>
              <w:t>2,941</w:t>
            </w:r>
          </w:p>
        </w:tc>
        <w:tc>
          <w:tcPr>
            <w:tcW w:w="1997" w:type="dxa"/>
            <w:vAlign w:val="bottom"/>
          </w:tcPr>
          <w:p w14:paraId="0883584C" w14:textId="77777777" w:rsidR="009B0FCC" w:rsidRDefault="009B0FCC" w:rsidP="00721F16">
            <w:pPr>
              <w:spacing w:beforeAutospacing="1" w:afterAutospacing="1"/>
              <w:jc w:val="right"/>
            </w:pPr>
            <w:r>
              <w:rPr>
                <w:color w:val="000000"/>
              </w:rPr>
              <w:t>55,908</w:t>
            </w:r>
          </w:p>
        </w:tc>
        <w:tc>
          <w:tcPr>
            <w:tcW w:w="1997" w:type="dxa"/>
            <w:vAlign w:val="bottom"/>
          </w:tcPr>
          <w:p w14:paraId="31DF16A7" w14:textId="77777777" w:rsidR="009B0FCC" w:rsidRDefault="009B0FCC" w:rsidP="00721F16">
            <w:pPr>
              <w:spacing w:beforeAutospacing="1" w:afterAutospacing="1"/>
              <w:jc w:val="right"/>
            </w:pPr>
            <w:r>
              <w:rPr>
                <w:color w:val="000000"/>
              </w:rPr>
              <w:t>0</w:t>
            </w:r>
          </w:p>
        </w:tc>
      </w:tr>
      <w:tr w:rsidR="009B0FCC" w14:paraId="347B30FF" w14:textId="77777777" w:rsidTr="00721F16">
        <w:trPr>
          <w:cantSplit/>
        </w:trPr>
        <w:tc>
          <w:tcPr>
            <w:tcW w:w="3600" w:type="dxa"/>
          </w:tcPr>
          <w:p w14:paraId="5D4C6A1A" w14:textId="77777777" w:rsidR="009B0FCC" w:rsidRDefault="009B0FCC" w:rsidP="00721F16">
            <w:pPr>
              <w:spacing w:beforeAutospacing="1" w:afterAutospacing="1"/>
            </w:pPr>
            <w:r>
              <w:rPr>
                <w:color w:val="000000"/>
              </w:rPr>
              <w:t>Black / African American</w:t>
            </w:r>
          </w:p>
        </w:tc>
        <w:tc>
          <w:tcPr>
            <w:tcW w:w="1996" w:type="dxa"/>
            <w:vAlign w:val="bottom"/>
          </w:tcPr>
          <w:p w14:paraId="578F5B82" w14:textId="77777777" w:rsidR="009B0FCC" w:rsidRDefault="009B0FCC" w:rsidP="00721F16">
            <w:pPr>
              <w:spacing w:beforeAutospacing="1" w:afterAutospacing="1"/>
              <w:jc w:val="right"/>
            </w:pPr>
            <w:r>
              <w:rPr>
                <w:color w:val="000000"/>
              </w:rPr>
              <w:t>0</w:t>
            </w:r>
          </w:p>
        </w:tc>
        <w:tc>
          <w:tcPr>
            <w:tcW w:w="1997" w:type="dxa"/>
            <w:vAlign w:val="bottom"/>
          </w:tcPr>
          <w:p w14:paraId="31B671EE" w14:textId="77777777" w:rsidR="009B0FCC" w:rsidRDefault="009B0FCC" w:rsidP="00721F16">
            <w:pPr>
              <w:spacing w:beforeAutospacing="1" w:afterAutospacing="1"/>
              <w:jc w:val="right"/>
            </w:pPr>
            <w:r>
              <w:rPr>
                <w:color w:val="000000"/>
              </w:rPr>
              <w:t>189</w:t>
            </w:r>
          </w:p>
        </w:tc>
        <w:tc>
          <w:tcPr>
            <w:tcW w:w="1997" w:type="dxa"/>
            <w:vAlign w:val="bottom"/>
          </w:tcPr>
          <w:p w14:paraId="3F3D79EC" w14:textId="77777777" w:rsidR="009B0FCC" w:rsidRDefault="009B0FCC" w:rsidP="00721F16">
            <w:pPr>
              <w:spacing w:beforeAutospacing="1" w:afterAutospacing="1"/>
              <w:jc w:val="right"/>
            </w:pPr>
            <w:r>
              <w:rPr>
                <w:color w:val="000000"/>
              </w:rPr>
              <w:t>0</w:t>
            </w:r>
          </w:p>
        </w:tc>
      </w:tr>
      <w:tr w:rsidR="009B0FCC" w14:paraId="369B98BA" w14:textId="77777777" w:rsidTr="00721F16">
        <w:trPr>
          <w:cantSplit/>
        </w:trPr>
        <w:tc>
          <w:tcPr>
            <w:tcW w:w="3600" w:type="dxa"/>
          </w:tcPr>
          <w:p w14:paraId="75136D71" w14:textId="77777777" w:rsidR="009B0FCC" w:rsidRDefault="009B0FCC" w:rsidP="00721F16">
            <w:pPr>
              <w:spacing w:beforeAutospacing="1" w:afterAutospacing="1"/>
            </w:pPr>
            <w:r>
              <w:rPr>
                <w:color w:val="000000"/>
              </w:rPr>
              <w:t>Asian</w:t>
            </w:r>
          </w:p>
        </w:tc>
        <w:tc>
          <w:tcPr>
            <w:tcW w:w="1996" w:type="dxa"/>
            <w:vAlign w:val="bottom"/>
          </w:tcPr>
          <w:p w14:paraId="055A7AD8" w14:textId="77777777" w:rsidR="009B0FCC" w:rsidRDefault="009B0FCC" w:rsidP="00721F16">
            <w:pPr>
              <w:spacing w:beforeAutospacing="1" w:afterAutospacing="1"/>
              <w:jc w:val="right"/>
            </w:pPr>
            <w:r>
              <w:rPr>
                <w:color w:val="000000"/>
              </w:rPr>
              <w:t>94</w:t>
            </w:r>
          </w:p>
        </w:tc>
        <w:tc>
          <w:tcPr>
            <w:tcW w:w="1997" w:type="dxa"/>
            <w:vAlign w:val="bottom"/>
          </w:tcPr>
          <w:p w14:paraId="7B276E6E" w14:textId="77777777" w:rsidR="009B0FCC" w:rsidRDefault="009B0FCC" w:rsidP="00721F16">
            <w:pPr>
              <w:spacing w:beforeAutospacing="1" w:afterAutospacing="1"/>
              <w:jc w:val="right"/>
            </w:pPr>
            <w:r>
              <w:rPr>
                <w:color w:val="000000"/>
              </w:rPr>
              <w:t>578</w:t>
            </w:r>
          </w:p>
        </w:tc>
        <w:tc>
          <w:tcPr>
            <w:tcW w:w="1997" w:type="dxa"/>
            <w:vAlign w:val="bottom"/>
          </w:tcPr>
          <w:p w14:paraId="32C47A7B" w14:textId="77777777" w:rsidR="009B0FCC" w:rsidRDefault="009B0FCC" w:rsidP="00721F16">
            <w:pPr>
              <w:spacing w:beforeAutospacing="1" w:afterAutospacing="1"/>
              <w:jc w:val="right"/>
            </w:pPr>
            <w:r>
              <w:rPr>
                <w:color w:val="000000"/>
              </w:rPr>
              <w:t>0</w:t>
            </w:r>
          </w:p>
        </w:tc>
      </w:tr>
      <w:tr w:rsidR="009B0FCC" w14:paraId="7462254D" w14:textId="77777777" w:rsidTr="00721F16">
        <w:trPr>
          <w:cantSplit/>
        </w:trPr>
        <w:tc>
          <w:tcPr>
            <w:tcW w:w="3600" w:type="dxa"/>
          </w:tcPr>
          <w:p w14:paraId="0A3EDB75" w14:textId="77777777" w:rsidR="009B0FCC" w:rsidRDefault="009B0FCC" w:rsidP="00721F16">
            <w:pPr>
              <w:spacing w:beforeAutospacing="1" w:afterAutospacing="1"/>
            </w:pPr>
            <w:r>
              <w:rPr>
                <w:color w:val="000000"/>
              </w:rPr>
              <w:t>American Indian, Alaska Native</w:t>
            </w:r>
          </w:p>
        </w:tc>
        <w:tc>
          <w:tcPr>
            <w:tcW w:w="1996" w:type="dxa"/>
            <w:vAlign w:val="bottom"/>
          </w:tcPr>
          <w:p w14:paraId="2875E0B6" w14:textId="77777777" w:rsidR="009B0FCC" w:rsidRDefault="009B0FCC" w:rsidP="00721F16">
            <w:pPr>
              <w:spacing w:beforeAutospacing="1" w:afterAutospacing="1"/>
              <w:jc w:val="right"/>
            </w:pPr>
            <w:r>
              <w:rPr>
                <w:color w:val="000000"/>
              </w:rPr>
              <w:t>69</w:t>
            </w:r>
          </w:p>
        </w:tc>
        <w:tc>
          <w:tcPr>
            <w:tcW w:w="1997" w:type="dxa"/>
            <w:vAlign w:val="bottom"/>
          </w:tcPr>
          <w:p w14:paraId="4D3A6B5A" w14:textId="77777777" w:rsidR="009B0FCC" w:rsidRDefault="009B0FCC" w:rsidP="00721F16">
            <w:pPr>
              <w:spacing w:beforeAutospacing="1" w:afterAutospacing="1"/>
              <w:jc w:val="right"/>
            </w:pPr>
            <w:r>
              <w:rPr>
                <w:color w:val="000000"/>
              </w:rPr>
              <w:t>519</w:t>
            </w:r>
          </w:p>
        </w:tc>
        <w:tc>
          <w:tcPr>
            <w:tcW w:w="1997" w:type="dxa"/>
            <w:vAlign w:val="bottom"/>
          </w:tcPr>
          <w:p w14:paraId="55352F3D" w14:textId="77777777" w:rsidR="009B0FCC" w:rsidRDefault="009B0FCC" w:rsidP="00721F16">
            <w:pPr>
              <w:spacing w:beforeAutospacing="1" w:afterAutospacing="1"/>
              <w:jc w:val="right"/>
            </w:pPr>
            <w:r>
              <w:rPr>
                <w:color w:val="000000"/>
              </w:rPr>
              <w:t>0</w:t>
            </w:r>
          </w:p>
        </w:tc>
      </w:tr>
      <w:tr w:rsidR="009B0FCC" w14:paraId="44753FBE" w14:textId="77777777" w:rsidTr="00721F16">
        <w:trPr>
          <w:cantSplit/>
        </w:trPr>
        <w:tc>
          <w:tcPr>
            <w:tcW w:w="3600" w:type="dxa"/>
          </w:tcPr>
          <w:p w14:paraId="743DFB9F" w14:textId="77777777" w:rsidR="009B0FCC" w:rsidRDefault="009B0FCC" w:rsidP="00721F16">
            <w:pPr>
              <w:spacing w:beforeAutospacing="1" w:afterAutospacing="1"/>
            </w:pPr>
            <w:r>
              <w:rPr>
                <w:color w:val="000000"/>
              </w:rPr>
              <w:t>Pacific Islander</w:t>
            </w:r>
          </w:p>
        </w:tc>
        <w:tc>
          <w:tcPr>
            <w:tcW w:w="1996" w:type="dxa"/>
            <w:vAlign w:val="bottom"/>
          </w:tcPr>
          <w:p w14:paraId="08EAFE52" w14:textId="77777777" w:rsidR="009B0FCC" w:rsidRDefault="009B0FCC" w:rsidP="00721F16">
            <w:pPr>
              <w:spacing w:beforeAutospacing="1" w:afterAutospacing="1"/>
              <w:jc w:val="right"/>
            </w:pPr>
            <w:r>
              <w:rPr>
                <w:color w:val="000000"/>
              </w:rPr>
              <w:t>0</w:t>
            </w:r>
          </w:p>
        </w:tc>
        <w:tc>
          <w:tcPr>
            <w:tcW w:w="1997" w:type="dxa"/>
            <w:vAlign w:val="bottom"/>
          </w:tcPr>
          <w:p w14:paraId="3A2B577F" w14:textId="77777777" w:rsidR="009B0FCC" w:rsidRDefault="009B0FCC" w:rsidP="00721F16">
            <w:pPr>
              <w:spacing w:beforeAutospacing="1" w:afterAutospacing="1"/>
              <w:jc w:val="right"/>
            </w:pPr>
            <w:r>
              <w:rPr>
                <w:color w:val="000000"/>
              </w:rPr>
              <w:t>14</w:t>
            </w:r>
          </w:p>
        </w:tc>
        <w:tc>
          <w:tcPr>
            <w:tcW w:w="1997" w:type="dxa"/>
            <w:vAlign w:val="bottom"/>
          </w:tcPr>
          <w:p w14:paraId="2BC87675" w14:textId="77777777" w:rsidR="009B0FCC" w:rsidRDefault="009B0FCC" w:rsidP="00721F16">
            <w:pPr>
              <w:spacing w:beforeAutospacing="1" w:afterAutospacing="1"/>
              <w:jc w:val="right"/>
            </w:pPr>
            <w:r>
              <w:rPr>
                <w:color w:val="000000"/>
              </w:rPr>
              <w:t>0</w:t>
            </w:r>
          </w:p>
        </w:tc>
      </w:tr>
      <w:tr w:rsidR="009B0FCC" w14:paraId="29C70F39" w14:textId="77777777" w:rsidTr="00721F16">
        <w:trPr>
          <w:cantSplit/>
        </w:trPr>
        <w:tc>
          <w:tcPr>
            <w:tcW w:w="3600" w:type="dxa"/>
          </w:tcPr>
          <w:p w14:paraId="611B42AC" w14:textId="77777777" w:rsidR="009B0FCC" w:rsidRDefault="009B0FCC" w:rsidP="00721F16">
            <w:pPr>
              <w:spacing w:beforeAutospacing="1" w:afterAutospacing="1"/>
            </w:pPr>
            <w:r>
              <w:rPr>
                <w:color w:val="000000"/>
              </w:rPr>
              <w:t>Hispanic</w:t>
            </w:r>
          </w:p>
        </w:tc>
        <w:tc>
          <w:tcPr>
            <w:tcW w:w="1996" w:type="dxa"/>
            <w:vAlign w:val="bottom"/>
          </w:tcPr>
          <w:p w14:paraId="6DD9BAD7" w14:textId="77777777" w:rsidR="009B0FCC" w:rsidRDefault="009B0FCC" w:rsidP="00721F16">
            <w:pPr>
              <w:spacing w:beforeAutospacing="1" w:afterAutospacing="1"/>
              <w:jc w:val="right"/>
            </w:pPr>
            <w:r>
              <w:rPr>
                <w:color w:val="000000"/>
              </w:rPr>
              <w:t>484</w:t>
            </w:r>
          </w:p>
        </w:tc>
        <w:tc>
          <w:tcPr>
            <w:tcW w:w="1997" w:type="dxa"/>
            <w:vAlign w:val="bottom"/>
          </w:tcPr>
          <w:p w14:paraId="54E1BBB2" w14:textId="77777777" w:rsidR="009B0FCC" w:rsidRDefault="009B0FCC" w:rsidP="00721F16">
            <w:pPr>
              <w:spacing w:beforeAutospacing="1" w:afterAutospacing="1"/>
              <w:jc w:val="right"/>
            </w:pPr>
            <w:r>
              <w:rPr>
                <w:color w:val="000000"/>
              </w:rPr>
              <w:t>5,867</w:t>
            </w:r>
          </w:p>
        </w:tc>
        <w:tc>
          <w:tcPr>
            <w:tcW w:w="1997" w:type="dxa"/>
            <w:vAlign w:val="bottom"/>
          </w:tcPr>
          <w:p w14:paraId="72EA8396" w14:textId="77777777" w:rsidR="009B0FCC" w:rsidRDefault="009B0FCC" w:rsidP="00721F16">
            <w:pPr>
              <w:spacing w:beforeAutospacing="1" w:afterAutospacing="1"/>
              <w:jc w:val="right"/>
            </w:pPr>
            <w:r>
              <w:rPr>
                <w:color w:val="000000"/>
              </w:rPr>
              <w:t>0</w:t>
            </w:r>
          </w:p>
        </w:tc>
      </w:tr>
    </w:tbl>
    <w:p w14:paraId="549FCFC1"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Severe Housing Problems 80 - 100%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3F153C3F" w14:textId="77777777" w:rsidTr="00721F16">
        <w:trPr>
          <w:cantSplit/>
        </w:trPr>
        <w:tc>
          <w:tcPr>
            <w:tcW w:w="1080" w:type="dxa"/>
          </w:tcPr>
          <w:p w14:paraId="11F1F4FC" w14:textId="77777777" w:rsidR="009B0FCC" w:rsidRDefault="009B0FCC" w:rsidP="00721F16">
            <w:pPr>
              <w:spacing w:after="0" w:line="240" w:lineRule="auto"/>
              <w:rPr>
                <w:sz w:val="16"/>
                <w:szCs w:val="16"/>
              </w:rPr>
            </w:pPr>
            <w:r>
              <w:rPr>
                <w:b/>
                <w:bCs/>
                <w:sz w:val="16"/>
                <w:szCs w:val="16"/>
              </w:rPr>
              <w:t>Data Source:</w:t>
            </w:r>
          </w:p>
        </w:tc>
        <w:tc>
          <w:tcPr>
            <w:tcW w:w="8510" w:type="dxa"/>
          </w:tcPr>
          <w:p w14:paraId="0A50212C" w14:textId="77777777" w:rsidR="009B0FCC" w:rsidRDefault="009B0FCC" w:rsidP="00721F16">
            <w:pPr>
              <w:spacing w:beforeAutospacing="1" w:afterAutospacing="1"/>
              <w:rPr>
                <w:sz w:val="16"/>
                <w:szCs w:val="16"/>
              </w:rPr>
            </w:pPr>
            <w:r>
              <w:rPr>
                <w:sz w:val="16"/>
                <w:szCs w:val="16"/>
              </w:rPr>
              <w:t>2016-2020 CHAS</w:t>
            </w:r>
          </w:p>
        </w:tc>
      </w:tr>
    </w:tbl>
    <w:p w14:paraId="2CB51D9F" w14:textId="77777777" w:rsidR="009B0FCC" w:rsidRDefault="009B0FCC" w:rsidP="009B0FCC">
      <w:pPr>
        <w:spacing w:after="0" w:line="240" w:lineRule="auto"/>
        <w:rPr>
          <w:vanish/>
        </w:rPr>
      </w:pPr>
    </w:p>
    <w:p w14:paraId="3B3E2358" w14:textId="77777777" w:rsidR="009B0FCC" w:rsidRDefault="009B0FCC" w:rsidP="009B0FCC">
      <w:pPr>
        <w:spacing w:after="0" w:line="240" w:lineRule="auto"/>
        <w:rPr>
          <w:b/>
          <w:bCs/>
          <w:vanish/>
          <w:sz w:val="16"/>
          <w:szCs w:val="16"/>
        </w:rPr>
      </w:pPr>
    </w:p>
    <w:p w14:paraId="59DEC4DA" w14:textId="77777777" w:rsidR="009B0FCC" w:rsidRDefault="009B0FCC" w:rsidP="009B0FCC">
      <w:pPr>
        <w:rPr>
          <w:rFonts w:cs="Arial"/>
          <w:sz w:val="16"/>
          <w:szCs w:val="16"/>
        </w:rPr>
      </w:pPr>
    </w:p>
    <w:p w14:paraId="5232CFE3" w14:textId="77777777" w:rsidR="009B0FCC" w:rsidRDefault="009B0FCC" w:rsidP="009B0FCC">
      <w:pPr>
        <w:spacing w:after="0" w:line="240" w:lineRule="auto"/>
      </w:pPr>
      <w:r>
        <w:t xml:space="preserve">*The four severe housing problems are: </w:t>
      </w:r>
    </w:p>
    <w:p w14:paraId="025E1880" w14:textId="7006B3CD" w:rsidR="009B0FCC" w:rsidRDefault="009B0FCC" w:rsidP="009B0FCC">
      <w:pPr>
        <w:spacing w:after="0" w:line="240" w:lineRule="auto"/>
      </w:pPr>
      <w:r>
        <w:t>1. Lacks complete kitchen facilities, 2. Lacks complete plumbing facilities, 3. More than 1.5 persons per room, 4.</w:t>
      </w:r>
      <w:r w:rsidR="6477530E">
        <w:t xml:space="preserve"> </w:t>
      </w:r>
      <w:r>
        <w:t xml:space="preserve">Cost Burden over 50% </w:t>
      </w:r>
    </w:p>
    <w:p w14:paraId="6EDEA297" w14:textId="77777777" w:rsidR="009B0FCC" w:rsidRDefault="009B0FCC" w:rsidP="009B0FCC">
      <w:pPr>
        <w:spacing w:after="0" w:line="240" w:lineRule="auto"/>
      </w:pPr>
    </w:p>
    <w:p w14:paraId="6E106E9F" w14:textId="77777777" w:rsidR="009B0FCC" w:rsidRDefault="009B0FCC" w:rsidP="009B0FCC">
      <w:pPr>
        <w:spacing w:after="0" w:line="240" w:lineRule="auto"/>
      </w:pPr>
    </w:p>
    <w:p w14:paraId="0770AC99" w14:textId="77777777" w:rsidR="009B0FCC" w:rsidRDefault="009B0FCC" w:rsidP="00294BD0">
      <w:pPr>
        <w:rPr>
          <w:b/>
          <w:sz w:val="24"/>
          <w:szCs w:val="24"/>
        </w:rPr>
      </w:pPr>
      <w:r w:rsidRPr="497B8E2D">
        <w:rPr>
          <w:b/>
          <w:bCs/>
          <w:sz w:val="24"/>
          <w:szCs w:val="24"/>
        </w:rPr>
        <w:t>Discussion</w:t>
      </w:r>
    </w:p>
    <w:p w14:paraId="089A0D2D" w14:textId="77777777" w:rsidR="009B0FCC" w:rsidRDefault="009B0FCC" w:rsidP="00294BD0">
      <w:pPr>
        <w:rPr>
          <w:b/>
          <w:bCs/>
          <w:sz w:val="24"/>
          <w:szCs w:val="24"/>
        </w:rPr>
      </w:pPr>
      <w:r w:rsidRPr="497B8E2D">
        <w:rPr>
          <w:sz w:val="24"/>
          <w:szCs w:val="24"/>
          <w:u w:val="single"/>
        </w:rPr>
        <w:t>0-30% AMI</w:t>
      </w:r>
    </w:p>
    <w:p w14:paraId="18F8358A" w14:textId="77777777" w:rsidR="009B0FCC" w:rsidRDefault="009B0FCC" w:rsidP="00294BD0">
      <w:pPr>
        <w:rPr>
          <w:sz w:val="24"/>
          <w:szCs w:val="24"/>
        </w:rPr>
      </w:pPr>
      <w:r w:rsidRPr="497B8E2D">
        <w:rPr>
          <w:sz w:val="24"/>
          <w:szCs w:val="24"/>
        </w:rPr>
        <w:t>71.02% of households in the State of Idaho with 0-30% AMI experience severe housing problems. No racial or ethnic group has a disproportionately greater need.</w:t>
      </w:r>
    </w:p>
    <w:p w14:paraId="052ABFD6" w14:textId="77777777" w:rsidR="009B0FCC" w:rsidRDefault="009B0FCC" w:rsidP="00294BD0">
      <w:pPr>
        <w:rPr>
          <w:sz w:val="24"/>
          <w:szCs w:val="24"/>
          <w:u w:val="single"/>
        </w:rPr>
      </w:pPr>
      <w:r w:rsidRPr="497B8E2D">
        <w:rPr>
          <w:sz w:val="24"/>
          <w:szCs w:val="24"/>
          <w:u w:val="single"/>
        </w:rPr>
        <w:t>30-50% AMI</w:t>
      </w:r>
    </w:p>
    <w:p w14:paraId="540E19E8" w14:textId="77777777" w:rsidR="009B0FCC" w:rsidRDefault="009B0FCC" w:rsidP="00294BD0">
      <w:pPr>
        <w:rPr>
          <w:sz w:val="24"/>
          <w:szCs w:val="24"/>
        </w:rPr>
      </w:pPr>
      <w:r w:rsidRPr="497B8E2D">
        <w:rPr>
          <w:sz w:val="24"/>
          <w:szCs w:val="24"/>
        </w:rPr>
        <w:t xml:space="preserve">31.97% of households with 30-50% AMI experience severe housing problems. There are three racial groups disproportionately affected by severe housing problems in this category: (1) 44.04% of Black/African American households, (2) 49.04% of Asian households, and (3) 58.33% of Pacific Islander households experience severe housing problems. </w:t>
      </w:r>
    </w:p>
    <w:p w14:paraId="3C04B6B8" w14:textId="77777777" w:rsidR="009B0FCC" w:rsidRDefault="009B0FCC" w:rsidP="00294BD0">
      <w:pPr>
        <w:rPr>
          <w:sz w:val="24"/>
          <w:szCs w:val="24"/>
          <w:u w:val="single"/>
        </w:rPr>
      </w:pPr>
      <w:r w:rsidRPr="497B8E2D">
        <w:rPr>
          <w:sz w:val="24"/>
          <w:szCs w:val="24"/>
          <w:u w:val="single"/>
        </w:rPr>
        <w:t>50-80% AMI</w:t>
      </w:r>
    </w:p>
    <w:p w14:paraId="1BE277BA" w14:textId="77777777" w:rsidR="009B0FCC" w:rsidRDefault="009B0FCC" w:rsidP="00294BD0">
      <w:pPr>
        <w:rPr>
          <w:sz w:val="24"/>
          <w:szCs w:val="24"/>
          <w:u w:val="single"/>
        </w:rPr>
      </w:pPr>
      <w:r w:rsidRPr="497B8E2D">
        <w:rPr>
          <w:sz w:val="24"/>
          <w:szCs w:val="24"/>
        </w:rPr>
        <w:t>11.72% of households in this income range experience severe housing problems. No racial or ethnic group with 50-80% AMI are disproportionately affected.</w:t>
      </w:r>
    </w:p>
    <w:p w14:paraId="5A17EDF7" w14:textId="77777777" w:rsidR="009B0FCC" w:rsidRDefault="009B0FCC" w:rsidP="00294BD0">
      <w:pPr>
        <w:rPr>
          <w:sz w:val="24"/>
          <w:szCs w:val="24"/>
          <w:u w:val="single"/>
        </w:rPr>
      </w:pPr>
      <w:r w:rsidRPr="497B8E2D">
        <w:rPr>
          <w:sz w:val="24"/>
          <w:szCs w:val="24"/>
          <w:u w:val="single"/>
        </w:rPr>
        <w:t>80-100% AMI</w:t>
      </w:r>
    </w:p>
    <w:p w14:paraId="6310FCF0" w14:textId="77777777" w:rsidR="009B0FCC" w:rsidRDefault="009B0FCC" w:rsidP="00294BD0">
      <w:pPr>
        <w:rPr>
          <w:sz w:val="24"/>
          <w:szCs w:val="24"/>
          <w:u w:val="single"/>
        </w:rPr>
      </w:pPr>
      <w:r w:rsidRPr="497B8E2D">
        <w:rPr>
          <w:sz w:val="24"/>
          <w:szCs w:val="24"/>
        </w:rPr>
        <w:lastRenderedPageBreak/>
        <w:t>5.41% of households in this income range experience severe housing problems. No racial or ethnic group are disproportionately affected.</w:t>
      </w:r>
    </w:p>
    <w:p w14:paraId="1DC465B8" w14:textId="77777777" w:rsidR="009B0FCC" w:rsidRDefault="009B0FCC" w:rsidP="009B0FCC">
      <w:pPr>
        <w:pStyle w:val="Heading2"/>
        <w:pageBreakBefore/>
        <w:rPr>
          <w:rFonts w:ascii="Calibri" w:hAnsi="Calibri"/>
          <w:i/>
        </w:rPr>
      </w:pPr>
      <w:bookmarkStart w:id="21" w:name="_Toc194673839"/>
      <w:r>
        <w:rPr>
          <w:rFonts w:ascii="Calibri" w:hAnsi="Calibri"/>
        </w:rPr>
        <w:lastRenderedPageBreak/>
        <w:t>NA-25 Disproportionately Greater Need: Housing Cost Burdens – 91.305 (b)(2)</w:t>
      </w:r>
      <w:bookmarkEnd w:id="21"/>
    </w:p>
    <w:p w14:paraId="127F1837" w14:textId="77777777" w:rsidR="009B0FCC" w:rsidRPr="000312CD" w:rsidRDefault="009B0FCC" w:rsidP="009B0FCC">
      <w:pPr>
        <w:rPr>
          <w:b/>
          <w:bCs/>
          <w:sz w:val="24"/>
          <w:szCs w:val="24"/>
        </w:rPr>
      </w:pPr>
      <w:r w:rsidRPr="000312CD">
        <w:rPr>
          <w:b/>
          <w:bCs/>
          <w:sz w:val="24"/>
          <w:szCs w:val="24"/>
        </w:rPr>
        <w:t xml:space="preserve">Assess the need of any racial or ethnic group that has </w:t>
      </w:r>
      <w:proofErr w:type="gramStart"/>
      <w:r w:rsidRPr="000312CD">
        <w:rPr>
          <w:b/>
          <w:bCs/>
          <w:sz w:val="24"/>
          <w:szCs w:val="24"/>
        </w:rPr>
        <w:t>disproportionately</w:t>
      </w:r>
      <w:proofErr w:type="gramEnd"/>
      <w:r w:rsidRPr="000312CD">
        <w:rPr>
          <w:b/>
          <w:bCs/>
          <w:sz w:val="24"/>
          <w:szCs w:val="24"/>
        </w:rPr>
        <w:t xml:space="preserve"> greater need in comparison to the needs of that category of </w:t>
      </w:r>
      <w:proofErr w:type="gramStart"/>
      <w:r w:rsidRPr="000312CD">
        <w:rPr>
          <w:b/>
          <w:bCs/>
          <w:sz w:val="24"/>
          <w:szCs w:val="24"/>
        </w:rPr>
        <w:t>need as a whole</w:t>
      </w:r>
      <w:proofErr w:type="gramEnd"/>
      <w:r w:rsidRPr="000312CD">
        <w:rPr>
          <w:b/>
          <w:bCs/>
          <w:sz w:val="24"/>
          <w:szCs w:val="24"/>
        </w:rPr>
        <w:t>.</w:t>
      </w:r>
    </w:p>
    <w:p w14:paraId="30D0BDB0" w14:textId="77777777" w:rsidR="009B0FCC" w:rsidRPr="000312CD" w:rsidRDefault="009B0FCC" w:rsidP="009B0FCC">
      <w:pPr>
        <w:spacing w:line="204" w:lineRule="auto"/>
        <w:rPr>
          <w:b/>
          <w:sz w:val="24"/>
          <w:szCs w:val="24"/>
        </w:rPr>
      </w:pPr>
      <w:r w:rsidRPr="000312CD">
        <w:rPr>
          <w:b/>
          <w:bCs/>
          <w:sz w:val="24"/>
          <w:szCs w:val="24"/>
        </w:rPr>
        <w:t>Introduction</w:t>
      </w:r>
    </w:p>
    <w:p w14:paraId="5309DC42" w14:textId="77777777" w:rsidR="009B0FCC" w:rsidRPr="000312CD" w:rsidRDefault="009B0FCC" w:rsidP="00C83593">
      <w:pPr>
        <w:spacing w:beforeAutospacing="1" w:afterAutospacing="1"/>
        <w:jc w:val="both"/>
        <w:rPr>
          <w:rFonts w:cs="Calibri"/>
          <w:color w:val="000000" w:themeColor="text1"/>
          <w:sz w:val="24"/>
          <w:szCs w:val="24"/>
        </w:rPr>
      </w:pPr>
      <w:r w:rsidRPr="787E070B">
        <w:rPr>
          <w:rFonts w:cs="Calibri"/>
          <w:color w:val="000000" w:themeColor="text1"/>
          <w:sz w:val="24"/>
          <w:szCs w:val="24"/>
        </w:rPr>
        <w:t>According to HUD, disproportionate need refers to any need for a certain race/ethnicity that is more than ten (10) percentage points above the need demonstrated for the total households within the jurisdiction at a specific income level. The tables and analyses below identify the share of households by race/ethnicity and income level experiencing housing cost burdens as outlined by HUD guidelines.</w:t>
      </w:r>
    </w:p>
    <w:p w14:paraId="3C53A937" w14:textId="77777777" w:rsidR="009B0FCC" w:rsidRPr="000312CD" w:rsidRDefault="009B0FCC" w:rsidP="00C83593">
      <w:pPr>
        <w:spacing w:beforeAutospacing="1" w:afterAutospacing="1"/>
        <w:jc w:val="both"/>
        <w:rPr>
          <w:rFonts w:cs="Calibri"/>
          <w:color w:val="000000" w:themeColor="text1"/>
          <w:sz w:val="24"/>
          <w:szCs w:val="24"/>
        </w:rPr>
      </w:pPr>
      <w:r w:rsidRPr="000312CD">
        <w:rPr>
          <w:rFonts w:cs="Calibri"/>
          <w:color w:val="000000" w:themeColor="text1"/>
          <w:sz w:val="24"/>
          <w:szCs w:val="24"/>
        </w:rPr>
        <w:t xml:space="preserve">Disproportionate need for each race/ethnicity is determined by calculating the share of the total number of </w:t>
      </w:r>
      <w:proofErr w:type="gramStart"/>
      <w:r w:rsidRPr="000312CD">
        <w:rPr>
          <w:rFonts w:cs="Calibri"/>
          <w:color w:val="000000" w:themeColor="text1"/>
          <w:sz w:val="24"/>
          <w:szCs w:val="24"/>
        </w:rPr>
        <w:t>cost</w:t>
      </w:r>
      <w:proofErr w:type="gramEnd"/>
      <w:r w:rsidRPr="000312CD">
        <w:rPr>
          <w:rFonts w:cs="Calibri"/>
          <w:color w:val="000000" w:themeColor="text1"/>
          <w:sz w:val="24"/>
          <w:szCs w:val="24"/>
        </w:rPr>
        <w:t xml:space="preserve"> burdened and severely cost burdened households from each race/ethnicity and comparing that figure to the share of all Idaho households.</w:t>
      </w:r>
    </w:p>
    <w:p w14:paraId="4D9FDFD8" w14:textId="77777777" w:rsidR="009B0FCC" w:rsidRDefault="009B0FCC" w:rsidP="009B0FCC">
      <w:pPr>
        <w:spacing w:line="204" w:lineRule="auto"/>
        <w:rPr>
          <w:b/>
          <w:bCs/>
          <w:sz w:val="24"/>
          <w:szCs w:val="24"/>
        </w:rPr>
      </w:pPr>
    </w:p>
    <w:p w14:paraId="095B5323" w14:textId="77777777" w:rsidR="009B0FCC" w:rsidRDefault="009B0FCC" w:rsidP="009B0FCC">
      <w:pPr>
        <w:keepNext/>
        <w:widowControl w:val="0"/>
        <w:rPr>
          <w:b/>
          <w:sz w:val="24"/>
          <w:szCs w:val="24"/>
        </w:rPr>
      </w:pPr>
      <w:r>
        <w:rPr>
          <w:b/>
          <w:sz w:val="24"/>
          <w:szCs w:val="24"/>
        </w:rPr>
        <w:t>Housing Cost Burden</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2"/>
        <w:gridCol w:w="1745"/>
        <w:gridCol w:w="1741"/>
        <w:gridCol w:w="1740"/>
        <w:gridCol w:w="1762"/>
      </w:tblGrid>
      <w:tr w:rsidR="009B0FCC" w14:paraId="5DC093F2" w14:textId="77777777" w:rsidTr="00721F16">
        <w:trPr>
          <w:cantSplit/>
          <w:tblHeader/>
        </w:trPr>
        <w:tc>
          <w:tcPr>
            <w:tcW w:w="2425" w:type="dxa"/>
          </w:tcPr>
          <w:p w14:paraId="0F912E40" w14:textId="77777777" w:rsidR="009B0FCC" w:rsidRDefault="009B0FCC" w:rsidP="00721F16">
            <w:pPr>
              <w:keepNext/>
              <w:widowControl w:val="0"/>
              <w:spacing w:after="0" w:line="240" w:lineRule="auto"/>
              <w:jc w:val="center"/>
              <w:rPr>
                <w:b/>
                <w:bCs/>
              </w:rPr>
            </w:pPr>
            <w:r>
              <w:rPr>
                <w:b/>
                <w:bCs/>
              </w:rPr>
              <w:t>Housing Cost Burden</w:t>
            </w:r>
          </w:p>
        </w:tc>
        <w:tc>
          <w:tcPr>
            <w:tcW w:w="1789" w:type="dxa"/>
          </w:tcPr>
          <w:p w14:paraId="4FA7FA22" w14:textId="77777777" w:rsidR="009B0FCC" w:rsidRDefault="009B0FCC" w:rsidP="00721F16">
            <w:pPr>
              <w:keepNext/>
              <w:widowControl w:val="0"/>
              <w:spacing w:after="0" w:line="240" w:lineRule="auto"/>
              <w:jc w:val="center"/>
              <w:rPr>
                <w:b/>
                <w:bCs/>
              </w:rPr>
            </w:pPr>
            <w:r>
              <w:rPr>
                <w:b/>
                <w:bCs/>
              </w:rPr>
              <w:t>&lt;=30%</w:t>
            </w:r>
          </w:p>
        </w:tc>
        <w:tc>
          <w:tcPr>
            <w:tcW w:w="1785" w:type="dxa"/>
          </w:tcPr>
          <w:p w14:paraId="7A33BC9F" w14:textId="77777777" w:rsidR="009B0FCC" w:rsidRDefault="009B0FCC" w:rsidP="00721F16">
            <w:pPr>
              <w:keepNext/>
              <w:widowControl w:val="0"/>
              <w:spacing w:after="0" w:line="240" w:lineRule="auto"/>
              <w:jc w:val="center"/>
              <w:rPr>
                <w:b/>
                <w:bCs/>
              </w:rPr>
            </w:pPr>
            <w:r>
              <w:rPr>
                <w:b/>
                <w:bCs/>
              </w:rPr>
              <w:t>30-50%</w:t>
            </w:r>
          </w:p>
        </w:tc>
        <w:tc>
          <w:tcPr>
            <w:tcW w:w="1784" w:type="dxa"/>
          </w:tcPr>
          <w:p w14:paraId="2DD80A89" w14:textId="77777777" w:rsidR="009B0FCC" w:rsidRDefault="009B0FCC" w:rsidP="00721F16">
            <w:pPr>
              <w:keepNext/>
              <w:widowControl w:val="0"/>
              <w:spacing w:after="0" w:line="240" w:lineRule="auto"/>
              <w:jc w:val="center"/>
              <w:rPr>
                <w:b/>
                <w:bCs/>
              </w:rPr>
            </w:pPr>
            <w:r>
              <w:rPr>
                <w:b/>
                <w:bCs/>
              </w:rPr>
              <w:t>&gt;50%</w:t>
            </w:r>
          </w:p>
        </w:tc>
        <w:tc>
          <w:tcPr>
            <w:tcW w:w="1807" w:type="dxa"/>
          </w:tcPr>
          <w:p w14:paraId="5418FD77" w14:textId="77777777" w:rsidR="009B0FCC" w:rsidRDefault="009B0FCC" w:rsidP="00721F16">
            <w:pPr>
              <w:keepNext/>
              <w:widowControl w:val="0"/>
              <w:spacing w:after="0" w:line="240" w:lineRule="auto"/>
              <w:jc w:val="center"/>
              <w:rPr>
                <w:b/>
                <w:bCs/>
              </w:rPr>
            </w:pPr>
            <w:r>
              <w:rPr>
                <w:b/>
                <w:bCs/>
              </w:rPr>
              <w:t>No / negative income (not computed)</w:t>
            </w:r>
          </w:p>
        </w:tc>
      </w:tr>
      <w:tr w:rsidR="009B0FCC" w14:paraId="37153996" w14:textId="77777777" w:rsidTr="00721F16">
        <w:trPr>
          <w:cantSplit/>
        </w:trPr>
        <w:tc>
          <w:tcPr>
            <w:tcW w:w="2425" w:type="dxa"/>
          </w:tcPr>
          <w:p w14:paraId="3FF8A353" w14:textId="77777777" w:rsidR="009B0FCC" w:rsidRDefault="009B0FCC" w:rsidP="00721F16">
            <w:pPr>
              <w:spacing w:beforeAutospacing="1" w:afterAutospacing="1"/>
            </w:pPr>
            <w:r>
              <w:rPr>
                <w:color w:val="000000"/>
              </w:rPr>
              <w:t>Jurisdiction as a whole</w:t>
            </w:r>
          </w:p>
        </w:tc>
        <w:tc>
          <w:tcPr>
            <w:tcW w:w="1789" w:type="dxa"/>
            <w:vAlign w:val="bottom"/>
          </w:tcPr>
          <w:p w14:paraId="409E7D05" w14:textId="77777777" w:rsidR="009B0FCC" w:rsidRDefault="009B0FCC" w:rsidP="00721F16">
            <w:pPr>
              <w:spacing w:beforeAutospacing="1" w:afterAutospacing="1"/>
              <w:jc w:val="right"/>
            </w:pPr>
            <w:r>
              <w:rPr>
                <w:color w:val="000000"/>
              </w:rPr>
              <w:t>439,671</w:t>
            </w:r>
          </w:p>
        </w:tc>
        <w:tc>
          <w:tcPr>
            <w:tcW w:w="1785" w:type="dxa"/>
            <w:vAlign w:val="bottom"/>
          </w:tcPr>
          <w:p w14:paraId="1B2F08CD" w14:textId="77777777" w:rsidR="009B0FCC" w:rsidRDefault="009B0FCC" w:rsidP="00721F16">
            <w:pPr>
              <w:spacing w:beforeAutospacing="1" w:afterAutospacing="1"/>
              <w:jc w:val="right"/>
            </w:pPr>
            <w:r>
              <w:rPr>
                <w:color w:val="000000"/>
              </w:rPr>
              <w:t>90,957</w:t>
            </w:r>
          </w:p>
        </w:tc>
        <w:tc>
          <w:tcPr>
            <w:tcW w:w="1784" w:type="dxa"/>
            <w:vAlign w:val="bottom"/>
          </w:tcPr>
          <w:p w14:paraId="76716E18" w14:textId="77777777" w:rsidR="009B0FCC" w:rsidRDefault="009B0FCC" w:rsidP="00721F16">
            <w:pPr>
              <w:spacing w:beforeAutospacing="1" w:afterAutospacing="1"/>
              <w:jc w:val="right"/>
            </w:pPr>
            <w:r>
              <w:rPr>
                <w:color w:val="000000"/>
              </w:rPr>
              <w:t>68,502</w:t>
            </w:r>
          </w:p>
        </w:tc>
        <w:tc>
          <w:tcPr>
            <w:tcW w:w="1807" w:type="dxa"/>
            <w:vAlign w:val="bottom"/>
          </w:tcPr>
          <w:p w14:paraId="789995D0" w14:textId="77777777" w:rsidR="009B0FCC" w:rsidRDefault="009B0FCC" w:rsidP="00721F16">
            <w:pPr>
              <w:spacing w:beforeAutospacing="1" w:afterAutospacing="1"/>
              <w:jc w:val="right"/>
            </w:pPr>
            <w:r>
              <w:rPr>
                <w:color w:val="000000"/>
              </w:rPr>
              <w:t>10,045</w:t>
            </w:r>
          </w:p>
        </w:tc>
      </w:tr>
      <w:tr w:rsidR="009B0FCC" w14:paraId="20C0E2C1" w14:textId="77777777" w:rsidTr="00721F16">
        <w:trPr>
          <w:cantSplit/>
        </w:trPr>
        <w:tc>
          <w:tcPr>
            <w:tcW w:w="2425" w:type="dxa"/>
          </w:tcPr>
          <w:p w14:paraId="444EEE0F" w14:textId="77777777" w:rsidR="009B0FCC" w:rsidRDefault="009B0FCC" w:rsidP="00721F16">
            <w:pPr>
              <w:spacing w:beforeAutospacing="1" w:afterAutospacing="1"/>
            </w:pPr>
            <w:r>
              <w:rPr>
                <w:color w:val="000000"/>
              </w:rPr>
              <w:t>White</w:t>
            </w:r>
          </w:p>
        </w:tc>
        <w:tc>
          <w:tcPr>
            <w:tcW w:w="1789" w:type="dxa"/>
            <w:vAlign w:val="bottom"/>
          </w:tcPr>
          <w:p w14:paraId="230F82A1" w14:textId="77777777" w:rsidR="009B0FCC" w:rsidRDefault="009B0FCC" w:rsidP="00721F16">
            <w:pPr>
              <w:spacing w:beforeAutospacing="1" w:afterAutospacing="1"/>
              <w:jc w:val="right"/>
            </w:pPr>
            <w:r>
              <w:rPr>
                <w:color w:val="000000"/>
              </w:rPr>
              <w:t>387,889</w:t>
            </w:r>
          </w:p>
        </w:tc>
        <w:tc>
          <w:tcPr>
            <w:tcW w:w="1785" w:type="dxa"/>
            <w:vAlign w:val="bottom"/>
          </w:tcPr>
          <w:p w14:paraId="2513116A" w14:textId="77777777" w:rsidR="009B0FCC" w:rsidRDefault="009B0FCC" w:rsidP="00721F16">
            <w:pPr>
              <w:spacing w:beforeAutospacing="1" w:afterAutospacing="1"/>
              <w:jc w:val="right"/>
            </w:pPr>
            <w:r>
              <w:rPr>
                <w:color w:val="000000"/>
              </w:rPr>
              <w:t>77,438</w:t>
            </w:r>
          </w:p>
        </w:tc>
        <w:tc>
          <w:tcPr>
            <w:tcW w:w="1784" w:type="dxa"/>
            <w:vAlign w:val="bottom"/>
          </w:tcPr>
          <w:p w14:paraId="678FC874" w14:textId="77777777" w:rsidR="009B0FCC" w:rsidRDefault="009B0FCC" w:rsidP="00721F16">
            <w:pPr>
              <w:spacing w:beforeAutospacing="1" w:afterAutospacing="1"/>
              <w:jc w:val="right"/>
            </w:pPr>
            <w:r>
              <w:rPr>
                <w:color w:val="000000"/>
              </w:rPr>
              <w:t>58,764</w:t>
            </w:r>
          </w:p>
        </w:tc>
        <w:tc>
          <w:tcPr>
            <w:tcW w:w="1807" w:type="dxa"/>
            <w:vAlign w:val="bottom"/>
          </w:tcPr>
          <w:p w14:paraId="1209E5C8" w14:textId="77777777" w:rsidR="009B0FCC" w:rsidRDefault="009B0FCC" w:rsidP="00721F16">
            <w:pPr>
              <w:spacing w:beforeAutospacing="1" w:afterAutospacing="1"/>
              <w:jc w:val="right"/>
            </w:pPr>
            <w:r>
              <w:rPr>
                <w:color w:val="000000"/>
              </w:rPr>
              <w:t>8,040</w:t>
            </w:r>
          </w:p>
        </w:tc>
      </w:tr>
      <w:tr w:rsidR="009B0FCC" w14:paraId="1C184BE5" w14:textId="77777777" w:rsidTr="00721F16">
        <w:trPr>
          <w:cantSplit/>
        </w:trPr>
        <w:tc>
          <w:tcPr>
            <w:tcW w:w="2425" w:type="dxa"/>
          </w:tcPr>
          <w:p w14:paraId="22C7C953" w14:textId="77777777" w:rsidR="009B0FCC" w:rsidRDefault="009B0FCC" w:rsidP="00721F16">
            <w:pPr>
              <w:spacing w:beforeAutospacing="1" w:afterAutospacing="1"/>
            </w:pPr>
            <w:r>
              <w:rPr>
                <w:color w:val="000000"/>
              </w:rPr>
              <w:t>Black / African American</w:t>
            </w:r>
          </w:p>
        </w:tc>
        <w:tc>
          <w:tcPr>
            <w:tcW w:w="1789" w:type="dxa"/>
            <w:vAlign w:val="bottom"/>
          </w:tcPr>
          <w:p w14:paraId="65834C5E" w14:textId="77777777" w:rsidR="009B0FCC" w:rsidRDefault="009B0FCC" w:rsidP="00721F16">
            <w:pPr>
              <w:spacing w:beforeAutospacing="1" w:afterAutospacing="1"/>
              <w:jc w:val="right"/>
            </w:pPr>
            <w:r>
              <w:rPr>
                <w:color w:val="000000"/>
              </w:rPr>
              <w:t>1,785</w:t>
            </w:r>
          </w:p>
        </w:tc>
        <w:tc>
          <w:tcPr>
            <w:tcW w:w="1785" w:type="dxa"/>
            <w:vAlign w:val="bottom"/>
          </w:tcPr>
          <w:p w14:paraId="79159C78" w14:textId="77777777" w:rsidR="009B0FCC" w:rsidRDefault="009B0FCC" w:rsidP="00721F16">
            <w:pPr>
              <w:spacing w:beforeAutospacing="1" w:afterAutospacing="1"/>
              <w:jc w:val="right"/>
            </w:pPr>
            <w:r>
              <w:rPr>
                <w:color w:val="000000"/>
              </w:rPr>
              <w:t>714</w:t>
            </w:r>
          </w:p>
        </w:tc>
        <w:tc>
          <w:tcPr>
            <w:tcW w:w="1784" w:type="dxa"/>
            <w:vAlign w:val="bottom"/>
          </w:tcPr>
          <w:p w14:paraId="4D209E21" w14:textId="77777777" w:rsidR="009B0FCC" w:rsidRDefault="009B0FCC" w:rsidP="00721F16">
            <w:pPr>
              <w:spacing w:beforeAutospacing="1" w:afterAutospacing="1"/>
              <w:jc w:val="right"/>
            </w:pPr>
            <w:r>
              <w:rPr>
                <w:color w:val="000000"/>
              </w:rPr>
              <w:t>413</w:t>
            </w:r>
          </w:p>
        </w:tc>
        <w:tc>
          <w:tcPr>
            <w:tcW w:w="1807" w:type="dxa"/>
            <w:vAlign w:val="bottom"/>
          </w:tcPr>
          <w:p w14:paraId="775F3F9C" w14:textId="77777777" w:rsidR="009B0FCC" w:rsidRDefault="009B0FCC" w:rsidP="00721F16">
            <w:pPr>
              <w:spacing w:beforeAutospacing="1" w:afterAutospacing="1"/>
              <w:jc w:val="right"/>
            </w:pPr>
            <w:r>
              <w:rPr>
                <w:color w:val="000000"/>
              </w:rPr>
              <w:t>60</w:t>
            </w:r>
          </w:p>
        </w:tc>
      </w:tr>
      <w:tr w:rsidR="009B0FCC" w14:paraId="6DC91FDD" w14:textId="77777777" w:rsidTr="00721F16">
        <w:trPr>
          <w:cantSplit/>
        </w:trPr>
        <w:tc>
          <w:tcPr>
            <w:tcW w:w="2425" w:type="dxa"/>
          </w:tcPr>
          <w:p w14:paraId="6B244C5B" w14:textId="77777777" w:rsidR="009B0FCC" w:rsidRDefault="009B0FCC" w:rsidP="00721F16">
            <w:pPr>
              <w:spacing w:beforeAutospacing="1" w:afterAutospacing="1"/>
            </w:pPr>
            <w:r>
              <w:rPr>
                <w:color w:val="000000"/>
              </w:rPr>
              <w:t>Asian</w:t>
            </w:r>
          </w:p>
        </w:tc>
        <w:tc>
          <w:tcPr>
            <w:tcW w:w="1789" w:type="dxa"/>
            <w:vAlign w:val="bottom"/>
          </w:tcPr>
          <w:p w14:paraId="6A9239CA" w14:textId="77777777" w:rsidR="009B0FCC" w:rsidRDefault="009B0FCC" w:rsidP="00721F16">
            <w:pPr>
              <w:spacing w:beforeAutospacing="1" w:afterAutospacing="1"/>
              <w:jc w:val="right"/>
            </w:pPr>
            <w:r>
              <w:rPr>
                <w:color w:val="000000"/>
              </w:rPr>
              <w:t>4,703</w:t>
            </w:r>
          </w:p>
        </w:tc>
        <w:tc>
          <w:tcPr>
            <w:tcW w:w="1785" w:type="dxa"/>
            <w:vAlign w:val="bottom"/>
          </w:tcPr>
          <w:p w14:paraId="06BFE89B" w14:textId="77777777" w:rsidR="009B0FCC" w:rsidRDefault="009B0FCC" w:rsidP="00721F16">
            <w:pPr>
              <w:spacing w:beforeAutospacing="1" w:afterAutospacing="1"/>
              <w:jc w:val="right"/>
            </w:pPr>
            <w:r>
              <w:rPr>
                <w:color w:val="000000"/>
              </w:rPr>
              <w:t>1,014</w:t>
            </w:r>
          </w:p>
        </w:tc>
        <w:tc>
          <w:tcPr>
            <w:tcW w:w="1784" w:type="dxa"/>
            <w:vAlign w:val="bottom"/>
          </w:tcPr>
          <w:p w14:paraId="0B4B3D35" w14:textId="77777777" w:rsidR="009B0FCC" w:rsidRDefault="009B0FCC" w:rsidP="00721F16">
            <w:pPr>
              <w:spacing w:beforeAutospacing="1" w:afterAutospacing="1"/>
              <w:jc w:val="right"/>
            </w:pPr>
            <w:r>
              <w:rPr>
                <w:color w:val="000000"/>
              </w:rPr>
              <w:t>733</w:t>
            </w:r>
          </w:p>
        </w:tc>
        <w:tc>
          <w:tcPr>
            <w:tcW w:w="1807" w:type="dxa"/>
            <w:vAlign w:val="bottom"/>
          </w:tcPr>
          <w:p w14:paraId="6077C4E3" w14:textId="77777777" w:rsidR="009B0FCC" w:rsidRDefault="009B0FCC" w:rsidP="00721F16">
            <w:pPr>
              <w:spacing w:beforeAutospacing="1" w:afterAutospacing="1"/>
              <w:jc w:val="right"/>
            </w:pPr>
            <w:r>
              <w:rPr>
                <w:color w:val="000000"/>
              </w:rPr>
              <w:t>527</w:t>
            </w:r>
          </w:p>
        </w:tc>
      </w:tr>
      <w:tr w:rsidR="009B0FCC" w14:paraId="7A27E52F" w14:textId="77777777" w:rsidTr="00721F16">
        <w:trPr>
          <w:cantSplit/>
        </w:trPr>
        <w:tc>
          <w:tcPr>
            <w:tcW w:w="2425" w:type="dxa"/>
          </w:tcPr>
          <w:p w14:paraId="57D85499" w14:textId="77777777" w:rsidR="009B0FCC" w:rsidRDefault="009B0FCC" w:rsidP="00721F16">
            <w:pPr>
              <w:spacing w:beforeAutospacing="1" w:afterAutospacing="1"/>
            </w:pPr>
            <w:r>
              <w:rPr>
                <w:color w:val="000000"/>
              </w:rPr>
              <w:t>American Indian, Alaska Native</w:t>
            </w:r>
          </w:p>
        </w:tc>
        <w:tc>
          <w:tcPr>
            <w:tcW w:w="1789" w:type="dxa"/>
            <w:vAlign w:val="bottom"/>
          </w:tcPr>
          <w:p w14:paraId="21326067" w14:textId="77777777" w:rsidR="009B0FCC" w:rsidRDefault="009B0FCC" w:rsidP="00721F16">
            <w:pPr>
              <w:spacing w:beforeAutospacing="1" w:afterAutospacing="1"/>
              <w:jc w:val="right"/>
            </w:pPr>
            <w:r>
              <w:rPr>
                <w:color w:val="000000"/>
              </w:rPr>
              <w:t>4,193</w:t>
            </w:r>
          </w:p>
        </w:tc>
        <w:tc>
          <w:tcPr>
            <w:tcW w:w="1785" w:type="dxa"/>
            <w:vAlign w:val="bottom"/>
          </w:tcPr>
          <w:p w14:paraId="24A91BB2" w14:textId="77777777" w:rsidR="009B0FCC" w:rsidRDefault="009B0FCC" w:rsidP="00721F16">
            <w:pPr>
              <w:spacing w:beforeAutospacing="1" w:afterAutospacing="1"/>
              <w:jc w:val="right"/>
            </w:pPr>
            <w:r>
              <w:rPr>
                <w:color w:val="000000"/>
              </w:rPr>
              <w:t>1,045</w:t>
            </w:r>
          </w:p>
        </w:tc>
        <w:tc>
          <w:tcPr>
            <w:tcW w:w="1784" w:type="dxa"/>
            <w:vAlign w:val="bottom"/>
          </w:tcPr>
          <w:p w14:paraId="0698520F" w14:textId="77777777" w:rsidR="009B0FCC" w:rsidRDefault="009B0FCC" w:rsidP="00721F16">
            <w:pPr>
              <w:spacing w:beforeAutospacing="1" w:afterAutospacing="1"/>
              <w:jc w:val="right"/>
            </w:pPr>
            <w:r>
              <w:rPr>
                <w:color w:val="000000"/>
              </w:rPr>
              <w:t>970</w:t>
            </w:r>
          </w:p>
        </w:tc>
        <w:tc>
          <w:tcPr>
            <w:tcW w:w="1807" w:type="dxa"/>
            <w:vAlign w:val="bottom"/>
          </w:tcPr>
          <w:p w14:paraId="1C90CD7D" w14:textId="77777777" w:rsidR="009B0FCC" w:rsidRDefault="009B0FCC" w:rsidP="00721F16">
            <w:pPr>
              <w:spacing w:beforeAutospacing="1" w:afterAutospacing="1"/>
              <w:jc w:val="right"/>
            </w:pPr>
            <w:r>
              <w:rPr>
                <w:color w:val="000000"/>
              </w:rPr>
              <w:t>123</w:t>
            </w:r>
          </w:p>
        </w:tc>
      </w:tr>
      <w:tr w:rsidR="009B0FCC" w14:paraId="2166C698" w14:textId="77777777" w:rsidTr="00721F16">
        <w:trPr>
          <w:cantSplit/>
        </w:trPr>
        <w:tc>
          <w:tcPr>
            <w:tcW w:w="2425" w:type="dxa"/>
          </w:tcPr>
          <w:p w14:paraId="679045CA" w14:textId="77777777" w:rsidR="009B0FCC" w:rsidRDefault="009B0FCC" w:rsidP="00721F16">
            <w:pPr>
              <w:spacing w:beforeAutospacing="1" w:afterAutospacing="1"/>
            </w:pPr>
            <w:r>
              <w:rPr>
                <w:color w:val="000000"/>
              </w:rPr>
              <w:t>Pacific Islander</w:t>
            </w:r>
          </w:p>
        </w:tc>
        <w:tc>
          <w:tcPr>
            <w:tcW w:w="1789" w:type="dxa"/>
            <w:vAlign w:val="bottom"/>
          </w:tcPr>
          <w:p w14:paraId="24D25131" w14:textId="77777777" w:rsidR="009B0FCC" w:rsidRDefault="009B0FCC" w:rsidP="00721F16">
            <w:pPr>
              <w:spacing w:beforeAutospacing="1" w:afterAutospacing="1"/>
              <w:jc w:val="right"/>
            </w:pPr>
            <w:r>
              <w:rPr>
                <w:color w:val="000000"/>
              </w:rPr>
              <w:t>446</w:t>
            </w:r>
          </w:p>
        </w:tc>
        <w:tc>
          <w:tcPr>
            <w:tcW w:w="1785" w:type="dxa"/>
            <w:vAlign w:val="bottom"/>
          </w:tcPr>
          <w:p w14:paraId="3381937A" w14:textId="77777777" w:rsidR="009B0FCC" w:rsidRDefault="009B0FCC" w:rsidP="00721F16">
            <w:pPr>
              <w:spacing w:beforeAutospacing="1" w:afterAutospacing="1"/>
              <w:jc w:val="right"/>
            </w:pPr>
            <w:r>
              <w:rPr>
                <w:color w:val="000000"/>
              </w:rPr>
              <w:t>75</w:t>
            </w:r>
          </w:p>
        </w:tc>
        <w:tc>
          <w:tcPr>
            <w:tcW w:w="1784" w:type="dxa"/>
            <w:vAlign w:val="bottom"/>
          </w:tcPr>
          <w:p w14:paraId="0D037E86" w14:textId="77777777" w:rsidR="009B0FCC" w:rsidRDefault="009B0FCC" w:rsidP="00721F16">
            <w:pPr>
              <w:spacing w:beforeAutospacing="1" w:afterAutospacing="1"/>
              <w:jc w:val="right"/>
            </w:pPr>
            <w:r>
              <w:rPr>
                <w:color w:val="000000"/>
              </w:rPr>
              <w:t>52</w:t>
            </w:r>
          </w:p>
        </w:tc>
        <w:tc>
          <w:tcPr>
            <w:tcW w:w="1807" w:type="dxa"/>
            <w:vAlign w:val="bottom"/>
          </w:tcPr>
          <w:p w14:paraId="5A198DEE" w14:textId="77777777" w:rsidR="009B0FCC" w:rsidRDefault="009B0FCC" w:rsidP="00721F16">
            <w:pPr>
              <w:spacing w:beforeAutospacing="1" w:afterAutospacing="1"/>
              <w:jc w:val="right"/>
            </w:pPr>
            <w:r>
              <w:rPr>
                <w:color w:val="000000"/>
              </w:rPr>
              <w:t>0</w:t>
            </w:r>
          </w:p>
        </w:tc>
      </w:tr>
      <w:tr w:rsidR="009B0FCC" w14:paraId="3F047832" w14:textId="77777777" w:rsidTr="00721F16">
        <w:trPr>
          <w:cantSplit/>
        </w:trPr>
        <w:tc>
          <w:tcPr>
            <w:tcW w:w="2425" w:type="dxa"/>
          </w:tcPr>
          <w:p w14:paraId="7EDD749B" w14:textId="77777777" w:rsidR="009B0FCC" w:rsidRDefault="009B0FCC" w:rsidP="00721F16">
            <w:pPr>
              <w:spacing w:beforeAutospacing="1" w:afterAutospacing="1"/>
            </w:pPr>
            <w:r>
              <w:rPr>
                <w:color w:val="000000"/>
              </w:rPr>
              <w:t>Hispanic</w:t>
            </w:r>
          </w:p>
        </w:tc>
        <w:tc>
          <w:tcPr>
            <w:tcW w:w="1789" w:type="dxa"/>
            <w:vAlign w:val="bottom"/>
          </w:tcPr>
          <w:p w14:paraId="10CF51C7" w14:textId="77777777" w:rsidR="009B0FCC" w:rsidRDefault="009B0FCC" w:rsidP="00721F16">
            <w:pPr>
              <w:spacing w:beforeAutospacing="1" w:afterAutospacing="1"/>
              <w:jc w:val="right"/>
            </w:pPr>
            <w:r>
              <w:rPr>
                <w:color w:val="000000"/>
              </w:rPr>
              <w:t>34,886</w:t>
            </w:r>
          </w:p>
        </w:tc>
        <w:tc>
          <w:tcPr>
            <w:tcW w:w="1785" w:type="dxa"/>
            <w:vAlign w:val="bottom"/>
          </w:tcPr>
          <w:p w14:paraId="7C80EF52" w14:textId="77777777" w:rsidR="009B0FCC" w:rsidRDefault="009B0FCC" w:rsidP="00721F16">
            <w:pPr>
              <w:spacing w:beforeAutospacing="1" w:afterAutospacing="1"/>
              <w:jc w:val="right"/>
            </w:pPr>
            <w:r>
              <w:rPr>
                <w:color w:val="000000"/>
              </w:rPr>
              <w:t>8,884</w:t>
            </w:r>
          </w:p>
        </w:tc>
        <w:tc>
          <w:tcPr>
            <w:tcW w:w="1784" w:type="dxa"/>
            <w:vAlign w:val="bottom"/>
          </w:tcPr>
          <w:p w14:paraId="796A072F" w14:textId="77777777" w:rsidR="009B0FCC" w:rsidRDefault="009B0FCC" w:rsidP="00721F16">
            <w:pPr>
              <w:spacing w:beforeAutospacing="1" w:afterAutospacing="1"/>
              <w:jc w:val="right"/>
            </w:pPr>
            <w:r>
              <w:rPr>
                <w:color w:val="000000"/>
              </w:rPr>
              <w:t>6,104</w:t>
            </w:r>
          </w:p>
        </w:tc>
        <w:tc>
          <w:tcPr>
            <w:tcW w:w="1807" w:type="dxa"/>
            <w:vAlign w:val="bottom"/>
          </w:tcPr>
          <w:p w14:paraId="73A29394" w14:textId="77777777" w:rsidR="009B0FCC" w:rsidRDefault="009B0FCC" w:rsidP="00721F16">
            <w:pPr>
              <w:spacing w:beforeAutospacing="1" w:afterAutospacing="1"/>
              <w:jc w:val="right"/>
            </w:pPr>
            <w:r>
              <w:rPr>
                <w:color w:val="000000"/>
              </w:rPr>
              <w:t>1,131</w:t>
            </w:r>
          </w:p>
        </w:tc>
      </w:tr>
    </w:tbl>
    <w:p w14:paraId="2983F181"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Greater Need: Housing Cost Burdens AMI</w:t>
      </w:r>
    </w:p>
    <w:tbl>
      <w:tblPr>
        <w:tblW w:w="5000" w:type="pct"/>
        <w:tblInd w:w="115" w:type="dxa"/>
        <w:tblCellMar>
          <w:left w:w="115" w:type="dxa"/>
          <w:right w:w="115" w:type="dxa"/>
        </w:tblCellMar>
        <w:tblLook w:val="01E0" w:firstRow="1" w:lastRow="1" w:firstColumn="1" w:lastColumn="1" w:noHBand="0" w:noVBand="0"/>
      </w:tblPr>
      <w:tblGrid>
        <w:gridCol w:w="1070"/>
        <w:gridCol w:w="8290"/>
      </w:tblGrid>
      <w:tr w:rsidR="009B0FCC" w14:paraId="580AF7AD" w14:textId="77777777" w:rsidTr="00721F16">
        <w:trPr>
          <w:cantSplit/>
        </w:trPr>
        <w:tc>
          <w:tcPr>
            <w:tcW w:w="1080" w:type="dxa"/>
          </w:tcPr>
          <w:p w14:paraId="45D4A573" w14:textId="77777777" w:rsidR="009B0FCC" w:rsidRDefault="009B0FCC" w:rsidP="00721F16">
            <w:pPr>
              <w:spacing w:after="0" w:line="240" w:lineRule="auto"/>
              <w:rPr>
                <w:sz w:val="16"/>
                <w:szCs w:val="16"/>
              </w:rPr>
            </w:pPr>
            <w:r>
              <w:rPr>
                <w:b/>
                <w:bCs/>
                <w:sz w:val="16"/>
                <w:szCs w:val="16"/>
              </w:rPr>
              <w:t>Data Source:</w:t>
            </w:r>
          </w:p>
        </w:tc>
        <w:tc>
          <w:tcPr>
            <w:tcW w:w="8510" w:type="dxa"/>
          </w:tcPr>
          <w:p w14:paraId="09DC007A" w14:textId="77777777" w:rsidR="009B0FCC" w:rsidRDefault="009B0FCC" w:rsidP="00721F16">
            <w:pPr>
              <w:spacing w:beforeAutospacing="1" w:afterAutospacing="1"/>
              <w:rPr>
                <w:sz w:val="16"/>
                <w:szCs w:val="16"/>
              </w:rPr>
            </w:pPr>
            <w:r>
              <w:rPr>
                <w:sz w:val="16"/>
                <w:szCs w:val="16"/>
              </w:rPr>
              <w:t>2016-2020 CHAS</w:t>
            </w:r>
          </w:p>
        </w:tc>
      </w:tr>
    </w:tbl>
    <w:p w14:paraId="37CC79E5" w14:textId="77777777" w:rsidR="009B0FCC" w:rsidRDefault="009B0FCC" w:rsidP="009B0FCC">
      <w:pPr>
        <w:spacing w:after="0" w:line="240" w:lineRule="auto"/>
        <w:rPr>
          <w:vanish/>
        </w:rPr>
      </w:pPr>
    </w:p>
    <w:p w14:paraId="3A6D1C0F" w14:textId="77777777" w:rsidR="009B0FCC" w:rsidRDefault="009B0FCC" w:rsidP="009B0FCC">
      <w:pPr>
        <w:spacing w:after="0" w:line="240" w:lineRule="auto"/>
        <w:rPr>
          <w:b/>
          <w:bCs/>
          <w:vanish/>
          <w:sz w:val="16"/>
          <w:szCs w:val="16"/>
        </w:rPr>
      </w:pPr>
    </w:p>
    <w:p w14:paraId="06DA4B70" w14:textId="77777777" w:rsidR="009B0FCC" w:rsidRDefault="009B0FCC" w:rsidP="009B0FCC">
      <w:pPr>
        <w:rPr>
          <w:rFonts w:cs="Arial"/>
          <w:szCs w:val="26"/>
        </w:rPr>
      </w:pPr>
    </w:p>
    <w:p w14:paraId="5996B034" w14:textId="77777777" w:rsidR="00B27438" w:rsidRDefault="00B27438" w:rsidP="00C83593">
      <w:pPr>
        <w:jc w:val="both"/>
        <w:rPr>
          <w:b/>
          <w:sz w:val="24"/>
          <w:szCs w:val="24"/>
        </w:rPr>
      </w:pPr>
      <w:r w:rsidRPr="497B8E2D">
        <w:rPr>
          <w:b/>
          <w:bCs/>
          <w:sz w:val="24"/>
          <w:szCs w:val="24"/>
        </w:rPr>
        <w:t>Discussion</w:t>
      </w:r>
    </w:p>
    <w:p w14:paraId="04F2A0DF" w14:textId="77777777" w:rsidR="00B27438" w:rsidRDefault="00B27438" w:rsidP="00C83593">
      <w:pPr>
        <w:jc w:val="both"/>
        <w:rPr>
          <w:b/>
          <w:bCs/>
          <w:sz w:val="24"/>
          <w:szCs w:val="24"/>
        </w:rPr>
      </w:pPr>
      <w:r w:rsidRPr="497B8E2D">
        <w:rPr>
          <w:sz w:val="24"/>
          <w:szCs w:val="24"/>
          <w:u w:val="single"/>
        </w:rPr>
        <w:t>0-30% AMI</w:t>
      </w:r>
    </w:p>
    <w:p w14:paraId="210216C0" w14:textId="2D55030A" w:rsidR="009B0FCC" w:rsidRDefault="00746494" w:rsidP="00C83593">
      <w:pPr>
        <w:spacing w:line="204" w:lineRule="auto"/>
        <w:jc w:val="both"/>
        <w:rPr>
          <w:sz w:val="24"/>
          <w:szCs w:val="24"/>
        </w:rPr>
      </w:pPr>
      <w:r>
        <w:rPr>
          <w:sz w:val="24"/>
          <w:szCs w:val="24"/>
        </w:rPr>
        <w:lastRenderedPageBreak/>
        <w:t>50.3</w:t>
      </w:r>
      <w:r w:rsidR="00180B81">
        <w:rPr>
          <w:sz w:val="24"/>
          <w:szCs w:val="24"/>
        </w:rPr>
        <w:t xml:space="preserve">% of households in the income category experience cost burden. </w:t>
      </w:r>
      <w:r>
        <w:rPr>
          <w:sz w:val="24"/>
          <w:szCs w:val="24"/>
        </w:rPr>
        <w:t xml:space="preserve">88.2% of White households in this income group experience housing cost burden and are disproportionately affected. </w:t>
      </w:r>
    </w:p>
    <w:p w14:paraId="7E231380" w14:textId="51B7633E" w:rsidR="00EA3FC0" w:rsidRDefault="00EA3FC0" w:rsidP="00C83593">
      <w:pPr>
        <w:jc w:val="both"/>
        <w:rPr>
          <w:sz w:val="24"/>
          <w:szCs w:val="24"/>
          <w:u w:val="single"/>
        </w:rPr>
      </w:pPr>
      <w:r w:rsidRPr="497B8E2D">
        <w:rPr>
          <w:sz w:val="24"/>
          <w:szCs w:val="24"/>
          <w:u w:val="single"/>
        </w:rPr>
        <w:t>30-50% AMI</w:t>
      </w:r>
    </w:p>
    <w:p w14:paraId="737B783E" w14:textId="1FAC8E80" w:rsidR="00746494" w:rsidRDefault="00746494" w:rsidP="00C83593">
      <w:pPr>
        <w:spacing w:line="204" w:lineRule="auto"/>
        <w:jc w:val="both"/>
        <w:rPr>
          <w:sz w:val="24"/>
          <w:szCs w:val="24"/>
        </w:rPr>
      </w:pPr>
      <w:r>
        <w:rPr>
          <w:sz w:val="24"/>
          <w:szCs w:val="24"/>
        </w:rPr>
        <w:t>50.</w:t>
      </w:r>
      <w:r w:rsidR="004704C8">
        <w:rPr>
          <w:sz w:val="24"/>
          <w:szCs w:val="24"/>
        </w:rPr>
        <w:t>5</w:t>
      </w:r>
      <w:r>
        <w:rPr>
          <w:sz w:val="24"/>
          <w:szCs w:val="24"/>
        </w:rPr>
        <w:t xml:space="preserve">% of households in the income category experience cost burden. </w:t>
      </w:r>
      <w:r w:rsidR="00AB0E7C">
        <w:rPr>
          <w:sz w:val="24"/>
          <w:szCs w:val="24"/>
        </w:rPr>
        <w:t>85.1</w:t>
      </w:r>
      <w:r>
        <w:rPr>
          <w:sz w:val="24"/>
          <w:szCs w:val="24"/>
        </w:rPr>
        <w:t xml:space="preserve">% of White households in this income group experience housing cost burden and are disproportionately affected. </w:t>
      </w:r>
    </w:p>
    <w:p w14:paraId="3082ADA3" w14:textId="4FD33292" w:rsidR="00AC2E82" w:rsidRDefault="00AC2E82" w:rsidP="00C83593">
      <w:pPr>
        <w:spacing w:line="204" w:lineRule="auto"/>
        <w:jc w:val="both"/>
        <w:rPr>
          <w:sz w:val="24"/>
          <w:szCs w:val="24"/>
        </w:rPr>
      </w:pPr>
      <w:r>
        <w:rPr>
          <w:sz w:val="24"/>
          <w:szCs w:val="24"/>
          <w:u w:val="single"/>
        </w:rPr>
        <w:t>50% and above AMI</w:t>
      </w:r>
      <w:r>
        <w:rPr>
          <w:sz w:val="24"/>
          <w:szCs w:val="24"/>
        </w:rPr>
        <w:t>50.5% of households in the income category experience cost burden. 85.</w:t>
      </w:r>
      <w:r w:rsidR="00764A7E">
        <w:rPr>
          <w:sz w:val="24"/>
          <w:szCs w:val="24"/>
        </w:rPr>
        <w:t>8</w:t>
      </w:r>
      <w:r>
        <w:rPr>
          <w:sz w:val="24"/>
          <w:szCs w:val="24"/>
        </w:rPr>
        <w:t xml:space="preserve">% of White households in this income group experience housing cost burden and are disproportionately affected. </w:t>
      </w:r>
    </w:p>
    <w:p w14:paraId="63C3380A" w14:textId="77777777" w:rsidR="00AC2E82" w:rsidRPr="00AC2E82" w:rsidRDefault="00AC2E82" w:rsidP="00C83593">
      <w:pPr>
        <w:jc w:val="both"/>
        <w:rPr>
          <w:sz w:val="24"/>
          <w:szCs w:val="24"/>
        </w:rPr>
      </w:pPr>
    </w:p>
    <w:p w14:paraId="682F823D" w14:textId="77777777" w:rsidR="009B0FCC" w:rsidRDefault="009B0FCC" w:rsidP="009B0FCC">
      <w:pPr>
        <w:pStyle w:val="Heading2"/>
        <w:pageBreakBefore/>
        <w:rPr>
          <w:rFonts w:ascii="Calibri" w:hAnsi="Calibri"/>
          <w:i/>
        </w:rPr>
      </w:pPr>
      <w:bookmarkStart w:id="22" w:name="_Toc194673840"/>
      <w:r>
        <w:rPr>
          <w:rFonts w:ascii="Calibri" w:hAnsi="Calibri"/>
        </w:rPr>
        <w:lastRenderedPageBreak/>
        <w:t>NA-30 Disproportionately Greater Need: Discussion – 91.305 (b)(2)</w:t>
      </w:r>
      <w:bookmarkEnd w:id="22"/>
    </w:p>
    <w:p w14:paraId="01A44ABC" w14:textId="77777777" w:rsidR="009B0FCC" w:rsidRDefault="009B0FCC" w:rsidP="009B0FCC">
      <w:pPr>
        <w:rPr>
          <w:b/>
          <w:sz w:val="24"/>
          <w:szCs w:val="24"/>
        </w:rPr>
      </w:pPr>
      <w:r w:rsidRPr="497B8E2D">
        <w:rPr>
          <w:b/>
          <w:bCs/>
          <w:sz w:val="24"/>
          <w:szCs w:val="24"/>
        </w:rPr>
        <w:t>Are there any Income categories in which a racial or ethnic group has disproportionately greater need than the needs of that income category as a whole?</w:t>
      </w:r>
    </w:p>
    <w:p w14:paraId="16D3C958" w14:textId="77777777" w:rsidR="009B0FCC" w:rsidRDefault="009B0FCC" w:rsidP="00C83593">
      <w:pPr>
        <w:jc w:val="both"/>
        <w:rPr>
          <w:sz w:val="24"/>
          <w:szCs w:val="24"/>
          <w:u w:val="single"/>
        </w:rPr>
      </w:pPr>
      <w:r w:rsidRPr="497B8E2D">
        <w:rPr>
          <w:sz w:val="24"/>
          <w:szCs w:val="24"/>
          <w:u w:val="single"/>
        </w:rPr>
        <w:t>30-50% AMI</w:t>
      </w:r>
    </w:p>
    <w:p w14:paraId="55DFED8A" w14:textId="73FB6458" w:rsidR="009B0FCC" w:rsidRDefault="009B0FCC" w:rsidP="00C83593">
      <w:pPr>
        <w:pStyle w:val="ListParagraph"/>
        <w:numPr>
          <w:ilvl w:val="0"/>
          <w:numId w:val="7"/>
        </w:numPr>
        <w:jc w:val="both"/>
        <w:rPr>
          <w:sz w:val="24"/>
          <w:szCs w:val="24"/>
        </w:rPr>
      </w:pPr>
      <w:r w:rsidRPr="151BC3F1">
        <w:rPr>
          <w:b/>
          <w:bCs/>
          <w:sz w:val="24"/>
          <w:szCs w:val="24"/>
        </w:rPr>
        <w:t>Severe Housing Problems</w:t>
      </w:r>
      <w:r w:rsidRPr="151BC3F1">
        <w:rPr>
          <w:sz w:val="24"/>
          <w:szCs w:val="24"/>
        </w:rPr>
        <w:t xml:space="preserve">: Black/African American households, Asian households, and Pacific Islander households are disproportionately affected </w:t>
      </w:r>
      <w:r w:rsidR="6F8F42CE" w:rsidRPr="151BC3F1">
        <w:rPr>
          <w:sz w:val="24"/>
          <w:szCs w:val="24"/>
        </w:rPr>
        <w:t xml:space="preserve">by </w:t>
      </w:r>
      <w:r w:rsidRPr="151BC3F1">
        <w:rPr>
          <w:sz w:val="24"/>
          <w:szCs w:val="24"/>
        </w:rPr>
        <w:t>severe housing problems.</w:t>
      </w:r>
    </w:p>
    <w:p w14:paraId="52573FF1" w14:textId="0DA7093F" w:rsidR="00FA2CBE" w:rsidRDefault="00FA2CBE" w:rsidP="00C83593">
      <w:pPr>
        <w:pStyle w:val="ListParagraph"/>
        <w:numPr>
          <w:ilvl w:val="0"/>
          <w:numId w:val="7"/>
        </w:numPr>
        <w:jc w:val="both"/>
        <w:rPr>
          <w:sz w:val="24"/>
          <w:szCs w:val="24"/>
        </w:rPr>
      </w:pPr>
      <w:r>
        <w:rPr>
          <w:b/>
          <w:bCs/>
          <w:sz w:val="24"/>
          <w:szCs w:val="24"/>
        </w:rPr>
        <w:t>Housing Cost Burden</w:t>
      </w:r>
      <w:r w:rsidRPr="001865FB">
        <w:rPr>
          <w:sz w:val="24"/>
          <w:szCs w:val="24"/>
        </w:rPr>
        <w:t>:</w:t>
      </w:r>
      <w:r>
        <w:rPr>
          <w:sz w:val="24"/>
          <w:szCs w:val="24"/>
        </w:rPr>
        <w:t xml:space="preserve"> White households are disproportionately affected by housing cost burden.</w:t>
      </w:r>
    </w:p>
    <w:p w14:paraId="0AA8B1CC" w14:textId="77777777" w:rsidR="009B0FCC" w:rsidRDefault="009B0FCC" w:rsidP="00C83593">
      <w:pPr>
        <w:jc w:val="both"/>
        <w:rPr>
          <w:sz w:val="24"/>
          <w:szCs w:val="24"/>
          <w:u w:val="single"/>
        </w:rPr>
      </w:pPr>
      <w:r w:rsidRPr="497B8E2D">
        <w:rPr>
          <w:sz w:val="24"/>
          <w:szCs w:val="24"/>
          <w:u w:val="single"/>
        </w:rPr>
        <w:t>50-80% AMI</w:t>
      </w:r>
    </w:p>
    <w:p w14:paraId="5E9831E5" w14:textId="77777777" w:rsidR="009B0FCC" w:rsidRDefault="009B0FCC" w:rsidP="00C83593">
      <w:pPr>
        <w:pStyle w:val="ListParagraph"/>
        <w:numPr>
          <w:ilvl w:val="0"/>
          <w:numId w:val="6"/>
        </w:numPr>
        <w:jc w:val="both"/>
        <w:rPr>
          <w:sz w:val="24"/>
          <w:szCs w:val="24"/>
        </w:rPr>
      </w:pPr>
      <w:r w:rsidRPr="497B8E2D">
        <w:rPr>
          <w:b/>
          <w:bCs/>
          <w:sz w:val="24"/>
          <w:szCs w:val="24"/>
        </w:rPr>
        <w:t>Housing Problems</w:t>
      </w:r>
      <w:r w:rsidRPr="497B8E2D">
        <w:rPr>
          <w:sz w:val="24"/>
          <w:szCs w:val="24"/>
        </w:rPr>
        <w:t>: Black/African American households and Pacific Islander households in this income category disproportionately experience housing problems.</w:t>
      </w:r>
    </w:p>
    <w:p w14:paraId="03E56C20" w14:textId="59E52959" w:rsidR="00FA2CBE" w:rsidRPr="001865FB" w:rsidRDefault="00FA2CBE" w:rsidP="00C83593">
      <w:pPr>
        <w:pStyle w:val="ListParagraph"/>
        <w:numPr>
          <w:ilvl w:val="0"/>
          <w:numId w:val="6"/>
        </w:numPr>
        <w:jc w:val="both"/>
        <w:rPr>
          <w:sz w:val="24"/>
          <w:szCs w:val="24"/>
        </w:rPr>
      </w:pPr>
      <w:r>
        <w:rPr>
          <w:b/>
          <w:bCs/>
          <w:sz w:val="24"/>
          <w:szCs w:val="24"/>
        </w:rPr>
        <w:t>Housing Cost Burden</w:t>
      </w:r>
      <w:r w:rsidRPr="002B2E65">
        <w:rPr>
          <w:sz w:val="24"/>
          <w:szCs w:val="24"/>
        </w:rPr>
        <w:t>:</w:t>
      </w:r>
      <w:r>
        <w:rPr>
          <w:sz w:val="24"/>
          <w:szCs w:val="24"/>
        </w:rPr>
        <w:t xml:space="preserve"> White households are disproportionately affected by housing cost burden.</w:t>
      </w:r>
    </w:p>
    <w:p w14:paraId="0FBF090B" w14:textId="77777777" w:rsidR="009B0FCC" w:rsidRDefault="009B0FCC" w:rsidP="00C83593">
      <w:pPr>
        <w:jc w:val="both"/>
        <w:rPr>
          <w:sz w:val="24"/>
          <w:szCs w:val="24"/>
          <w:u w:val="single"/>
        </w:rPr>
      </w:pPr>
      <w:r w:rsidRPr="497B8E2D">
        <w:rPr>
          <w:sz w:val="24"/>
          <w:szCs w:val="24"/>
          <w:u w:val="single"/>
        </w:rPr>
        <w:t>80-100% AMI</w:t>
      </w:r>
    </w:p>
    <w:p w14:paraId="2ECA9F39" w14:textId="77777777" w:rsidR="009B0FCC" w:rsidRDefault="009B0FCC" w:rsidP="00C83593">
      <w:pPr>
        <w:pStyle w:val="ListParagraph"/>
        <w:numPr>
          <w:ilvl w:val="0"/>
          <w:numId w:val="5"/>
        </w:numPr>
        <w:jc w:val="both"/>
        <w:rPr>
          <w:sz w:val="24"/>
          <w:szCs w:val="24"/>
        </w:rPr>
      </w:pPr>
      <w:r w:rsidRPr="497B8E2D">
        <w:rPr>
          <w:b/>
          <w:bCs/>
          <w:sz w:val="24"/>
          <w:szCs w:val="24"/>
        </w:rPr>
        <w:t>Housing Problems:</w:t>
      </w:r>
      <w:r w:rsidRPr="497B8E2D">
        <w:rPr>
          <w:sz w:val="24"/>
          <w:szCs w:val="24"/>
        </w:rPr>
        <w:t xml:space="preserve"> Asian households disproportionately experience housing cost burden.</w:t>
      </w:r>
    </w:p>
    <w:p w14:paraId="39867A3D" w14:textId="7D76E101" w:rsidR="00FA2CBE" w:rsidRPr="001865FB" w:rsidRDefault="00FA2CBE" w:rsidP="00C83593">
      <w:pPr>
        <w:pStyle w:val="ListParagraph"/>
        <w:numPr>
          <w:ilvl w:val="0"/>
          <w:numId w:val="5"/>
        </w:numPr>
        <w:jc w:val="both"/>
        <w:rPr>
          <w:sz w:val="24"/>
          <w:szCs w:val="24"/>
        </w:rPr>
      </w:pPr>
      <w:r>
        <w:rPr>
          <w:b/>
          <w:bCs/>
          <w:sz w:val="24"/>
          <w:szCs w:val="24"/>
        </w:rPr>
        <w:t>Housing Cost Burden</w:t>
      </w:r>
      <w:r w:rsidRPr="002B2E65">
        <w:rPr>
          <w:sz w:val="24"/>
          <w:szCs w:val="24"/>
        </w:rPr>
        <w:t>:</w:t>
      </w:r>
      <w:r>
        <w:rPr>
          <w:sz w:val="24"/>
          <w:szCs w:val="24"/>
        </w:rPr>
        <w:t xml:space="preserve"> White households are disproportionately affected by housing cost burden.</w:t>
      </w:r>
    </w:p>
    <w:p w14:paraId="2E4B1856" w14:textId="77777777" w:rsidR="009B0FCC" w:rsidRDefault="009B0FCC" w:rsidP="00C83593">
      <w:pPr>
        <w:jc w:val="both"/>
        <w:rPr>
          <w:b/>
          <w:bCs/>
          <w:sz w:val="24"/>
          <w:szCs w:val="24"/>
        </w:rPr>
      </w:pPr>
      <w:r w:rsidRPr="497B8E2D">
        <w:rPr>
          <w:b/>
          <w:bCs/>
          <w:sz w:val="24"/>
          <w:szCs w:val="24"/>
        </w:rPr>
        <w:t>If they have needs not identified above, what are those needs?</w:t>
      </w:r>
    </w:p>
    <w:p w14:paraId="11F171CA" w14:textId="77777777" w:rsidR="009B0FCC" w:rsidRDefault="009B0FCC" w:rsidP="00C83593">
      <w:pPr>
        <w:jc w:val="both"/>
        <w:rPr>
          <w:rFonts w:cs="Calibri"/>
          <w:sz w:val="24"/>
          <w:szCs w:val="24"/>
        </w:rPr>
      </w:pPr>
      <w:r w:rsidRPr="497B8E2D">
        <w:rPr>
          <w:sz w:val="24"/>
          <w:szCs w:val="24"/>
        </w:rPr>
        <w:t xml:space="preserve">There is an overall </w:t>
      </w:r>
      <w:r w:rsidRPr="497B8E2D">
        <w:rPr>
          <w:rFonts w:cs="Calibri"/>
          <w:color w:val="000000" w:themeColor="text1"/>
        </w:rPr>
        <w:t>need for more affordable housing for all income categories.</w:t>
      </w:r>
    </w:p>
    <w:p w14:paraId="76A6FDFD" w14:textId="77777777" w:rsidR="009B0FCC" w:rsidRDefault="009B0FCC" w:rsidP="00C83593">
      <w:pPr>
        <w:jc w:val="both"/>
        <w:rPr>
          <w:b/>
          <w:bCs/>
          <w:sz w:val="24"/>
          <w:szCs w:val="24"/>
        </w:rPr>
      </w:pPr>
      <w:r w:rsidRPr="497B8E2D">
        <w:rPr>
          <w:b/>
          <w:bCs/>
          <w:sz w:val="24"/>
          <w:szCs w:val="24"/>
        </w:rPr>
        <w:t>Are any of those racial or ethnic groups located in specific areas or neighborhoods in your community?</w:t>
      </w:r>
    </w:p>
    <w:p w14:paraId="7F6AC82B" w14:textId="77777777" w:rsidR="009B0FCC" w:rsidRDefault="009B0FCC" w:rsidP="00C83593">
      <w:pPr>
        <w:jc w:val="both"/>
        <w:rPr>
          <w:sz w:val="24"/>
          <w:szCs w:val="24"/>
        </w:rPr>
      </w:pPr>
      <w:r w:rsidRPr="497B8E2D">
        <w:rPr>
          <w:sz w:val="24"/>
          <w:szCs w:val="24"/>
        </w:rPr>
        <w:t>The racial groups that have identified disproportionate needs (discussed above) are Black/African Americans, Pacific Islanders, and Asians. However, these groups are very small percentages of the population of Idaho (according 2020 Census data).</w:t>
      </w:r>
    </w:p>
    <w:p w14:paraId="3E8E242A" w14:textId="77777777" w:rsidR="009B0FCC" w:rsidRDefault="009B0FCC" w:rsidP="00C83593">
      <w:pPr>
        <w:pStyle w:val="ListParagraph"/>
        <w:numPr>
          <w:ilvl w:val="0"/>
          <w:numId w:val="2"/>
        </w:numPr>
        <w:jc w:val="both"/>
        <w:rPr>
          <w:sz w:val="24"/>
          <w:szCs w:val="24"/>
        </w:rPr>
      </w:pPr>
      <w:r w:rsidRPr="497B8E2D">
        <w:rPr>
          <w:sz w:val="24"/>
          <w:szCs w:val="24"/>
        </w:rPr>
        <w:t>Black/African Americans: 0.86% of Idaho’s population</w:t>
      </w:r>
    </w:p>
    <w:p w14:paraId="6E0E338D" w14:textId="77777777" w:rsidR="009B0FCC" w:rsidRDefault="009B0FCC" w:rsidP="00C83593">
      <w:pPr>
        <w:pStyle w:val="ListParagraph"/>
        <w:numPr>
          <w:ilvl w:val="0"/>
          <w:numId w:val="2"/>
        </w:numPr>
        <w:jc w:val="both"/>
        <w:rPr>
          <w:sz w:val="24"/>
          <w:szCs w:val="24"/>
        </w:rPr>
      </w:pPr>
      <w:r w:rsidRPr="497B8E2D">
        <w:rPr>
          <w:sz w:val="24"/>
          <w:szCs w:val="24"/>
        </w:rPr>
        <w:t>Pacific Islanders: 0.2% of Idaho’s population</w:t>
      </w:r>
    </w:p>
    <w:p w14:paraId="31DC8F53" w14:textId="77777777" w:rsidR="009B0FCC" w:rsidRDefault="009B0FCC" w:rsidP="00C83593">
      <w:pPr>
        <w:pStyle w:val="ListParagraph"/>
        <w:numPr>
          <w:ilvl w:val="0"/>
          <w:numId w:val="2"/>
        </w:numPr>
        <w:jc w:val="both"/>
        <w:rPr>
          <w:sz w:val="24"/>
          <w:szCs w:val="24"/>
        </w:rPr>
      </w:pPr>
      <w:r w:rsidRPr="497B8E2D">
        <w:rPr>
          <w:sz w:val="24"/>
          <w:szCs w:val="24"/>
        </w:rPr>
        <w:t>Asians: 1.46% of Idaho’s population</w:t>
      </w:r>
    </w:p>
    <w:p w14:paraId="75733A97" w14:textId="77777777" w:rsidR="009B0FCC" w:rsidRDefault="009B0FCC" w:rsidP="00C83593">
      <w:pPr>
        <w:jc w:val="both"/>
        <w:rPr>
          <w:rFonts w:cs="Arial"/>
        </w:rPr>
      </w:pPr>
    </w:p>
    <w:p w14:paraId="609BB215" w14:textId="77777777" w:rsidR="009B0FCC" w:rsidRDefault="009B0FCC" w:rsidP="00C83593">
      <w:pPr>
        <w:pStyle w:val="Heading2"/>
        <w:pageBreakBefore/>
        <w:jc w:val="both"/>
        <w:rPr>
          <w:rFonts w:ascii="Calibri" w:hAnsi="Calibri"/>
          <w:i/>
        </w:rPr>
        <w:sectPr w:rsidR="009B0FCC" w:rsidSect="009B0FCC">
          <w:pgSz w:w="12240" w:h="15840"/>
          <w:pgMar w:top="1440" w:right="1440" w:bottom="1440" w:left="1440" w:header="720" w:footer="720" w:gutter="0"/>
          <w:cols w:space="720"/>
          <w:docGrid w:linePitch="360"/>
        </w:sectPr>
      </w:pPr>
      <w:bookmarkStart w:id="23" w:name="_Toc309810478"/>
    </w:p>
    <w:p w14:paraId="500BB9F4" w14:textId="77777777" w:rsidR="009B0FCC" w:rsidRPr="00D61E55" w:rsidRDefault="009B0FCC" w:rsidP="00C83593">
      <w:pPr>
        <w:pStyle w:val="Heading2"/>
        <w:pageBreakBefore/>
        <w:jc w:val="both"/>
        <w:rPr>
          <w:rFonts w:ascii="Calibri" w:hAnsi="Calibri"/>
          <w:i/>
          <w:iCs/>
          <w:highlight w:val="yellow"/>
        </w:rPr>
      </w:pPr>
      <w:bookmarkStart w:id="24" w:name="_Toc194673841"/>
      <w:bookmarkEnd w:id="23"/>
      <w:r w:rsidRPr="000312CD">
        <w:rPr>
          <w:rFonts w:ascii="Calibri" w:hAnsi="Calibri"/>
        </w:rPr>
        <w:lastRenderedPageBreak/>
        <w:t>NA-35 Public Housing – (Optional)</w:t>
      </w:r>
      <w:bookmarkEnd w:id="24"/>
    </w:p>
    <w:p w14:paraId="6CE995D0" w14:textId="77777777" w:rsidR="009B0FCC" w:rsidRPr="00C00F48" w:rsidRDefault="009B0FCC" w:rsidP="00C83593">
      <w:pPr>
        <w:spacing w:line="204" w:lineRule="auto"/>
        <w:jc w:val="both"/>
        <w:rPr>
          <w:b/>
          <w:sz w:val="24"/>
          <w:szCs w:val="24"/>
        </w:rPr>
      </w:pPr>
      <w:r w:rsidRPr="00C00F48">
        <w:rPr>
          <w:b/>
          <w:bCs/>
          <w:sz w:val="24"/>
          <w:szCs w:val="24"/>
        </w:rPr>
        <w:t>Introduction</w:t>
      </w:r>
    </w:p>
    <w:p w14:paraId="5825340A" w14:textId="0D2098A9" w:rsidR="009B0FCC" w:rsidRPr="00C70C50" w:rsidRDefault="009B0FCC" w:rsidP="00C83593">
      <w:pPr>
        <w:jc w:val="both"/>
        <w:rPr>
          <w:sz w:val="24"/>
          <w:szCs w:val="24"/>
        </w:rPr>
      </w:pPr>
      <w:r w:rsidRPr="00C70C50">
        <w:rPr>
          <w:sz w:val="24"/>
          <w:szCs w:val="24"/>
        </w:rPr>
        <w:t>The Totals in Use numbers provided below by HUD below illustrate the Vouchers and Public Housing administered by Idaho Housing and Finance Association (IHFA).</w:t>
      </w:r>
    </w:p>
    <w:p w14:paraId="264A37A1" w14:textId="0A3D384F" w:rsidR="009B0FCC" w:rsidRPr="00C70C50" w:rsidRDefault="009B0FCC" w:rsidP="00C83593">
      <w:pPr>
        <w:jc w:val="both"/>
        <w:rPr>
          <w:sz w:val="24"/>
          <w:szCs w:val="24"/>
        </w:rPr>
      </w:pPr>
      <w:r w:rsidRPr="595E08D8">
        <w:rPr>
          <w:sz w:val="24"/>
          <w:szCs w:val="24"/>
        </w:rPr>
        <w:t xml:space="preserve">IHFA administers the Section 8 Housing Choice Voucher program in </w:t>
      </w:r>
      <w:r w:rsidRPr="00D61E55">
        <w:rPr>
          <w:sz w:val="24"/>
          <w:szCs w:val="24"/>
        </w:rPr>
        <w:t>34 of 44 c</w:t>
      </w:r>
      <w:r w:rsidRPr="595E08D8">
        <w:rPr>
          <w:sz w:val="24"/>
          <w:szCs w:val="24"/>
        </w:rPr>
        <w:t>ounties and encourages public housing programs statewide. IHFA is only one in a statewide network of public housing providers. IHFA does not oversee any citywide or countywide Participating Jurisdictions (PJs) for public housing. These jurisdictions have local official governing boards responsible to appoint the board of a PHA and direct PHA activities. The State of Idaho does not own</w:t>
      </w:r>
      <w:r w:rsidR="1C2C00C5" w:rsidRPr="595E08D8">
        <w:rPr>
          <w:sz w:val="24"/>
          <w:szCs w:val="24"/>
        </w:rPr>
        <w:t xml:space="preserve"> or administer</w:t>
      </w:r>
      <w:r w:rsidRPr="595E08D8">
        <w:rPr>
          <w:sz w:val="24"/>
          <w:szCs w:val="24"/>
        </w:rPr>
        <w:t xml:space="preserve"> any public housing</w:t>
      </w:r>
      <w:r w:rsidR="61CD4DFE" w:rsidRPr="595E08D8">
        <w:rPr>
          <w:sz w:val="24"/>
          <w:szCs w:val="24"/>
        </w:rPr>
        <w:t>.</w:t>
      </w:r>
      <w:r w:rsidR="498F0832" w:rsidRPr="595E08D8">
        <w:rPr>
          <w:sz w:val="24"/>
          <w:szCs w:val="24"/>
        </w:rPr>
        <w:t xml:space="preserve"> </w:t>
      </w:r>
    </w:p>
    <w:p w14:paraId="0844E6B8" w14:textId="77777777" w:rsidR="009B0FCC" w:rsidRDefault="009B0FCC" w:rsidP="009B0FCC">
      <w:pPr>
        <w:keepNext/>
        <w:widowControl w:val="0"/>
        <w:rPr>
          <w:b/>
          <w:sz w:val="24"/>
          <w:szCs w:val="24"/>
        </w:rPr>
      </w:pPr>
      <w:r>
        <w:rPr>
          <w:b/>
          <w:sz w:val="24"/>
          <w:szCs w:val="24"/>
        </w:rPr>
        <w:t xml:space="preserve"> Totals in Use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8"/>
        <w:gridCol w:w="1091"/>
        <w:gridCol w:w="1059"/>
        <w:gridCol w:w="1069"/>
        <w:gridCol w:w="1226"/>
        <w:gridCol w:w="1231"/>
        <w:gridCol w:w="1231"/>
        <w:gridCol w:w="1155"/>
        <w:gridCol w:w="1156"/>
        <w:gridCol w:w="1144"/>
      </w:tblGrid>
      <w:tr w:rsidR="009B0FCC" w14:paraId="6B218725" w14:textId="77777777" w:rsidTr="00721F16">
        <w:trPr>
          <w:cantSplit/>
          <w:tblHeader/>
        </w:trPr>
        <w:tc>
          <w:tcPr>
            <w:tcW w:w="13190" w:type="dxa"/>
            <w:gridSpan w:val="10"/>
          </w:tcPr>
          <w:p w14:paraId="5653E268" w14:textId="77777777" w:rsidR="009B0FCC" w:rsidRDefault="009B0FCC" w:rsidP="00721F16">
            <w:pPr>
              <w:keepNext/>
              <w:widowControl w:val="0"/>
              <w:spacing w:after="0" w:line="240" w:lineRule="auto"/>
              <w:jc w:val="center"/>
              <w:rPr>
                <w:b/>
                <w:sz w:val="20"/>
                <w:szCs w:val="20"/>
              </w:rPr>
            </w:pPr>
            <w:r>
              <w:rPr>
                <w:rFonts w:cs="Arial"/>
                <w:b/>
                <w:sz w:val="20"/>
                <w:szCs w:val="20"/>
              </w:rPr>
              <w:t>Program Type</w:t>
            </w:r>
          </w:p>
        </w:tc>
      </w:tr>
      <w:tr w:rsidR="009B0FCC" w14:paraId="7349260D" w14:textId="77777777" w:rsidTr="00721F16">
        <w:trPr>
          <w:cantSplit/>
          <w:tblHeader/>
        </w:trPr>
        <w:tc>
          <w:tcPr>
            <w:tcW w:w="2693" w:type="dxa"/>
            <w:vMerge w:val="restart"/>
          </w:tcPr>
          <w:p w14:paraId="004A8EB5" w14:textId="77777777" w:rsidR="009B0FCC" w:rsidRDefault="009B0FCC" w:rsidP="00721F16">
            <w:pPr>
              <w:keepNext/>
              <w:widowControl w:val="0"/>
              <w:spacing w:after="0" w:line="240" w:lineRule="auto"/>
              <w:jc w:val="center"/>
              <w:rPr>
                <w:b/>
                <w:sz w:val="20"/>
                <w:szCs w:val="20"/>
              </w:rPr>
            </w:pPr>
          </w:p>
        </w:tc>
        <w:tc>
          <w:tcPr>
            <w:tcW w:w="1091" w:type="dxa"/>
            <w:vMerge w:val="restart"/>
          </w:tcPr>
          <w:p w14:paraId="47515766" w14:textId="77777777" w:rsidR="009B0FCC" w:rsidRDefault="009B0FCC" w:rsidP="00721F16">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1692ACE4" w14:textId="77777777" w:rsidR="009B0FCC" w:rsidRDefault="009B0FCC" w:rsidP="00721F16">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13FF579C" w14:textId="77777777" w:rsidR="009B0FCC" w:rsidRDefault="009B0FCC" w:rsidP="00721F16">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45D0B8AA" w14:textId="77777777" w:rsidR="009B0FCC" w:rsidRDefault="009B0FCC" w:rsidP="00721F16">
            <w:pPr>
              <w:keepNext/>
              <w:widowControl w:val="0"/>
              <w:spacing w:after="0" w:line="240" w:lineRule="auto"/>
              <w:rPr>
                <w:b/>
                <w:sz w:val="20"/>
                <w:szCs w:val="20"/>
              </w:rPr>
            </w:pPr>
            <w:r>
              <w:rPr>
                <w:b/>
                <w:sz w:val="20"/>
                <w:szCs w:val="20"/>
              </w:rPr>
              <w:t>Vouchers</w:t>
            </w:r>
          </w:p>
        </w:tc>
      </w:tr>
      <w:tr w:rsidR="009B0FCC" w14:paraId="2367A17C" w14:textId="77777777" w:rsidTr="00721F16">
        <w:trPr>
          <w:cantSplit/>
          <w:tblHeader/>
        </w:trPr>
        <w:tc>
          <w:tcPr>
            <w:tcW w:w="2693" w:type="dxa"/>
            <w:vMerge/>
          </w:tcPr>
          <w:p w14:paraId="5845A7D3" w14:textId="77777777" w:rsidR="009B0FCC" w:rsidRDefault="009B0FCC" w:rsidP="00721F16">
            <w:pPr>
              <w:keepNext/>
              <w:widowControl w:val="0"/>
              <w:spacing w:after="0" w:line="240" w:lineRule="auto"/>
              <w:jc w:val="center"/>
              <w:rPr>
                <w:b/>
                <w:sz w:val="20"/>
                <w:szCs w:val="20"/>
              </w:rPr>
            </w:pPr>
          </w:p>
        </w:tc>
        <w:tc>
          <w:tcPr>
            <w:tcW w:w="1091" w:type="dxa"/>
            <w:vMerge/>
          </w:tcPr>
          <w:p w14:paraId="03442119" w14:textId="77777777" w:rsidR="009B0FCC" w:rsidRDefault="009B0FCC" w:rsidP="00721F16">
            <w:pPr>
              <w:keepNext/>
              <w:widowControl w:val="0"/>
              <w:spacing w:after="0" w:line="240" w:lineRule="auto"/>
              <w:jc w:val="center"/>
              <w:rPr>
                <w:b/>
                <w:sz w:val="20"/>
                <w:szCs w:val="20"/>
              </w:rPr>
            </w:pPr>
          </w:p>
        </w:tc>
        <w:tc>
          <w:tcPr>
            <w:tcW w:w="1079" w:type="dxa"/>
            <w:vMerge/>
          </w:tcPr>
          <w:p w14:paraId="67B66E95" w14:textId="77777777" w:rsidR="009B0FCC" w:rsidRDefault="009B0FCC" w:rsidP="00721F16">
            <w:pPr>
              <w:keepNext/>
              <w:widowControl w:val="0"/>
              <w:spacing w:after="0" w:line="240" w:lineRule="auto"/>
              <w:jc w:val="center"/>
              <w:rPr>
                <w:b/>
                <w:sz w:val="20"/>
                <w:szCs w:val="20"/>
              </w:rPr>
            </w:pPr>
          </w:p>
        </w:tc>
        <w:tc>
          <w:tcPr>
            <w:tcW w:w="1080" w:type="dxa"/>
            <w:vMerge/>
          </w:tcPr>
          <w:p w14:paraId="5CBD344E" w14:textId="77777777" w:rsidR="009B0FCC" w:rsidRDefault="009B0FCC" w:rsidP="00721F16">
            <w:pPr>
              <w:keepNext/>
              <w:widowControl w:val="0"/>
              <w:spacing w:after="0" w:line="240" w:lineRule="auto"/>
              <w:jc w:val="center"/>
              <w:rPr>
                <w:b/>
                <w:sz w:val="20"/>
                <w:szCs w:val="20"/>
              </w:rPr>
            </w:pPr>
          </w:p>
        </w:tc>
        <w:tc>
          <w:tcPr>
            <w:tcW w:w="1259" w:type="dxa"/>
            <w:vMerge w:val="restart"/>
          </w:tcPr>
          <w:p w14:paraId="618C6D93" w14:textId="77777777" w:rsidR="009B0FCC" w:rsidRDefault="009B0FCC" w:rsidP="00721F16">
            <w:pPr>
              <w:keepNext/>
              <w:widowControl w:val="0"/>
              <w:spacing w:after="0" w:line="240" w:lineRule="auto"/>
              <w:jc w:val="center"/>
              <w:rPr>
                <w:b/>
                <w:sz w:val="20"/>
                <w:szCs w:val="20"/>
              </w:rPr>
            </w:pPr>
            <w:r>
              <w:rPr>
                <w:rFonts w:cs="Arial"/>
                <w:b/>
                <w:sz w:val="20"/>
                <w:szCs w:val="20"/>
              </w:rPr>
              <w:t>Total</w:t>
            </w:r>
          </w:p>
        </w:tc>
        <w:tc>
          <w:tcPr>
            <w:tcW w:w="1259" w:type="dxa"/>
            <w:vMerge w:val="restart"/>
          </w:tcPr>
          <w:p w14:paraId="6354870D" w14:textId="77777777" w:rsidR="009B0FCC" w:rsidRDefault="009B0FCC" w:rsidP="00721F16">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3CCDF815" w14:textId="77777777" w:rsidR="009B0FCC" w:rsidRDefault="009B0FCC" w:rsidP="00721F16">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44B308DB" w14:textId="77777777" w:rsidR="009B0FCC" w:rsidRDefault="009B0FCC" w:rsidP="00721F16">
            <w:pPr>
              <w:keepNext/>
              <w:widowControl w:val="0"/>
              <w:spacing w:after="0" w:line="240" w:lineRule="auto"/>
              <w:jc w:val="center"/>
              <w:rPr>
                <w:b/>
                <w:sz w:val="20"/>
                <w:szCs w:val="20"/>
              </w:rPr>
            </w:pPr>
            <w:r>
              <w:rPr>
                <w:rFonts w:cs="Arial"/>
                <w:b/>
                <w:sz w:val="20"/>
                <w:szCs w:val="20"/>
              </w:rPr>
              <w:t>Special Purpose Voucher</w:t>
            </w:r>
          </w:p>
        </w:tc>
      </w:tr>
      <w:tr w:rsidR="009B0FCC" w14:paraId="3B9F1BAC" w14:textId="77777777" w:rsidTr="00721F16">
        <w:trPr>
          <w:cantSplit/>
          <w:tblHeader/>
        </w:trPr>
        <w:tc>
          <w:tcPr>
            <w:tcW w:w="2693" w:type="dxa"/>
            <w:vMerge/>
          </w:tcPr>
          <w:p w14:paraId="59AAE969" w14:textId="77777777" w:rsidR="009B0FCC" w:rsidRDefault="009B0FCC" w:rsidP="00721F16">
            <w:pPr>
              <w:keepNext/>
              <w:widowControl w:val="0"/>
              <w:spacing w:after="0" w:line="240" w:lineRule="auto"/>
              <w:jc w:val="center"/>
              <w:rPr>
                <w:b/>
                <w:sz w:val="20"/>
                <w:szCs w:val="20"/>
              </w:rPr>
            </w:pPr>
          </w:p>
        </w:tc>
        <w:tc>
          <w:tcPr>
            <w:tcW w:w="1091" w:type="dxa"/>
            <w:vMerge/>
          </w:tcPr>
          <w:p w14:paraId="0CC95968" w14:textId="77777777" w:rsidR="009B0FCC" w:rsidRDefault="009B0FCC" w:rsidP="00721F16">
            <w:pPr>
              <w:keepNext/>
              <w:widowControl w:val="0"/>
              <w:spacing w:after="0" w:line="240" w:lineRule="auto"/>
              <w:jc w:val="center"/>
              <w:rPr>
                <w:b/>
                <w:sz w:val="20"/>
                <w:szCs w:val="20"/>
              </w:rPr>
            </w:pPr>
          </w:p>
        </w:tc>
        <w:tc>
          <w:tcPr>
            <w:tcW w:w="1079" w:type="dxa"/>
            <w:vMerge/>
          </w:tcPr>
          <w:p w14:paraId="2377B2B7" w14:textId="77777777" w:rsidR="009B0FCC" w:rsidRDefault="009B0FCC" w:rsidP="00721F16">
            <w:pPr>
              <w:keepNext/>
              <w:widowControl w:val="0"/>
              <w:spacing w:after="0" w:line="240" w:lineRule="auto"/>
              <w:jc w:val="center"/>
              <w:rPr>
                <w:b/>
                <w:sz w:val="20"/>
                <w:szCs w:val="20"/>
              </w:rPr>
            </w:pPr>
          </w:p>
        </w:tc>
        <w:tc>
          <w:tcPr>
            <w:tcW w:w="1080" w:type="dxa"/>
            <w:vMerge/>
          </w:tcPr>
          <w:p w14:paraId="420FD858" w14:textId="77777777" w:rsidR="009B0FCC" w:rsidRDefault="009B0FCC" w:rsidP="00721F16">
            <w:pPr>
              <w:keepNext/>
              <w:widowControl w:val="0"/>
              <w:spacing w:after="0" w:line="240" w:lineRule="auto"/>
              <w:jc w:val="center"/>
              <w:rPr>
                <w:b/>
                <w:sz w:val="20"/>
                <w:szCs w:val="20"/>
              </w:rPr>
            </w:pPr>
          </w:p>
        </w:tc>
        <w:tc>
          <w:tcPr>
            <w:tcW w:w="1259" w:type="dxa"/>
            <w:vMerge/>
          </w:tcPr>
          <w:p w14:paraId="74EB74D8" w14:textId="77777777" w:rsidR="009B0FCC" w:rsidRDefault="009B0FCC" w:rsidP="00721F16">
            <w:pPr>
              <w:keepNext/>
              <w:widowControl w:val="0"/>
              <w:spacing w:after="0" w:line="240" w:lineRule="auto"/>
              <w:jc w:val="center"/>
              <w:rPr>
                <w:b/>
                <w:sz w:val="20"/>
                <w:szCs w:val="20"/>
              </w:rPr>
            </w:pPr>
          </w:p>
        </w:tc>
        <w:tc>
          <w:tcPr>
            <w:tcW w:w="1259" w:type="dxa"/>
            <w:vMerge/>
          </w:tcPr>
          <w:p w14:paraId="07EE6A40" w14:textId="77777777" w:rsidR="009B0FCC" w:rsidRDefault="009B0FCC" w:rsidP="00721F16">
            <w:pPr>
              <w:keepNext/>
              <w:widowControl w:val="0"/>
              <w:spacing w:after="0" w:line="240" w:lineRule="auto"/>
              <w:jc w:val="center"/>
              <w:rPr>
                <w:b/>
                <w:sz w:val="20"/>
                <w:szCs w:val="20"/>
              </w:rPr>
            </w:pPr>
          </w:p>
        </w:tc>
        <w:tc>
          <w:tcPr>
            <w:tcW w:w="1259" w:type="dxa"/>
            <w:vMerge/>
          </w:tcPr>
          <w:p w14:paraId="606EBC64" w14:textId="77777777" w:rsidR="009B0FCC" w:rsidRDefault="009B0FCC" w:rsidP="00721F16">
            <w:pPr>
              <w:keepNext/>
              <w:widowControl w:val="0"/>
              <w:spacing w:after="0" w:line="240" w:lineRule="auto"/>
              <w:jc w:val="center"/>
              <w:rPr>
                <w:b/>
                <w:sz w:val="20"/>
                <w:szCs w:val="20"/>
              </w:rPr>
            </w:pPr>
          </w:p>
        </w:tc>
        <w:tc>
          <w:tcPr>
            <w:tcW w:w="1156" w:type="dxa"/>
          </w:tcPr>
          <w:p w14:paraId="133E2970" w14:textId="77777777" w:rsidR="009B0FCC" w:rsidRDefault="009B0FCC" w:rsidP="00721F16">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52C870BF" w14:textId="77777777" w:rsidR="009B0FCC" w:rsidRDefault="009B0FCC" w:rsidP="00721F16">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6E9A3F07" w14:textId="77777777" w:rsidR="009B0FCC" w:rsidRDefault="009B0FCC" w:rsidP="00721F16">
            <w:pPr>
              <w:keepNext/>
              <w:widowControl w:val="0"/>
              <w:spacing w:after="0" w:line="240" w:lineRule="auto"/>
              <w:jc w:val="center"/>
              <w:rPr>
                <w:rFonts w:cs="Arial"/>
                <w:b/>
                <w:sz w:val="20"/>
                <w:szCs w:val="20"/>
              </w:rPr>
            </w:pPr>
            <w:r>
              <w:rPr>
                <w:rFonts w:cs="Arial"/>
                <w:b/>
                <w:sz w:val="20"/>
                <w:szCs w:val="20"/>
              </w:rPr>
              <w:t>Disabled</w:t>
            </w:r>
          </w:p>
          <w:p w14:paraId="2E70E21C" w14:textId="77777777" w:rsidR="009B0FCC" w:rsidRDefault="009B0FCC" w:rsidP="00721F16">
            <w:pPr>
              <w:keepNext/>
              <w:widowControl w:val="0"/>
              <w:spacing w:after="0" w:line="240" w:lineRule="auto"/>
              <w:jc w:val="center"/>
              <w:rPr>
                <w:b/>
                <w:sz w:val="20"/>
                <w:szCs w:val="20"/>
              </w:rPr>
            </w:pPr>
            <w:r>
              <w:rPr>
                <w:b/>
                <w:sz w:val="20"/>
                <w:szCs w:val="20"/>
              </w:rPr>
              <w:t>*</w:t>
            </w:r>
          </w:p>
        </w:tc>
      </w:tr>
      <w:tr w:rsidR="009B0FCC" w14:paraId="7CF85111" w14:textId="77777777" w:rsidTr="00721F16">
        <w:trPr>
          <w:cantSplit/>
        </w:trPr>
        <w:tc>
          <w:tcPr>
            <w:tcW w:w="0" w:type="auto"/>
          </w:tcPr>
          <w:p w14:paraId="61F5649B" w14:textId="77777777" w:rsidR="009B0FCC" w:rsidRDefault="009B0FCC" w:rsidP="00721F16">
            <w:pPr>
              <w:spacing w:beforeAutospacing="1" w:afterAutospacing="1"/>
            </w:pPr>
            <w:r>
              <w:rPr>
                <w:color w:val="000000"/>
              </w:rPr>
              <w:t xml:space="preserve"># of </w:t>
            </w:r>
            <w:proofErr w:type="gramStart"/>
            <w:r>
              <w:rPr>
                <w:color w:val="000000"/>
              </w:rPr>
              <w:t>units</w:t>
            </w:r>
            <w:proofErr w:type="gramEnd"/>
            <w:r>
              <w:rPr>
                <w:color w:val="000000"/>
              </w:rPr>
              <w:t xml:space="preserve"> vouchers in use</w:t>
            </w:r>
          </w:p>
        </w:tc>
        <w:tc>
          <w:tcPr>
            <w:tcW w:w="0" w:type="auto"/>
            <w:vAlign w:val="bottom"/>
          </w:tcPr>
          <w:p w14:paraId="1E218752" w14:textId="77777777" w:rsidR="009B0FCC" w:rsidRDefault="009B0FCC" w:rsidP="00721F16">
            <w:pPr>
              <w:spacing w:beforeAutospacing="1" w:afterAutospacing="1"/>
              <w:jc w:val="right"/>
            </w:pPr>
            <w:r>
              <w:rPr>
                <w:color w:val="000000"/>
              </w:rPr>
              <w:t>0</w:t>
            </w:r>
          </w:p>
        </w:tc>
        <w:tc>
          <w:tcPr>
            <w:tcW w:w="0" w:type="auto"/>
            <w:vAlign w:val="bottom"/>
          </w:tcPr>
          <w:p w14:paraId="075115AE" w14:textId="77777777" w:rsidR="009B0FCC" w:rsidRDefault="009B0FCC" w:rsidP="00721F16">
            <w:pPr>
              <w:spacing w:beforeAutospacing="1" w:afterAutospacing="1"/>
              <w:jc w:val="right"/>
            </w:pPr>
            <w:r>
              <w:rPr>
                <w:color w:val="000000"/>
              </w:rPr>
              <w:t>0</w:t>
            </w:r>
          </w:p>
        </w:tc>
        <w:tc>
          <w:tcPr>
            <w:tcW w:w="0" w:type="auto"/>
            <w:vAlign w:val="bottom"/>
          </w:tcPr>
          <w:p w14:paraId="4CB9733A" w14:textId="77777777" w:rsidR="009B0FCC" w:rsidRDefault="009B0FCC" w:rsidP="00721F16">
            <w:pPr>
              <w:spacing w:beforeAutospacing="1" w:afterAutospacing="1"/>
              <w:jc w:val="right"/>
            </w:pPr>
            <w:r>
              <w:rPr>
                <w:color w:val="000000"/>
              </w:rPr>
              <w:t>75</w:t>
            </w:r>
          </w:p>
        </w:tc>
        <w:tc>
          <w:tcPr>
            <w:tcW w:w="0" w:type="auto"/>
            <w:vAlign w:val="bottom"/>
          </w:tcPr>
          <w:p w14:paraId="018648B3" w14:textId="77777777" w:rsidR="009B0FCC" w:rsidRDefault="009B0FCC" w:rsidP="00721F16">
            <w:pPr>
              <w:spacing w:beforeAutospacing="1" w:afterAutospacing="1"/>
              <w:jc w:val="right"/>
            </w:pPr>
            <w:r>
              <w:rPr>
                <w:color w:val="000000"/>
              </w:rPr>
              <w:t>3,241</w:t>
            </w:r>
          </w:p>
        </w:tc>
        <w:tc>
          <w:tcPr>
            <w:tcW w:w="0" w:type="auto"/>
            <w:vAlign w:val="bottom"/>
          </w:tcPr>
          <w:p w14:paraId="179F993A" w14:textId="77777777" w:rsidR="009B0FCC" w:rsidRDefault="009B0FCC" w:rsidP="00721F16">
            <w:pPr>
              <w:spacing w:beforeAutospacing="1" w:afterAutospacing="1"/>
              <w:jc w:val="right"/>
            </w:pPr>
            <w:r>
              <w:rPr>
                <w:color w:val="000000"/>
              </w:rPr>
              <w:t>0</w:t>
            </w:r>
          </w:p>
        </w:tc>
        <w:tc>
          <w:tcPr>
            <w:tcW w:w="0" w:type="auto"/>
            <w:vAlign w:val="bottom"/>
          </w:tcPr>
          <w:p w14:paraId="60C60143" w14:textId="77777777" w:rsidR="009B0FCC" w:rsidRDefault="009B0FCC" w:rsidP="00721F16">
            <w:pPr>
              <w:spacing w:beforeAutospacing="1" w:afterAutospacing="1"/>
              <w:jc w:val="right"/>
            </w:pPr>
            <w:r>
              <w:rPr>
                <w:color w:val="000000"/>
              </w:rPr>
              <w:t>2,984</w:t>
            </w:r>
          </w:p>
        </w:tc>
        <w:tc>
          <w:tcPr>
            <w:tcW w:w="0" w:type="auto"/>
            <w:vAlign w:val="bottom"/>
          </w:tcPr>
          <w:p w14:paraId="272B5FB7" w14:textId="77777777" w:rsidR="009B0FCC" w:rsidRDefault="009B0FCC" w:rsidP="00721F16">
            <w:pPr>
              <w:spacing w:beforeAutospacing="1" w:afterAutospacing="1"/>
              <w:jc w:val="right"/>
            </w:pPr>
            <w:r>
              <w:rPr>
                <w:color w:val="000000"/>
              </w:rPr>
              <w:t>19</w:t>
            </w:r>
          </w:p>
        </w:tc>
        <w:tc>
          <w:tcPr>
            <w:tcW w:w="0" w:type="auto"/>
            <w:vAlign w:val="bottom"/>
          </w:tcPr>
          <w:p w14:paraId="4603AEB8" w14:textId="77777777" w:rsidR="009B0FCC" w:rsidRDefault="009B0FCC" w:rsidP="00721F16">
            <w:pPr>
              <w:spacing w:beforeAutospacing="1" w:afterAutospacing="1"/>
              <w:jc w:val="right"/>
            </w:pPr>
            <w:r>
              <w:rPr>
                <w:color w:val="000000"/>
              </w:rPr>
              <w:t>9</w:t>
            </w:r>
          </w:p>
        </w:tc>
        <w:tc>
          <w:tcPr>
            <w:tcW w:w="0" w:type="auto"/>
            <w:vAlign w:val="bottom"/>
          </w:tcPr>
          <w:p w14:paraId="1652AE60" w14:textId="77777777" w:rsidR="009B0FCC" w:rsidRDefault="009B0FCC" w:rsidP="00721F16">
            <w:pPr>
              <w:spacing w:beforeAutospacing="1" w:afterAutospacing="1"/>
              <w:jc w:val="right"/>
            </w:pPr>
            <w:r>
              <w:rPr>
                <w:color w:val="000000"/>
              </w:rPr>
              <w:t>196</w:t>
            </w:r>
          </w:p>
        </w:tc>
      </w:tr>
    </w:tbl>
    <w:p w14:paraId="5D4B0238" w14:textId="77777777" w:rsidR="009B0FCC" w:rsidRDefault="009B0FCC" w:rsidP="009B0FCC">
      <w:pPr>
        <w:keepNext/>
        <w:widowControl w:val="0"/>
        <w:spacing w:after="0" w:line="240" w:lineRule="auto"/>
        <w:jc w:val="center"/>
        <w:rPr>
          <w:rFonts w:asciiTheme="minorHAnsi" w:hAnsiTheme="minorHAnsi"/>
          <w:b/>
          <w:vanish/>
          <w:sz w:val="10"/>
          <w:szCs w:val="10"/>
        </w:rPr>
      </w:pPr>
    </w:p>
    <w:p w14:paraId="21A100BA"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Public Housing by Program Type</w:t>
      </w:r>
    </w:p>
    <w:p w14:paraId="38A5A601" w14:textId="0066A82D" w:rsidR="009B0FCC" w:rsidRDefault="009B0FCC" w:rsidP="009B0FCC">
      <w:pPr>
        <w:keepNext/>
        <w:widowControl w:val="0"/>
        <w:spacing w:after="0" w:line="240" w:lineRule="auto"/>
        <w:rPr>
          <w:rFonts w:cs="Arial"/>
          <w:b/>
          <w:sz w:val="20"/>
          <w:szCs w:val="20"/>
        </w:rPr>
      </w:pPr>
      <w:r>
        <w:rPr>
          <w:rFonts w:cs="Arial"/>
          <w:b/>
          <w:sz w:val="20"/>
          <w:szCs w:val="20"/>
        </w:rPr>
        <w:t>*</w:t>
      </w:r>
      <w:r w:rsidR="301339D7" w:rsidRPr="098FA5AC">
        <w:rPr>
          <w:rFonts w:cs="Arial"/>
          <w:b/>
          <w:bCs/>
          <w:sz w:val="20"/>
          <w:szCs w:val="20"/>
        </w:rPr>
        <w:t>I</w:t>
      </w:r>
      <w:r w:rsidR="6B92611D" w:rsidRPr="098FA5AC">
        <w:rPr>
          <w:rFonts w:cs="Arial"/>
          <w:b/>
          <w:bCs/>
          <w:sz w:val="20"/>
          <w:szCs w:val="20"/>
        </w:rPr>
        <w:t>ncludes</w:t>
      </w:r>
      <w:r>
        <w:rPr>
          <w:rFonts w:cs="Arial"/>
          <w:b/>
          <w:sz w:val="20"/>
          <w:szCs w:val="20"/>
        </w:rPr>
        <w:t xml:space="preserve"> Non-Elderly Disabled, Mainstream One-Year, Mainstream Five-year, and Nursing Home Transition</w:t>
      </w:r>
    </w:p>
    <w:p w14:paraId="45DE4450" w14:textId="77777777" w:rsidR="009B0FCC" w:rsidRDefault="009B0FCC" w:rsidP="009B0FCC">
      <w:pPr>
        <w:keepNext/>
        <w:widowControl w:val="0"/>
        <w:spacing w:after="0" w:line="240" w:lineRule="auto"/>
        <w:jc w:val="center"/>
        <w:rPr>
          <w:b/>
          <w:bCs/>
          <w:sz w:val="20"/>
          <w:szCs w:val="20"/>
        </w:rPr>
      </w:pP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9B0FCC" w14:paraId="122007EE" w14:textId="77777777" w:rsidTr="00721F16">
        <w:trPr>
          <w:cantSplit/>
        </w:trPr>
        <w:tc>
          <w:tcPr>
            <w:tcW w:w="1080" w:type="dxa"/>
          </w:tcPr>
          <w:p w14:paraId="7AEF83A1" w14:textId="77777777" w:rsidR="009B0FCC" w:rsidRDefault="009B0FCC" w:rsidP="00721F16">
            <w:pPr>
              <w:spacing w:after="0" w:line="240" w:lineRule="auto"/>
              <w:rPr>
                <w:sz w:val="16"/>
                <w:szCs w:val="16"/>
              </w:rPr>
            </w:pPr>
            <w:r>
              <w:rPr>
                <w:b/>
                <w:bCs/>
                <w:sz w:val="16"/>
                <w:szCs w:val="16"/>
              </w:rPr>
              <w:t>Data Source:</w:t>
            </w:r>
          </w:p>
        </w:tc>
        <w:tc>
          <w:tcPr>
            <w:tcW w:w="8510" w:type="dxa"/>
          </w:tcPr>
          <w:p w14:paraId="5199BE22" w14:textId="77777777" w:rsidR="009B0FCC" w:rsidRDefault="009B0FCC" w:rsidP="00721F16">
            <w:pPr>
              <w:spacing w:beforeAutospacing="1" w:afterAutospacing="1"/>
              <w:rPr>
                <w:sz w:val="16"/>
                <w:szCs w:val="16"/>
              </w:rPr>
            </w:pPr>
            <w:r>
              <w:rPr>
                <w:sz w:val="16"/>
                <w:szCs w:val="16"/>
              </w:rPr>
              <w:t>PIC (PIH Information Center)</w:t>
            </w:r>
          </w:p>
        </w:tc>
      </w:tr>
    </w:tbl>
    <w:p w14:paraId="71DCE650" w14:textId="77777777" w:rsidR="009B0FCC" w:rsidRDefault="009B0FCC" w:rsidP="009B0FCC">
      <w:pPr>
        <w:keepNext/>
        <w:widowControl w:val="0"/>
        <w:spacing w:after="0" w:line="240" w:lineRule="auto"/>
        <w:jc w:val="center"/>
        <w:rPr>
          <w:b/>
          <w:bCs/>
          <w:vanish/>
          <w:sz w:val="20"/>
          <w:szCs w:val="20"/>
        </w:rPr>
      </w:pPr>
    </w:p>
    <w:p w14:paraId="427C7563" w14:textId="77777777" w:rsidR="009B0FCC" w:rsidRDefault="009B0FCC" w:rsidP="009B0FCC">
      <w:pPr>
        <w:spacing w:after="0" w:line="240" w:lineRule="auto"/>
        <w:rPr>
          <w:b/>
          <w:bCs/>
          <w:vanish/>
          <w:sz w:val="16"/>
          <w:szCs w:val="16"/>
        </w:rPr>
      </w:pPr>
    </w:p>
    <w:p w14:paraId="3BB02737" w14:textId="77777777" w:rsidR="009B0FCC" w:rsidRDefault="009B0FCC" w:rsidP="009B0FCC"/>
    <w:p w14:paraId="6FDD310F" w14:textId="77777777" w:rsidR="009B0FCC" w:rsidRDefault="009B0FCC" w:rsidP="009B0FCC">
      <w:pPr>
        <w:keepNext/>
        <w:widowControl w:val="0"/>
        <w:tabs>
          <w:tab w:val="left" w:pos="3633"/>
        </w:tabs>
        <w:rPr>
          <w:b/>
          <w:sz w:val="24"/>
          <w:szCs w:val="24"/>
        </w:rPr>
      </w:pPr>
      <w:r>
        <w:rPr>
          <w:b/>
          <w:sz w:val="24"/>
          <w:szCs w:val="24"/>
        </w:rPr>
        <w:lastRenderedPageBreak/>
        <w:t xml:space="preserve"> Characteristics of Residents</w:t>
      </w:r>
      <w:r>
        <w:rPr>
          <w:b/>
          <w:sz w:val="24"/>
          <w:szCs w:val="24"/>
        </w:rPr>
        <w:tab/>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78"/>
        <w:gridCol w:w="1091"/>
        <w:gridCol w:w="983"/>
        <w:gridCol w:w="1027"/>
        <w:gridCol w:w="1101"/>
        <w:gridCol w:w="1128"/>
        <w:gridCol w:w="1126"/>
        <w:gridCol w:w="1539"/>
        <w:gridCol w:w="1577"/>
      </w:tblGrid>
      <w:tr w:rsidR="009B0FCC" w14:paraId="626105BE" w14:textId="77777777" w:rsidTr="00721F16">
        <w:trPr>
          <w:cantSplit/>
          <w:tblHeader/>
        </w:trPr>
        <w:tc>
          <w:tcPr>
            <w:tcW w:w="13190" w:type="dxa"/>
            <w:gridSpan w:val="9"/>
          </w:tcPr>
          <w:p w14:paraId="13B0029D" w14:textId="77777777" w:rsidR="009B0FCC" w:rsidRDefault="009B0FCC" w:rsidP="00721F16">
            <w:pPr>
              <w:keepNext/>
              <w:widowControl w:val="0"/>
              <w:spacing w:after="0" w:line="240" w:lineRule="auto"/>
              <w:jc w:val="center"/>
              <w:rPr>
                <w:b/>
                <w:sz w:val="20"/>
                <w:szCs w:val="20"/>
              </w:rPr>
            </w:pPr>
            <w:r>
              <w:rPr>
                <w:rFonts w:cs="Arial"/>
                <w:b/>
                <w:sz w:val="20"/>
                <w:szCs w:val="20"/>
              </w:rPr>
              <w:t>Program Type</w:t>
            </w:r>
          </w:p>
        </w:tc>
      </w:tr>
      <w:tr w:rsidR="009B0FCC" w14:paraId="0EA8FC92" w14:textId="77777777" w:rsidTr="00721F16">
        <w:trPr>
          <w:cantSplit/>
          <w:tblHeader/>
        </w:trPr>
        <w:tc>
          <w:tcPr>
            <w:tcW w:w="2693" w:type="dxa"/>
            <w:vMerge w:val="restart"/>
          </w:tcPr>
          <w:p w14:paraId="3F263984" w14:textId="77777777" w:rsidR="009B0FCC" w:rsidRDefault="009B0FCC" w:rsidP="00721F16">
            <w:pPr>
              <w:keepNext/>
              <w:widowControl w:val="0"/>
              <w:spacing w:after="0" w:line="240" w:lineRule="auto"/>
              <w:jc w:val="center"/>
              <w:rPr>
                <w:b/>
                <w:sz w:val="20"/>
                <w:szCs w:val="20"/>
              </w:rPr>
            </w:pPr>
          </w:p>
        </w:tc>
        <w:tc>
          <w:tcPr>
            <w:tcW w:w="1091" w:type="dxa"/>
            <w:vMerge w:val="restart"/>
          </w:tcPr>
          <w:p w14:paraId="38796195" w14:textId="77777777" w:rsidR="009B0FCC" w:rsidRDefault="009B0FCC" w:rsidP="00721F16">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23A168CC" w14:textId="77777777" w:rsidR="009B0FCC" w:rsidRDefault="009B0FCC" w:rsidP="00721F16">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023E2185" w14:textId="77777777" w:rsidR="009B0FCC" w:rsidRDefault="009B0FCC" w:rsidP="00721F16">
            <w:pPr>
              <w:keepNext/>
              <w:widowControl w:val="0"/>
              <w:spacing w:after="0" w:line="240" w:lineRule="auto"/>
              <w:jc w:val="center"/>
              <w:rPr>
                <w:b/>
                <w:sz w:val="20"/>
                <w:szCs w:val="20"/>
              </w:rPr>
            </w:pPr>
            <w:r>
              <w:rPr>
                <w:rFonts w:cs="Arial"/>
                <w:b/>
                <w:sz w:val="20"/>
                <w:szCs w:val="20"/>
              </w:rPr>
              <w:t>Public Housing</w:t>
            </w:r>
          </w:p>
        </w:tc>
        <w:tc>
          <w:tcPr>
            <w:tcW w:w="7247" w:type="dxa"/>
            <w:gridSpan w:val="5"/>
          </w:tcPr>
          <w:p w14:paraId="2498A2C4" w14:textId="77777777" w:rsidR="009B0FCC" w:rsidRDefault="009B0FCC" w:rsidP="00721F16">
            <w:pPr>
              <w:keepNext/>
              <w:widowControl w:val="0"/>
              <w:spacing w:after="0" w:line="240" w:lineRule="auto"/>
              <w:rPr>
                <w:b/>
                <w:sz w:val="20"/>
                <w:szCs w:val="20"/>
              </w:rPr>
            </w:pPr>
            <w:r>
              <w:rPr>
                <w:b/>
                <w:sz w:val="20"/>
                <w:szCs w:val="20"/>
              </w:rPr>
              <w:t>Vouchers</w:t>
            </w:r>
          </w:p>
        </w:tc>
      </w:tr>
      <w:tr w:rsidR="009B0FCC" w14:paraId="78881E5B" w14:textId="77777777" w:rsidTr="00721F16">
        <w:trPr>
          <w:cantSplit/>
          <w:tblHeader/>
        </w:trPr>
        <w:tc>
          <w:tcPr>
            <w:tcW w:w="2693" w:type="dxa"/>
            <w:vMerge/>
          </w:tcPr>
          <w:p w14:paraId="03EE1C79" w14:textId="77777777" w:rsidR="009B0FCC" w:rsidRDefault="009B0FCC" w:rsidP="00721F16">
            <w:pPr>
              <w:keepNext/>
              <w:widowControl w:val="0"/>
              <w:spacing w:after="0" w:line="240" w:lineRule="auto"/>
              <w:jc w:val="center"/>
              <w:rPr>
                <w:b/>
                <w:sz w:val="20"/>
                <w:szCs w:val="20"/>
              </w:rPr>
            </w:pPr>
          </w:p>
        </w:tc>
        <w:tc>
          <w:tcPr>
            <w:tcW w:w="1091" w:type="dxa"/>
            <w:vMerge/>
          </w:tcPr>
          <w:p w14:paraId="60C7009B" w14:textId="77777777" w:rsidR="009B0FCC" w:rsidRDefault="009B0FCC" w:rsidP="00721F16">
            <w:pPr>
              <w:keepNext/>
              <w:widowControl w:val="0"/>
              <w:spacing w:after="0" w:line="240" w:lineRule="auto"/>
              <w:jc w:val="center"/>
              <w:rPr>
                <w:b/>
                <w:sz w:val="20"/>
                <w:szCs w:val="20"/>
              </w:rPr>
            </w:pPr>
          </w:p>
        </w:tc>
        <w:tc>
          <w:tcPr>
            <w:tcW w:w="1079" w:type="dxa"/>
            <w:vMerge/>
          </w:tcPr>
          <w:p w14:paraId="4D6F326B" w14:textId="77777777" w:rsidR="009B0FCC" w:rsidRDefault="009B0FCC" w:rsidP="00721F16">
            <w:pPr>
              <w:keepNext/>
              <w:widowControl w:val="0"/>
              <w:spacing w:after="0" w:line="240" w:lineRule="auto"/>
              <w:jc w:val="center"/>
              <w:rPr>
                <w:b/>
                <w:sz w:val="20"/>
                <w:szCs w:val="20"/>
              </w:rPr>
            </w:pPr>
          </w:p>
        </w:tc>
        <w:tc>
          <w:tcPr>
            <w:tcW w:w="1080" w:type="dxa"/>
            <w:vMerge/>
          </w:tcPr>
          <w:p w14:paraId="3DEE133B" w14:textId="77777777" w:rsidR="009B0FCC" w:rsidRDefault="009B0FCC" w:rsidP="00721F16">
            <w:pPr>
              <w:keepNext/>
              <w:widowControl w:val="0"/>
              <w:spacing w:after="0" w:line="240" w:lineRule="auto"/>
              <w:jc w:val="center"/>
              <w:rPr>
                <w:b/>
                <w:sz w:val="20"/>
                <w:szCs w:val="20"/>
              </w:rPr>
            </w:pPr>
          </w:p>
        </w:tc>
        <w:tc>
          <w:tcPr>
            <w:tcW w:w="1259" w:type="dxa"/>
            <w:vMerge w:val="restart"/>
          </w:tcPr>
          <w:p w14:paraId="71648889" w14:textId="77777777" w:rsidR="009B0FCC" w:rsidRDefault="009B0FCC" w:rsidP="00721F16">
            <w:pPr>
              <w:keepNext/>
              <w:widowControl w:val="0"/>
              <w:spacing w:after="0" w:line="240" w:lineRule="auto"/>
              <w:jc w:val="center"/>
              <w:rPr>
                <w:b/>
                <w:sz w:val="20"/>
                <w:szCs w:val="20"/>
              </w:rPr>
            </w:pPr>
            <w:r>
              <w:rPr>
                <w:rFonts w:cs="Arial"/>
                <w:b/>
                <w:sz w:val="20"/>
                <w:szCs w:val="20"/>
              </w:rPr>
              <w:t>Total</w:t>
            </w:r>
          </w:p>
        </w:tc>
        <w:tc>
          <w:tcPr>
            <w:tcW w:w="1259" w:type="dxa"/>
            <w:vMerge w:val="restart"/>
          </w:tcPr>
          <w:p w14:paraId="38D6E243" w14:textId="77777777" w:rsidR="009B0FCC" w:rsidRDefault="009B0FCC" w:rsidP="00721F16">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26B2ECCC" w14:textId="77777777" w:rsidR="009B0FCC" w:rsidRDefault="009B0FCC" w:rsidP="00721F16">
            <w:pPr>
              <w:keepNext/>
              <w:widowControl w:val="0"/>
              <w:spacing w:after="0" w:line="240" w:lineRule="auto"/>
              <w:jc w:val="center"/>
              <w:rPr>
                <w:b/>
                <w:sz w:val="20"/>
                <w:szCs w:val="20"/>
              </w:rPr>
            </w:pPr>
            <w:r>
              <w:rPr>
                <w:rFonts w:cs="Arial"/>
                <w:b/>
                <w:sz w:val="20"/>
                <w:szCs w:val="20"/>
              </w:rPr>
              <w:t>Tenant -based</w:t>
            </w:r>
          </w:p>
        </w:tc>
        <w:tc>
          <w:tcPr>
            <w:tcW w:w="3470" w:type="dxa"/>
            <w:gridSpan w:val="2"/>
          </w:tcPr>
          <w:p w14:paraId="39331A63" w14:textId="77777777" w:rsidR="009B0FCC" w:rsidRDefault="009B0FCC" w:rsidP="00721F16">
            <w:pPr>
              <w:keepNext/>
              <w:widowControl w:val="0"/>
              <w:spacing w:after="0" w:line="240" w:lineRule="auto"/>
              <w:jc w:val="center"/>
              <w:rPr>
                <w:b/>
                <w:sz w:val="20"/>
                <w:szCs w:val="20"/>
              </w:rPr>
            </w:pPr>
            <w:r>
              <w:rPr>
                <w:rFonts w:cs="Arial"/>
                <w:b/>
                <w:sz w:val="20"/>
                <w:szCs w:val="20"/>
              </w:rPr>
              <w:t>Special Purpose Voucher</w:t>
            </w:r>
          </w:p>
        </w:tc>
      </w:tr>
      <w:tr w:rsidR="009B0FCC" w14:paraId="160BF708" w14:textId="77777777" w:rsidTr="00721F16">
        <w:trPr>
          <w:cantSplit/>
          <w:tblHeader/>
        </w:trPr>
        <w:tc>
          <w:tcPr>
            <w:tcW w:w="2693" w:type="dxa"/>
            <w:vMerge/>
          </w:tcPr>
          <w:p w14:paraId="19017376" w14:textId="77777777" w:rsidR="009B0FCC" w:rsidRDefault="009B0FCC" w:rsidP="00721F16">
            <w:pPr>
              <w:keepNext/>
              <w:widowControl w:val="0"/>
              <w:spacing w:after="0" w:line="240" w:lineRule="auto"/>
              <w:jc w:val="center"/>
              <w:rPr>
                <w:b/>
                <w:sz w:val="20"/>
                <w:szCs w:val="20"/>
              </w:rPr>
            </w:pPr>
          </w:p>
        </w:tc>
        <w:tc>
          <w:tcPr>
            <w:tcW w:w="1091" w:type="dxa"/>
            <w:vMerge/>
          </w:tcPr>
          <w:p w14:paraId="67B726A5" w14:textId="77777777" w:rsidR="009B0FCC" w:rsidRDefault="009B0FCC" w:rsidP="00721F16">
            <w:pPr>
              <w:keepNext/>
              <w:widowControl w:val="0"/>
              <w:spacing w:after="0" w:line="240" w:lineRule="auto"/>
              <w:jc w:val="center"/>
              <w:rPr>
                <w:b/>
                <w:sz w:val="20"/>
                <w:szCs w:val="20"/>
              </w:rPr>
            </w:pPr>
          </w:p>
        </w:tc>
        <w:tc>
          <w:tcPr>
            <w:tcW w:w="1079" w:type="dxa"/>
            <w:vMerge/>
          </w:tcPr>
          <w:p w14:paraId="78526B4B" w14:textId="77777777" w:rsidR="009B0FCC" w:rsidRDefault="009B0FCC" w:rsidP="00721F16">
            <w:pPr>
              <w:keepNext/>
              <w:widowControl w:val="0"/>
              <w:spacing w:after="0" w:line="240" w:lineRule="auto"/>
              <w:jc w:val="center"/>
              <w:rPr>
                <w:b/>
                <w:sz w:val="20"/>
                <w:szCs w:val="20"/>
              </w:rPr>
            </w:pPr>
          </w:p>
        </w:tc>
        <w:tc>
          <w:tcPr>
            <w:tcW w:w="1080" w:type="dxa"/>
            <w:vMerge/>
          </w:tcPr>
          <w:p w14:paraId="0CEB16E8" w14:textId="77777777" w:rsidR="009B0FCC" w:rsidRDefault="009B0FCC" w:rsidP="00721F16">
            <w:pPr>
              <w:keepNext/>
              <w:widowControl w:val="0"/>
              <w:spacing w:after="0" w:line="240" w:lineRule="auto"/>
              <w:jc w:val="center"/>
              <w:rPr>
                <w:b/>
                <w:sz w:val="20"/>
                <w:szCs w:val="20"/>
              </w:rPr>
            </w:pPr>
          </w:p>
        </w:tc>
        <w:tc>
          <w:tcPr>
            <w:tcW w:w="1259" w:type="dxa"/>
            <w:vMerge/>
          </w:tcPr>
          <w:p w14:paraId="31DA8318" w14:textId="77777777" w:rsidR="009B0FCC" w:rsidRDefault="009B0FCC" w:rsidP="00721F16">
            <w:pPr>
              <w:keepNext/>
              <w:widowControl w:val="0"/>
              <w:spacing w:after="0" w:line="240" w:lineRule="auto"/>
              <w:jc w:val="center"/>
              <w:rPr>
                <w:b/>
                <w:sz w:val="20"/>
                <w:szCs w:val="20"/>
              </w:rPr>
            </w:pPr>
          </w:p>
        </w:tc>
        <w:tc>
          <w:tcPr>
            <w:tcW w:w="1259" w:type="dxa"/>
            <w:vMerge/>
          </w:tcPr>
          <w:p w14:paraId="26E40E21" w14:textId="77777777" w:rsidR="009B0FCC" w:rsidRDefault="009B0FCC" w:rsidP="00721F16">
            <w:pPr>
              <w:keepNext/>
              <w:widowControl w:val="0"/>
              <w:spacing w:after="0" w:line="240" w:lineRule="auto"/>
              <w:jc w:val="center"/>
              <w:rPr>
                <w:b/>
                <w:sz w:val="20"/>
                <w:szCs w:val="20"/>
              </w:rPr>
            </w:pPr>
          </w:p>
        </w:tc>
        <w:tc>
          <w:tcPr>
            <w:tcW w:w="1259" w:type="dxa"/>
            <w:vMerge/>
          </w:tcPr>
          <w:p w14:paraId="15FEDCBC" w14:textId="77777777" w:rsidR="009B0FCC" w:rsidRDefault="009B0FCC" w:rsidP="00721F16">
            <w:pPr>
              <w:keepNext/>
              <w:widowControl w:val="0"/>
              <w:spacing w:after="0" w:line="240" w:lineRule="auto"/>
              <w:jc w:val="center"/>
              <w:rPr>
                <w:b/>
                <w:sz w:val="20"/>
                <w:szCs w:val="20"/>
              </w:rPr>
            </w:pPr>
          </w:p>
        </w:tc>
        <w:tc>
          <w:tcPr>
            <w:tcW w:w="1710" w:type="dxa"/>
          </w:tcPr>
          <w:p w14:paraId="6D66DC7B" w14:textId="77777777" w:rsidR="009B0FCC" w:rsidRDefault="009B0FCC" w:rsidP="00721F16">
            <w:pPr>
              <w:keepNext/>
              <w:widowControl w:val="0"/>
              <w:spacing w:after="0" w:line="240" w:lineRule="auto"/>
              <w:jc w:val="center"/>
              <w:rPr>
                <w:b/>
                <w:sz w:val="20"/>
                <w:szCs w:val="20"/>
              </w:rPr>
            </w:pPr>
            <w:r>
              <w:rPr>
                <w:rFonts w:cs="Arial"/>
                <w:b/>
                <w:sz w:val="20"/>
                <w:szCs w:val="20"/>
              </w:rPr>
              <w:t>Veterans Affairs Supportive Housing</w:t>
            </w:r>
          </w:p>
        </w:tc>
        <w:tc>
          <w:tcPr>
            <w:tcW w:w="1760" w:type="dxa"/>
          </w:tcPr>
          <w:p w14:paraId="1E253FC4" w14:textId="77777777" w:rsidR="009B0FCC" w:rsidRDefault="009B0FCC" w:rsidP="00721F16">
            <w:pPr>
              <w:keepNext/>
              <w:widowControl w:val="0"/>
              <w:spacing w:after="0" w:line="240" w:lineRule="auto"/>
              <w:jc w:val="center"/>
              <w:rPr>
                <w:b/>
                <w:sz w:val="20"/>
                <w:szCs w:val="20"/>
              </w:rPr>
            </w:pPr>
            <w:r>
              <w:rPr>
                <w:rFonts w:cs="Arial"/>
                <w:b/>
                <w:sz w:val="20"/>
                <w:szCs w:val="20"/>
              </w:rPr>
              <w:t>Family Unification Program</w:t>
            </w:r>
          </w:p>
        </w:tc>
      </w:tr>
      <w:tr w:rsidR="009B0FCC" w14:paraId="033B3E89" w14:textId="77777777" w:rsidTr="00721F16">
        <w:trPr>
          <w:cantSplit/>
        </w:trPr>
        <w:tc>
          <w:tcPr>
            <w:tcW w:w="0" w:type="auto"/>
          </w:tcPr>
          <w:p w14:paraId="6410A38E" w14:textId="77777777" w:rsidR="009B0FCC" w:rsidRDefault="009B0FCC" w:rsidP="00721F16">
            <w:pPr>
              <w:spacing w:beforeAutospacing="1" w:afterAutospacing="1"/>
            </w:pPr>
            <w:r>
              <w:rPr>
                <w:color w:val="000000"/>
              </w:rPr>
              <w:t># Homeless at admission</w:t>
            </w:r>
          </w:p>
        </w:tc>
        <w:tc>
          <w:tcPr>
            <w:tcW w:w="0" w:type="auto"/>
            <w:vAlign w:val="bottom"/>
          </w:tcPr>
          <w:p w14:paraId="6D5F5A85" w14:textId="77777777" w:rsidR="009B0FCC" w:rsidRDefault="009B0FCC" w:rsidP="00721F16">
            <w:pPr>
              <w:spacing w:beforeAutospacing="1" w:afterAutospacing="1"/>
              <w:jc w:val="right"/>
            </w:pPr>
            <w:r>
              <w:rPr>
                <w:color w:val="000000"/>
              </w:rPr>
              <w:t>0</w:t>
            </w:r>
          </w:p>
        </w:tc>
        <w:tc>
          <w:tcPr>
            <w:tcW w:w="0" w:type="auto"/>
            <w:vAlign w:val="bottom"/>
          </w:tcPr>
          <w:p w14:paraId="7E209BA5" w14:textId="77777777" w:rsidR="009B0FCC" w:rsidRDefault="009B0FCC" w:rsidP="00721F16">
            <w:pPr>
              <w:spacing w:beforeAutospacing="1" w:afterAutospacing="1"/>
              <w:jc w:val="right"/>
            </w:pPr>
            <w:r>
              <w:rPr>
                <w:color w:val="000000"/>
              </w:rPr>
              <w:t>0</w:t>
            </w:r>
          </w:p>
        </w:tc>
        <w:tc>
          <w:tcPr>
            <w:tcW w:w="0" w:type="auto"/>
            <w:vAlign w:val="bottom"/>
          </w:tcPr>
          <w:p w14:paraId="4400088B" w14:textId="77777777" w:rsidR="009B0FCC" w:rsidRDefault="009B0FCC" w:rsidP="00721F16">
            <w:pPr>
              <w:spacing w:beforeAutospacing="1" w:afterAutospacing="1"/>
              <w:jc w:val="right"/>
            </w:pPr>
            <w:r>
              <w:rPr>
                <w:color w:val="000000"/>
              </w:rPr>
              <w:t>0</w:t>
            </w:r>
          </w:p>
        </w:tc>
        <w:tc>
          <w:tcPr>
            <w:tcW w:w="0" w:type="auto"/>
            <w:vAlign w:val="bottom"/>
          </w:tcPr>
          <w:p w14:paraId="5054A339" w14:textId="77777777" w:rsidR="009B0FCC" w:rsidRDefault="009B0FCC" w:rsidP="00721F16">
            <w:pPr>
              <w:spacing w:beforeAutospacing="1" w:afterAutospacing="1"/>
              <w:jc w:val="right"/>
            </w:pPr>
            <w:r>
              <w:rPr>
                <w:color w:val="000000"/>
              </w:rPr>
              <w:t>31</w:t>
            </w:r>
          </w:p>
        </w:tc>
        <w:tc>
          <w:tcPr>
            <w:tcW w:w="0" w:type="auto"/>
            <w:vAlign w:val="bottom"/>
          </w:tcPr>
          <w:p w14:paraId="5A069CAB" w14:textId="77777777" w:rsidR="009B0FCC" w:rsidRDefault="009B0FCC" w:rsidP="00721F16">
            <w:pPr>
              <w:spacing w:beforeAutospacing="1" w:afterAutospacing="1"/>
              <w:jc w:val="right"/>
            </w:pPr>
            <w:r>
              <w:rPr>
                <w:color w:val="000000"/>
              </w:rPr>
              <w:t>0</w:t>
            </w:r>
          </w:p>
        </w:tc>
        <w:tc>
          <w:tcPr>
            <w:tcW w:w="0" w:type="auto"/>
            <w:vAlign w:val="bottom"/>
          </w:tcPr>
          <w:p w14:paraId="4AB53997" w14:textId="77777777" w:rsidR="009B0FCC" w:rsidRDefault="009B0FCC" w:rsidP="00721F16">
            <w:pPr>
              <w:spacing w:beforeAutospacing="1" w:afterAutospacing="1"/>
              <w:jc w:val="right"/>
            </w:pPr>
            <w:r>
              <w:rPr>
                <w:color w:val="000000"/>
              </w:rPr>
              <w:t>31</w:t>
            </w:r>
          </w:p>
        </w:tc>
        <w:tc>
          <w:tcPr>
            <w:tcW w:w="0" w:type="auto"/>
            <w:vAlign w:val="bottom"/>
          </w:tcPr>
          <w:p w14:paraId="256F3E28" w14:textId="77777777" w:rsidR="009B0FCC" w:rsidRDefault="009B0FCC" w:rsidP="00721F16">
            <w:pPr>
              <w:spacing w:beforeAutospacing="1" w:afterAutospacing="1"/>
              <w:jc w:val="right"/>
            </w:pPr>
            <w:r>
              <w:rPr>
                <w:color w:val="000000"/>
              </w:rPr>
              <w:t>0</w:t>
            </w:r>
          </w:p>
        </w:tc>
        <w:tc>
          <w:tcPr>
            <w:tcW w:w="0" w:type="auto"/>
            <w:vAlign w:val="bottom"/>
          </w:tcPr>
          <w:p w14:paraId="37B05860" w14:textId="77777777" w:rsidR="009B0FCC" w:rsidRDefault="009B0FCC" w:rsidP="00721F16">
            <w:pPr>
              <w:spacing w:beforeAutospacing="1" w:afterAutospacing="1"/>
              <w:jc w:val="right"/>
            </w:pPr>
            <w:r>
              <w:rPr>
                <w:color w:val="000000"/>
              </w:rPr>
              <w:t>0</w:t>
            </w:r>
          </w:p>
        </w:tc>
      </w:tr>
      <w:tr w:rsidR="009B0FCC" w14:paraId="0D265A9C" w14:textId="77777777" w:rsidTr="00721F16">
        <w:trPr>
          <w:cantSplit/>
        </w:trPr>
        <w:tc>
          <w:tcPr>
            <w:tcW w:w="0" w:type="auto"/>
          </w:tcPr>
          <w:p w14:paraId="12DAB137" w14:textId="77777777" w:rsidR="009B0FCC" w:rsidRDefault="009B0FCC" w:rsidP="00721F16">
            <w:pPr>
              <w:spacing w:beforeAutospacing="1" w:afterAutospacing="1"/>
            </w:pPr>
            <w:r>
              <w:rPr>
                <w:color w:val="000000"/>
              </w:rPr>
              <w:t># of Elderly Program Participants (&gt;62)</w:t>
            </w:r>
          </w:p>
        </w:tc>
        <w:tc>
          <w:tcPr>
            <w:tcW w:w="0" w:type="auto"/>
            <w:vAlign w:val="bottom"/>
          </w:tcPr>
          <w:p w14:paraId="6ACD3B3C" w14:textId="77777777" w:rsidR="009B0FCC" w:rsidRDefault="009B0FCC" w:rsidP="00721F16">
            <w:pPr>
              <w:spacing w:beforeAutospacing="1" w:afterAutospacing="1"/>
              <w:jc w:val="right"/>
            </w:pPr>
            <w:r>
              <w:rPr>
                <w:color w:val="000000"/>
              </w:rPr>
              <w:t>0</w:t>
            </w:r>
          </w:p>
        </w:tc>
        <w:tc>
          <w:tcPr>
            <w:tcW w:w="0" w:type="auto"/>
            <w:vAlign w:val="bottom"/>
          </w:tcPr>
          <w:p w14:paraId="5E665CBD" w14:textId="77777777" w:rsidR="009B0FCC" w:rsidRDefault="009B0FCC" w:rsidP="00721F16">
            <w:pPr>
              <w:spacing w:beforeAutospacing="1" w:afterAutospacing="1"/>
              <w:jc w:val="right"/>
            </w:pPr>
            <w:r>
              <w:rPr>
                <w:color w:val="000000"/>
              </w:rPr>
              <w:t>0</w:t>
            </w:r>
          </w:p>
        </w:tc>
        <w:tc>
          <w:tcPr>
            <w:tcW w:w="0" w:type="auto"/>
            <w:vAlign w:val="bottom"/>
          </w:tcPr>
          <w:p w14:paraId="1800A6E3" w14:textId="77777777" w:rsidR="009B0FCC" w:rsidRDefault="009B0FCC" w:rsidP="00721F16">
            <w:pPr>
              <w:spacing w:beforeAutospacing="1" w:afterAutospacing="1"/>
              <w:jc w:val="right"/>
            </w:pPr>
            <w:r>
              <w:rPr>
                <w:color w:val="000000"/>
              </w:rPr>
              <w:t>16</w:t>
            </w:r>
          </w:p>
        </w:tc>
        <w:tc>
          <w:tcPr>
            <w:tcW w:w="0" w:type="auto"/>
            <w:vAlign w:val="bottom"/>
          </w:tcPr>
          <w:p w14:paraId="6C0F1F57" w14:textId="77777777" w:rsidR="009B0FCC" w:rsidRDefault="009B0FCC" w:rsidP="00721F16">
            <w:pPr>
              <w:spacing w:beforeAutospacing="1" w:afterAutospacing="1"/>
              <w:jc w:val="right"/>
            </w:pPr>
            <w:r>
              <w:rPr>
                <w:color w:val="000000"/>
              </w:rPr>
              <w:t>563</w:t>
            </w:r>
          </w:p>
        </w:tc>
        <w:tc>
          <w:tcPr>
            <w:tcW w:w="0" w:type="auto"/>
            <w:vAlign w:val="bottom"/>
          </w:tcPr>
          <w:p w14:paraId="1B323462" w14:textId="77777777" w:rsidR="009B0FCC" w:rsidRDefault="009B0FCC" w:rsidP="00721F16">
            <w:pPr>
              <w:spacing w:beforeAutospacing="1" w:afterAutospacing="1"/>
              <w:jc w:val="right"/>
            </w:pPr>
            <w:r>
              <w:rPr>
                <w:color w:val="000000"/>
              </w:rPr>
              <w:t>0</w:t>
            </w:r>
          </w:p>
        </w:tc>
        <w:tc>
          <w:tcPr>
            <w:tcW w:w="0" w:type="auto"/>
            <w:vAlign w:val="bottom"/>
          </w:tcPr>
          <w:p w14:paraId="70105D1B" w14:textId="77777777" w:rsidR="009B0FCC" w:rsidRDefault="009B0FCC" w:rsidP="00721F16">
            <w:pPr>
              <w:spacing w:beforeAutospacing="1" w:afterAutospacing="1"/>
              <w:jc w:val="right"/>
            </w:pPr>
            <w:r>
              <w:rPr>
                <w:color w:val="000000"/>
              </w:rPr>
              <w:t>546</w:t>
            </w:r>
          </w:p>
        </w:tc>
        <w:tc>
          <w:tcPr>
            <w:tcW w:w="0" w:type="auto"/>
            <w:vAlign w:val="bottom"/>
          </w:tcPr>
          <w:p w14:paraId="3ED0B5EB" w14:textId="77777777" w:rsidR="009B0FCC" w:rsidRDefault="009B0FCC" w:rsidP="00721F16">
            <w:pPr>
              <w:spacing w:beforeAutospacing="1" w:afterAutospacing="1"/>
              <w:jc w:val="right"/>
            </w:pPr>
            <w:r>
              <w:rPr>
                <w:color w:val="000000"/>
              </w:rPr>
              <w:t>2</w:t>
            </w:r>
          </w:p>
        </w:tc>
        <w:tc>
          <w:tcPr>
            <w:tcW w:w="0" w:type="auto"/>
            <w:vAlign w:val="bottom"/>
          </w:tcPr>
          <w:p w14:paraId="67DFBB6E" w14:textId="77777777" w:rsidR="009B0FCC" w:rsidRDefault="009B0FCC" w:rsidP="00721F16">
            <w:pPr>
              <w:spacing w:beforeAutospacing="1" w:afterAutospacing="1"/>
              <w:jc w:val="right"/>
            </w:pPr>
            <w:r>
              <w:rPr>
                <w:color w:val="000000"/>
              </w:rPr>
              <w:t>0</w:t>
            </w:r>
          </w:p>
        </w:tc>
      </w:tr>
      <w:tr w:rsidR="009B0FCC" w14:paraId="7D3E74F4" w14:textId="77777777" w:rsidTr="00721F16">
        <w:trPr>
          <w:cantSplit/>
        </w:trPr>
        <w:tc>
          <w:tcPr>
            <w:tcW w:w="0" w:type="auto"/>
          </w:tcPr>
          <w:p w14:paraId="136EB884" w14:textId="77777777" w:rsidR="009B0FCC" w:rsidRDefault="009B0FCC" w:rsidP="00721F16">
            <w:pPr>
              <w:spacing w:beforeAutospacing="1" w:afterAutospacing="1"/>
            </w:pPr>
            <w:r>
              <w:rPr>
                <w:color w:val="000000"/>
              </w:rPr>
              <w:t># of Disabled Families</w:t>
            </w:r>
          </w:p>
        </w:tc>
        <w:tc>
          <w:tcPr>
            <w:tcW w:w="0" w:type="auto"/>
            <w:vAlign w:val="bottom"/>
          </w:tcPr>
          <w:p w14:paraId="19A94904" w14:textId="77777777" w:rsidR="009B0FCC" w:rsidRDefault="009B0FCC" w:rsidP="00721F16">
            <w:pPr>
              <w:spacing w:beforeAutospacing="1" w:afterAutospacing="1"/>
              <w:jc w:val="right"/>
            </w:pPr>
            <w:r>
              <w:rPr>
                <w:color w:val="000000"/>
              </w:rPr>
              <w:t>0</w:t>
            </w:r>
          </w:p>
        </w:tc>
        <w:tc>
          <w:tcPr>
            <w:tcW w:w="0" w:type="auto"/>
            <w:vAlign w:val="bottom"/>
          </w:tcPr>
          <w:p w14:paraId="0E62E69D" w14:textId="77777777" w:rsidR="009B0FCC" w:rsidRDefault="009B0FCC" w:rsidP="00721F16">
            <w:pPr>
              <w:spacing w:beforeAutospacing="1" w:afterAutospacing="1"/>
              <w:jc w:val="right"/>
            </w:pPr>
            <w:r>
              <w:rPr>
                <w:color w:val="000000"/>
              </w:rPr>
              <w:t>0</w:t>
            </w:r>
          </w:p>
        </w:tc>
        <w:tc>
          <w:tcPr>
            <w:tcW w:w="0" w:type="auto"/>
            <w:vAlign w:val="bottom"/>
          </w:tcPr>
          <w:p w14:paraId="0335C571" w14:textId="77777777" w:rsidR="009B0FCC" w:rsidRDefault="009B0FCC" w:rsidP="00721F16">
            <w:pPr>
              <w:spacing w:beforeAutospacing="1" w:afterAutospacing="1"/>
              <w:jc w:val="right"/>
            </w:pPr>
            <w:r>
              <w:rPr>
                <w:color w:val="000000"/>
              </w:rPr>
              <w:t>36</w:t>
            </w:r>
          </w:p>
        </w:tc>
        <w:tc>
          <w:tcPr>
            <w:tcW w:w="0" w:type="auto"/>
            <w:vAlign w:val="bottom"/>
          </w:tcPr>
          <w:p w14:paraId="40E44090" w14:textId="77777777" w:rsidR="009B0FCC" w:rsidRDefault="009B0FCC" w:rsidP="00721F16">
            <w:pPr>
              <w:spacing w:beforeAutospacing="1" w:afterAutospacing="1"/>
              <w:jc w:val="right"/>
            </w:pPr>
            <w:r>
              <w:rPr>
                <w:color w:val="000000"/>
              </w:rPr>
              <w:t>1,540</w:t>
            </w:r>
          </w:p>
        </w:tc>
        <w:tc>
          <w:tcPr>
            <w:tcW w:w="0" w:type="auto"/>
            <w:vAlign w:val="bottom"/>
          </w:tcPr>
          <w:p w14:paraId="0F8DBD38" w14:textId="77777777" w:rsidR="009B0FCC" w:rsidRDefault="009B0FCC" w:rsidP="00721F16">
            <w:pPr>
              <w:spacing w:beforeAutospacing="1" w:afterAutospacing="1"/>
              <w:jc w:val="right"/>
            </w:pPr>
            <w:r>
              <w:rPr>
                <w:color w:val="000000"/>
              </w:rPr>
              <w:t>0</w:t>
            </w:r>
          </w:p>
        </w:tc>
        <w:tc>
          <w:tcPr>
            <w:tcW w:w="0" w:type="auto"/>
            <w:vAlign w:val="bottom"/>
          </w:tcPr>
          <w:p w14:paraId="4BA0BCD9" w14:textId="77777777" w:rsidR="009B0FCC" w:rsidRDefault="009B0FCC" w:rsidP="00721F16">
            <w:pPr>
              <w:spacing w:beforeAutospacing="1" w:afterAutospacing="1"/>
              <w:jc w:val="right"/>
            </w:pPr>
            <w:r>
              <w:rPr>
                <w:color w:val="000000"/>
              </w:rPr>
              <w:t>1,324</w:t>
            </w:r>
          </w:p>
        </w:tc>
        <w:tc>
          <w:tcPr>
            <w:tcW w:w="0" w:type="auto"/>
            <w:vAlign w:val="bottom"/>
          </w:tcPr>
          <w:p w14:paraId="7079B0D0" w14:textId="77777777" w:rsidR="009B0FCC" w:rsidRDefault="009B0FCC" w:rsidP="00721F16">
            <w:pPr>
              <w:spacing w:beforeAutospacing="1" w:afterAutospacing="1"/>
              <w:jc w:val="right"/>
            </w:pPr>
            <w:r>
              <w:rPr>
                <w:color w:val="000000"/>
              </w:rPr>
              <w:t>10</w:t>
            </w:r>
          </w:p>
        </w:tc>
        <w:tc>
          <w:tcPr>
            <w:tcW w:w="0" w:type="auto"/>
            <w:vAlign w:val="bottom"/>
          </w:tcPr>
          <w:p w14:paraId="07810F8E" w14:textId="77777777" w:rsidR="009B0FCC" w:rsidRDefault="009B0FCC" w:rsidP="00721F16">
            <w:pPr>
              <w:spacing w:beforeAutospacing="1" w:afterAutospacing="1"/>
              <w:jc w:val="right"/>
            </w:pPr>
            <w:r>
              <w:rPr>
                <w:color w:val="000000"/>
              </w:rPr>
              <w:t>4</w:t>
            </w:r>
          </w:p>
        </w:tc>
      </w:tr>
      <w:tr w:rsidR="009B0FCC" w14:paraId="0E656790" w14:textId="77777777" w:rsidTr="00721F16">
        <w:trPr>
          <w:cantSplit/>
        </w:trPr>
        <w:tc>
          <w:tcPr>
            <w:tcW w:w="0" w:type="auto"/>
          </w:tcPr>
          <w:p w14:paraId="6019A196" w14:textId="77777777" w:rsidR="009B0FCC" w:rsidRDefault="009B0FCC" w:rsidP="00721F16">
            <w:pPr>
              <w:spacing w:beforeAutospacing="1" w:afterAutospacing="1"/>
            </w:pPr>
            <w:r>
              <w:rPr>
                <w:color w:val="000000"/>
              </w:rPr>
              <w:t># of Families requesting accessibility features</w:t>
            </w:r>
          </w:p>
        </w:tc>
        <w:tc>
          <w:tcPr>
            <w:tcW w:w="0" w:type="auto"/>
            <w:vAlign w:val="bottom"/>
          </w:tcPr>
          <w:p w14:paraId="5258D587" w14:textId="77777777" w:rsidR="009B0FCC" w:rsidRDefault="009B0FCC" w:rsidP="00721F16">
            <w:pPr>
              <w:spacing w:beforeAutospacing="1" w:afterAutospacing="1"/>
              <w:jc w:val="right"/>
            </w:pPr>
            <w:r>
              <w:rPr>
                <w:color w:val="000000"/>
              </w:rPr>
              <w:t>0</w:t>
            </w:r>
          </w:p>
        </w:tc>
        <w:tc>
          <w:tcPr>
            <w:tcW w:w="0" w:type="auto"/>
            <w:vAlign w:val="bottom"/>
          </w:tcPr>
          <w:p w14:paraId="3504744F" w14:textId="77777777" w:rsidR="009B0FCC" w:rsidRDefault="009B0FCC" w:rsidP="00721F16">
            <w:pPr>
              <w:spacing w:beforeAutospacing="1" w:afterAutospacing="1"/>
              <w:jc w:val="right"/>
            </w:pPr>
            <w:r>
              <w:rPr>
                <w:color w:val="000000"/>
              </w:rPr>
              <w:t>0</w:t>
            </w:r>
          </w:p>
        </w:tc>
        <w:tc>
          <w:tcPr>
            <w:tcW w:w="0" w:type="auto"/>
            <w:vAlign w:val="bottom"/>
          </w:tcPr>
          <w:p w14:paraId="06EED37E" w14:textId="77777777" w:rsidR="009B0FCC" w:rsidRDefault="009B0FCC" w:rsidP="00721F16">
            <w:pPr>
              <w:spacing w:beforeAutospacing="1" w:afterAutospacing="1"/>
              <w:jc w:val="right"/>
            </w:pPr>
            <w:r>
              <w:rPr>
                <w:color w:val="000000"/>
              </w:rPr>
              <w:t>75</w:t>
            </w:r>
          </w:p>
        </w:tc>
        <w:tc>
          <w:tcPr>
            <w:tcW w:w="0" w:type="auto"/>
            <w:vAlign w:val="bottom"/>
          </w:tcPr>
          <w:p w14:paraId="1334459E" w14:textId="77777777" w:rsidR="009B0FCC" w:rsidRDefault="009B0FCC" w:rsidP="00721F16">
            <w:pPr>
              <w:spacing w:beforeAutospacing="1" w:afterAutospacing="1"/>
              <w:jc w:val="right"/>
            </w:pPr>
            <w:r>
              <w:rPr>
                <w:color w:val="000000"/>
              </w:rPr>
              <w:t>3,241</w:t>
            </w:r>
          </w:p>
        </w:tc>
        <w:tc>
          <w:tcPr>
            <w:tcW w:w="0" w:type="auto"/>
            <w:vAlign w:val="bottom"/>
          </w:tcPr>
          <w:p w14:paraId="575F84C1" w14:textId="77777777" w:rsidR="009B0FCC" w:rsidRDefault="009B0FCC" w:rsidP="00721F16">
            <w:pPr>
              <w:spacing w:beforeAutospacing="1" w:afterAutospacing="1"/>
              <w:jc w:val="right"/>
            </w:pPr>
            <w:r>
              <w:rPr>
                <w:color w:val="000000"/>
              </w:rPr>
              <w:t>0</w:t>
            </w:r>
          </w:p>
        </w:tc>
        <w:tc>
          <w:tcPr>
            <w:tcW w:w="0" w:type="auto"/>
            <w:vAlign w:val="bottom"/>
          </w:tcPr>
          <w:p w14:paraId="0674CF76" w14:textId="77777777" w:rsidR="009B0FCC" w:rsidRDefault="009B0FCC" w:rsidP="00721F16">
            <w:pPr>
              <w:spacing w:beforeAutospacing="1" w:afterAutospacing="1"/>
              <w:jc w:val="right"/>
            </w:pPr>
            <w:r>
              <w:rPr>
                <w:color w:val="000000"/>
              </w:rPr>
              <w:t>2,984</w:t>
            </w:r>
          </w:p>
        </w:tc>
        <w:tc>
          <w:tcPr>
            <w:tcW w:w="0" w:type="auto"/>
            <w:vAlign w:val="bottom"/>
          </w:tcPr>
          <w:p w14:paraId="4A479232" w14:textId="77777777" w:rsidR="009B0FCC" w:rsidRDefault="009B0FCC" w:rsidP="00721F16">
            <w:pPr>
              <w:spacing w:beforeAutospacing="1" w:afterAutospacing="1"/>
              <w:jc w:val="right"/>
            </w:pPr>
            <w:r>
              <w:rPr>
                <w:color w:val="000000"/>
              </w:rPr>
              <w:t>19</w:t>
            </w:r>
          </w:p>
        </w:tc>
        <w:tc>
          <w:tcPr>
            <w:tcW w:w="0" w:type="auto"/>
            <w:vAlign w:val="bottom"/>
          </w:tcPr>
          <w:p w14:paraId="36C06813" w14:textId="77777777" w:rsidR="009B0FCC" w:rsidRDefault="009B0FCC" w:rsidP="00721F16">
            <w:pPr>
              <w:spacing w:beforeAutospacing="1" w:afterAutospacing="1"/>
              <w:jc w:val="right"/>
            </w:pPr>
            <w:r>
              <w:rPr>
                <w:color w:val="000000"/>
              </w:rPr>
              <w:t>9</w:t>
            </w:r>
          </w:p>
        </w:tc>
      </w:tr>
      <w:tr w:rsidR="009B0FCC" w14:paraId="1A884B79" w14:textId="77777777" w:rsidTr="00721F16">
        <w:trPr>
          <w:cantSplit/>
        </w:trPr>
        <w:tc>
          <w:tcPr>
            <w:tcW w:w="0" w:type="auto"/>
          </w:tcPr>
          <w:p w14:paraId="6342BDCD" w14:textId="77777777" w:rsidR="009B0FCC" w:rsidRDefault="009B0FCC" w:rsidP="00721F16">
            <w:pPr>
              <w:spacing w:beforeAutospacing="1" w:afterAutospacing="1"/>
            </w:pPr>
            <w:r>
              <w:rPr>
                <w:color w:val="000000"/>
              </w:rPr>
              <w:t># of HIV/AIDS program participants</w:t>
            </w:r>
          </w:p>
        </w:tc>
        <w:tc>
          <w:tcPr>
            <w:tcW w:w="0" w:type="auto"/>
            <w:vAlign w:val="bottom"/>
          </w:tcPr>
          <w:p w14:paraId="12784E0C" w14:textId="77777777" w:rsidR="009B0FCC" w:rsidRDefault="009B0FCC" w:rsidP="00721F16">
            <w:pPr>
              <w:spacing w:beforeAutospacing="1" w:afterAutospacing="1"/>
              <w:jc w:val="right"/>
            </w:pPr>
            <w:r>
              <w:rPr>
                <w:color w:val="000000"/>
              </w:rPr>
              <w:t>0</w:t>
            </w:r>
          </w:p>
        </w:tc>
        <w:tc>
          <w:tcPr>
            <w:tcW w:w="0" w:type="auto"/>
            <w:vAlign w:val="bottom"/>
          </w:tcPr>
          <w:p w14:paraId="2C56DD68" w14:textId="77777777" w:rsidR="009B0FCC" w:rsidRDefault="009B0FCC" w:rsidP="00721F16">
            <w:pPr>
              <w:spacing w:beforeAutospacing="1" w:afterAutospacing="1"/>
              <w:jc w:val="right"/>
            </w:pPr>
            <w:r>
              <w:rPr>
                <w:color w:val="000000"/>
              </w:rPr>
              <w:t>0</w:t>
            </w:r>
          </w:p>
        </w:tc>
        <w:tc>
          <w:tcPr>
            <w:tcW w:w="0" w:type="auto"/>
            <w:vAlign w:val="bottom"/>
          </w:tcPr>
          <w:p w14:paraId="1B78975B" w14:textId="77777777" w:rsidR="009B0FCC" w:rsidRDefault="009B0FCC" w:rsidP="00721F16">
            <w:pPr>
              <w:spacing w:beforeAutospacing="1" w:afterAutospacing="1"/>
              <w:jc w:val="right"/>
            </w:pPr>
            <w:r>
              <w:rPr>
                <w:color w:val="000000"/>
              </w:rPr>
              <w:t>0</w:t>
            </w:r>
          </w:p>
        </w:tc>
        <w:tc>
          <w:tcPr>
            <w:tcW w:w="0" w:type="auto"/>
            <w:vAlign w:val="bottom"/>
          </w:tcPr>
          <w:p w14:paraId="7C5336DA" w14:textId="77777777" w:rsidR="009B0FCC" w:rsidRDefault="009B0FCC" w:rsidP="00721F16">
            <w:pPr>
              <w:spacing w:beforeAutospacing="1" w:afterAutospacing="1"/>
              <w:jc w:val="right"/>
            </w:pPr>
            <w:r>
              <w:rPr>
                <w:color w:val="000000"/>
              </w:rPr>
              <w:t>0</w:t>
            </w:r>
          </w:p>
        </w:tc>
        <w:tc>
          <w:tcPr>
            <w:tcW w:w="0" w:type="auto"/>
            <w:vAlign w:val="bottom"/>
          </w:tcPr>
          <w:p w14:paraId="1F6C3D43" w14:textId="77777777" w:rsidR="009B0FCC" w:rsidRDefault="009B0FCC" w:rsidP="00721F16">
            <w:pPr>
              <w:spacing w:beforeAutospacing="1" w:afterAutospacing="1"/>
              <w:jc w:val="right"/>
            </w:pPr>
            <w:r>
              <w:rPr>
                <w:color w:val="000000"/>
              </w:rPr>
              <w:t>0</w:t>
            </w:r>
          </w:p>
        </w:tc>
        <w:tc>
          <w:tcPr>
            <w:tcW w:w="0" w:type="auto"/>
            <w:vAlign w:val="bottom"/>
          </w:tcPr>
          <w:p w14:paraId="1676F4C1" w14:textId="77777777" w:rsidR="009B0FCC" w:rsidRDefault="009B0FCC" w:rsidP="00721F16">
            <w:pPr>
              <w:spacing w:beforeAutospacing="1" w:afterAutospacing="1"/>
              <w:jc w:val="right"/>
            </w:pPr>
            <w:r>
              <w:rPr>
                <w:color w:val="000000"/>
              </w:rPr>
              <w:t>0</w:t>
            </w:r>
          </w:p>
        </w:tc>
        <w:tc>
          <w:tcPr>
            <w:tcW w:w="0" w:type="auto"/>
            <w:vAlign w:val="bottom"/>
          </w:tcPr>
          <w:p w14:paraId="6C98598A" w14:textId="77777777" w:rsidR="009B0FCC" w:rsidRDefault="009B0FCC" w:rsidP="00721F16">
            <w:pPr>
              <w:spacing w:beforeAutospacing="1" w:afterAutospacing="1"/>
              <w:jc w:val="right"/>
            </w:pPr>
            <w:r>
              <w:rPr>
                <w:color w:val="000000"/>
              </w:rPr>
              <w:t>0</w:t>
            </w:r>
          </w:p>
        </w:tc>
        <w:tc>
          <w:tcPr>
            <w:tcW w:w="0" w:type="auto"/>
            <w:vAlign w:val="bottom"/>
          </w:tcPr>
          <w:p w14:paraId="2BB003A3" w14:textId="77777777" w:rsidR="009B0FCC" w:rsidRDefault="009B0FCC" w:rsidP="00721F16">
            <w:pPr>
              <w:spacing w:beforeAutospacing="1" w:afterAutospacing="1"/>
              <w:jc w:val="right"/>
            </w:pPr>
            <w:r>
              <w:rPr>
                <w:color w:val="000000"/>
              </w:rPr>
              <w:t>0</w:t>
            </w:r>
          </w:p>
        </w:tc>
      </w:tr>
      <w:tr w:rsidR="009B0FCC" w14:paraId="568F5C22" w14:textId="77777777" w:rsidTr="00721F16">
        <w:trPr>
          <w:cantSplit/>
        </w:trPr>
        <w:tc>
          <w:tcPr>
            <w:tcW w:w="0" w:type="auto"/>
          </w:tcPr>
          <w:p w14:paraId="79C430D4" w14:textId="77777777" w:rsidR="009B0FCC" w:rsidRDefault="009B0FCC" w:rsidP="00721F16">
            <w:pPr>
              <w:spacing w:beforeAutospacing="1" w:afterAutospacing="1"/>
            </w:pPr>
            <w:r>
              <w:rPr>
                <w:color w:val="000000"/>
              </w:rPr>
              <w:t># of DV victims</w:t>
            </w:r>
          </w:p>
        </w:tc>
        <w:tc>
          <w:tcPr>
            <w:tcW w:w="0" w:type="auto"/>
            <w:vAlign w:val="bottom"/>
          </w:tcPr>
          <w:p w14:paraId="769226FB" w14:textId="77777777" w:rsidR="009B0FCC" w:rsidRDefault="009B0FCC" w:rsidP="00721F16">
            <w:pPr>
              <w:spacing w:beforeAutospacing="1" w:afterAutospacing="1"/>
              <w:jc w:val="right"/>
            </w:pPr>
            <w:r>
              <w:rPr>
                <w:color w:val="000000"/>
              </w:rPr>
              <w:t>0</w:t>
            </w:r>
          </w:p>
        </w:tc>
        <w:tc>
          <w:tcPr>
            <w:tcW w:w="0" w:type="auto"/>
            <w:vAlign w:val="bottom"/>
          </w:tcPr>
          <w:p w14:paraId="5FEE4FA9" w14:textId="77777777" w:rsidR="009B0FCC" w:rsidRDefault="009B0FCC" w:rsidP="00721F16">
            <w:pPr>
              <w:spacing w:beforeAutospacing="1" w:afterAutospacing="1"/>
              <w:jc w:val="right"/>
            </w:pPr>
            <w:r>
              <w:rPr>
                <w:color w:val="000000"/>
              </w:rPr>
              <w:t>0</w:t>
            </w:r>
          </w:p>
        </w:tc>
        <w:tc>
          <w:tcPr>
            <w:tcW w:w="0" w:type="auto"/>
            <w:vAlign w:val="bottom"/>
          </w:tcPr>
          <w:p w14:paraId="5472F690" w14:textId="77777777" w:rsidR="009B0FCC" w:rsidRDefault="009B0FCC" w:rsidP="00721F16">
            <w:pPr>
              <w:spacing w:beforeAutospacing="1" w:afterAutospacing="1"/>
              <w:jc w:val="right"/>
            </w:pPr>
            <w:r>
              <w:rPr>
                <w:color w:val="000000"/>
              </w:rPr>
              <w:t>0</w:t>
            </w:r>
          </w:p>
        </w:tc>
        <w:tc>
          <w:tcPr>
            <w:tcW w:w="0" w:type="auto"/>
            <w:vAlign w:val="bottom"/>
          </w:tcPr>
          <w:p w14:paraId="5969C8EE" w14:textId="77777777" w:rsidR="009B0FCC" w:rsidRDefault="009B0FCC" w:rsidP="00721F16">
            <w:pPr>
              <w:spacing w:beforeAutospacing="1" w:afterAutospacing="1"/>
              <w:jc w:val="right"/>
            </w:pPr>
            <w:r>
              <w:rPr>
                <w:color w:val="000000"/>
              </w:rPr>
              <w:t>0</w:t>
            </w:r>
          </w:p>
        </w:tc>
        <w:tc>
          <w:tcPr>
            <w:tcW w:w="0" w:type="auto"/>
            <w:vAlign w:val="bottom"/>
          </w:tcPr>
          <w:p w14:paraId="4A4E2B67" w14:textId="77777777" w:rsidR="009B0FCC" w:rsidRDefault="009B0FCC" w:rsidP="00721F16">
            <w:pPr>
              <w:spacing w:beforeAutospacing="1" w:afterAutospacing="1"/>
              <w:jc w:val="right"/>
            </w:pPr>
            <w:r>
              <w:rPr>
                <w:color w:val="000000"/>
              </w:rPr>
              <w:t>0</w:t>
            </w:r>
          </w:p>
        </w:tc>
        <w:tc>
          <w:tcPr>
            <w:tcW w:w="0" w:type="auto"/>
            <w:vAlign w:val="bottom"/>
          </w:tcPr>
          <w:p w14:paraId="33E3D933" w14:textId="77777777" w:rsidR="009B0FCC" w:rsidRDefault="009B0FCC" w:rsidP="00721F16">
            <w:pPr>
              <w:spacing w:beforeAutospacing="1" w:afterAutospacing="1"/>
              <w:jc w:val="right"/>
            </w:pPr>
            <w:r>
              <w:rPr>
                <w:color w:val="000000"/>
              </w:rPr>
              <w:t>0</w:t>
            </w:r>
          </w:p>
        </w:tc>
        <w:tc>
          <w:tcPr>
            <w:tcW w:w="0" w:type="auto"/>
            <w:vAlign w:val="bottom"/>
          </w:tcPr>
          <w:p w14:paraId="471037A5" w14:textId="77777777" w:rsidR="009B0FCC" w:rsidRDefault="009B0FCC" w:rsidP="00721F16">
            <w:pPr>
              <w:spacing w:beforeAutospacing="1" w:afterAutospacing="1"/>
              <w:jc w:val="right"/>
            </w:pPr>
            <w:r>
              <w:rPr>
                <w:color w:val="000000"/>
              </w:rPr>
              <w:t>0</w:t>
            </w:r>
          </w:p>
        </w:tc>
        <w:tc>
          <w:tcPr>
            <w:tcW w:w="0" w:type="auto"/>
            <w:vAlign w:val="bottom"/>
          </w:tcPr>
          <w:p w14:paraId="54337EAC" w14:textId="77777777" w:rsidR="009B0FCC" w:rsidRDefault="009B0FCC" w:rsidP="00721F16">
            <w:pPr>
              <w:spacing w:beforeAutospacing="1" w:afterAutospacing="1"/>
              <w:jc w:val="right"/>
            </w:pPr>
            <w:r>
              <w:rPr>
                <w:color w:val="000000"/>
              </w:rPr>
              <w:t>0</w:t>
            </w:r>
          </w:p>
        </w:tc>
      </w:tr>
    </w:tbl>
    <w:p w14:paraId="54CE6169" w14:textId="77777777" w:rsidR="009B0FCC" w:rsidRDefault="009B0FCC" w:rsidP="009B0FCC">
      <w:pPr>
        <w:keepNext/>
        <w:widowControl w:val="0"/>
        <w:spacing w:after="0" w:line="240" w:lineRule="auto"/>
        <w:rPr>
          <w:rFonts w:asciiTheme="minorHAnsi" w:hAnsiTheme="minorHAnsi"/>
          <w:b/>
          <w:vanish/>
          <w:sz w:val="10"/>
          <w:szCs w:val="10"/>
        </w:rPr>
      </w:pPr>
    </w:p>
    <w:p w14:paraId="0C7BE9EA"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Characteristics of Public Housing Residents by Program Type</w:t>
      </w:r>
    </w:p>
    <w:p w14:paraId="08C977A6" w14:textId="77777777" w:rsidR="009B0FCC" w:rsidRDefault="009B0FCC" w:rsidP="009B0FCC">
      <w:pPr>
        <w:keepNext/>
        <w:widowControl w:val="0"/>
        <w:spacing w:after="0" w:line="240" w:lineRule="auto"/>
        <w:rPr>
          <w:b/>
          <w:vanish/>
          <w:sz w:val="10"/>
          <w:szCs w:val="10"/>
        </w:rPr>
      </w:pP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9B0FCC" w14:paraId="0D106159" w14:textId="77777777" w:rsidTr="00721F16">
        <w:trPr>
          <w:cantSplit/>
        </w:trPr>
        <w:tc>
          <w:tcPr>
            <w:tcW w:w="1485" w:type="dxa"/>
          </w:tcPr>
          <w:p w14:paraId="33FFD347" w14:textId="77777777" w:rsidR="009B0FCC" w:rsidRDefault="009B0FCC" w:rsidP="00721F16">
            <w:pPr>
              <w:spacing w:after="0" w:line="240" w:lineRule="auto"/>
              <w:rPr>
                <w:sz w:val="16"/>
                <w:szCs w:val="16"/>
              </w:rPr>
            </w:pPr>
            <w:r>
              <w:rPr>
                <w:b/>
                <w:bCs/>
                <w:sz w:val="16"/>
                <w:szCs w:val="16"/>
              </w:rPr>
              <w:t>Data Source:</w:t>
            </w:r>
          </w:p>
        </w:tc>
        <w:tc>
          <w:tcPr>
            <w:tcW w:w="11705" w:type="dxa"/>
          </w:tcPr>
          <w:p w14:paraId="78591891" w14:textId="77777777" w:rsidR="009B0FCC" w:rsidRDefault="009B0FCC" w:rsidP="00721F16">
            <w:pPr>
              <w:spacing w:beforeAutospacing="1" w:afterAutospacing="1"/>
              <w:rPr>
                <w:sz w:val="16"/>
                <w:szCs w:val="16"/>
              </w:rPr>
            </w:pPr>
            <w:r>
              <w:rPr>
                <w:sz w:val="16"/>
                <w:szCs w:val="16"/>
              </w:rPr>
              <w:t>PIC (PIH Information Center)</w:t>
            </w:r>
          </w:p>
        </w:tc>
      </w:tr>
    </w:tbl>
    <w:p w14:paraId="487351BF" w14:textId="77777777" w:rsidR="009B0FCC" w:rsidRDefault="009B0FCC" w:rsidP="009B0FCC">
      <w:pPr>
        <w:keepNext/>
        <w:widowControl w:val="0"/>
        <w:spacing w:after="0" w:line="240" w:lineRule="auto"/>
        <w:jc w:val="center"/>
        <w:rPr>
          <w:b/>
          <w:bCs/>
          <w:vanish/>
          <w:sz w:val="20"/>
          <w:szCs w:val="20"/>
        </w:rPr>
      </w:pPr>
    </w:p>
    <w:p w14:paraId="0B13F1FE" w14:textId="77777777" w:rsidR="009B0FCC" w:rsidRDefault="009B0FCC" w:rsidP="009B0FCC">
      <w:pPr>
        <w:spacing w:after="0" w:line="240" w:lineRule="auto"/>
        <w:rPr>
          <w:b/>
          <w:bCs/>
          <w:vanish/>
          <w:sz w:val="16"/>
          <w:szCs w:val="16"/>
        </w:rPr>
      </w:pPr>
    </w:p>
    <w:p w14:paraId="17375C71" w14:textId="77777777" w:rsidR="009B0FCC" w:rsidRDefault="009B0FCC" w:rsidP="009B0FCC">
      <w:pPr>
        <w:rPr>
          <w:rFonts w:cs="Arial"/>
          <w:sz w:val="16"/>
          <w:szCs w:val="16"/>
        </w:rPr>
      </w:pPr>
    </w:p>
    <w:p w14:paraId="41E2133F" w14:textId="77777777" w:rsidR="009B0FCC" w:rsidRDefault="009B0FCC" w:rsidP="009B0FCC">
      <w:pPr>
        <w:keepNext/>
        <w:widowControl w:val="0"/>
        <w:rPr>
          <w:b/>
          <w:sz w:val="24"/>
          <w:szCs w:val="24"/>
        </w:rPr>
      </w:pPr>
      <w:r>
        <w:rPr>
          <w:b/>
          <w:sz w:val="24"/>
          <w:szCs w:val="24"/>
        </w:rPr>
        <w:t xml:space="preserve"> Race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61"/>
        <w:gridCol w:w="1091"/>
        <w:gridCol w:w="1033"/>
        <w:gridCol w:w="1055"/>
        <w:gridCol w:w="1183"/>
        <w:gridCol w:w="1196"/>
        <w:gridCol w:w="1195"/>
        <w:gridCol w:w="1154"/>
        <w:gridCol w:w="1155"/>
        <w:gridCol w:w="1127"/>
      </w:tblGrid>
      <w:tr w:rsidR="009B0FCC" w14:paraId="1218AEFC" w14:textId="77777777" w:rsidTr="00721F16">
        <w:trPr>
          <w:cantSplit/>
          <w:tblHeader/>
        </w:trPr>
        <w:tc>
          <w:tcPr>
            <w:tcW w:w="13190" w:type="dxa"/>
            <w:gridSpan w:val="10"/>
          </w:tcPr>
          <w:p w14:paraId="19093A92" w14:textId="77777777" w:rsidR="009B0FCC" w:rsidRDefault="009B0FCC" w:rsidP="00721F16">
            <w:pPr>
              <w:keepNext/>
              <w:widowControl w:val="0"/>
              <w:spacing w:after="0" w:line="240" w:lineRule="auto"/>
              <w:jc w:val="center"/>
              <w:rPr>
                <w:b/>
                <w:sz w:val="20"/>
                <w:szCs w:val="20"/>
              </w:rPr>
            </w:pPr>
            <w:r>
              <w:rPr>
                <w:rFonts w:cs="Arial"/>
                <w:b/>
                <w:sz w:val="20"/>
                <w:szCs w:val="20"/>
              </w:rPr>
              <w:t>Program Type</w:t>
            </w:r>
          </w:p>
        </w:tc>
      </w:tr>
      <w:tr w:rsidR="009B0FCC" w14:paraId="7E435C96" w14:textId="77777777" w:rsidTr="00721F16">
        <w:trPr>
          <w:cantSplit/>
          <w:tblHeader/>
        </w:trPr>
        <w:tc>
          <w:tcPr>
            <w:tcW w:w="2693" w:type="dxa"/>
            <w:vMerge w:val="restart"/>
          </w:tcPr>
          <w:p w14:paraId="57FDB903" w14:textId="77777777" w:rsidR="009B0FCC" w:rsidRDefault="009B0FCC" w:rsidP="00721F16">
            <w:pPr>
              <w:keepNext/>
              <w:widowControl w:val="0"/>
              <w:spacing w:after="0" w:line="240" w:lineRule="auto"/>
              <w:jc w:val="center"/>
              <w:rPr>
                <w:b/>
                <w:sz w:val="20"/>
                <w:szCs w:val="20"/>
              </w:rPr>
            </w:pPr>
            <w:r>
              <w:rPr>
                <w:b/>
                <w:sz w:val="20"/>
                <w:szCs w:val="20"/>
              </w:rPr>
              <w:t>Race</w:t>
            </w:r>
          </w:p>
        </w:tc>
        <w:tc>
          <w:tcPr>
            <w:tcW w:w="1091" w:type="dxa"/>
            <w:vMerge w:val="restart"/>
          </w:tcPr>
          <w:p w14:paraId="3BAF7C29" w14:textId="77777777" w:rsidR="009B0FCC" w:rsidRDefault="009B0FCC" w:rsidP="00721F16">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563B0317" w14:textId="77777777" w:rsidR="009B0FCC" w:rsidRDefault="009B0FCC" w:rsidP="00721F16">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30F26D29" w14:textId="77777777" w:rsidR="009B0FCC" w:rsidRDefault="009B0FCC" w:rsidP="00721F16">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5F5295A2" w14:textId="77777777" w:rsidR="009B0FCC" w:rsidRDefault="009B0FCC" w:rsidP="00721F16">
            <w:pPr>
              <w:keepNext/>
              <w:widowControl w:val="0"/>
              <w:spacing w:after="0" w:line="240" w:lineRule="auto"/>
              <w:rPr>
                <w:b/>
                <w:sz w:val="20"/>
                <w:szCs w:val="20"/>
              </w:rPr>
            </w:pPr>
            <w:r>
              <w:rPr>
                <w:b/>
                <w:sz w:val="20"/>
                <w:szCs w:val="20"/>
              </w:rPr>
              <w:t>Vouchers</w:t>
            </w:r>
          </w:p>
        </w:tc>
      </w:tr>
      <w:tr w:rsidR="009B0FCC" w14:paraId="53B48BB9" w14:textId="77777777" w:rsidTr="00721F16">
        <w:trPr>
          <w:cantSplit/>
          <w:tblHeader/>
        </w:trPr>
        <w:tc>
          <w:tcPr>
            <w:tcW w:w="2693" w:type="dxa"/>
            <w:vMerge/>
          </w:tcPr>
          <w:p w14:paraId="7943E68B" w14:textId="77777777" w:rsidR="009B0FCC" w:rsidRDefault="009B0FCC" w:rsidP="00721F16">
            <w:pPr>
              <w:keepNext/>
              <w:widowControl w:val="0"/>
              <w:spacing w:after="0" w:line="240" w:lineRule="auto"/>
              <w:jc w:val="center"/>
              <w:rPr>
                <w:b/>
                <w:sz w:val="20"/>
                <w:szCs w:val="20"/>
              </w:rPr>
            </w:pPr>
          </w:p>
        </w:tc>
        <w:tc>
          <w:tcPr>
            <w:tcW w:w="1091" w:type="dxa"/>
            <w:vMerge/>
          </w:tcPr>
          <w:p w14:paraId="3CF04CAC" w14:textId="77777777" w:rsidR="009B0FCC" w:rsidRDefault="009B0FCC" w:rsidP="00721F16">
            <w:pPr>
              <w:keepNext/>
              <w:widowControl w:val="0"/>
              <w:spacing w:after="0" w:line="240" w:lineRule="auto"/>
              <w:jc w:val="center"/>
              <w:rPr>
                <w:b/>
                <w:sz w:val="20"/>
                <w:szCs w:val="20"/>
              </w:rPr>
            </w:pPr>
          </w:p>
        </w:tc>
        <w:tc>
          <w:tcPr>
            <w:tcW w:w="1079" w:type="dxa"/>
            <w:vMerge/>
          </w:tcPr>
          <w:p w14:paraId="69BA24CB" w14:textId="77777777" w:rsidR="009B0FCC" w:rsidRDefault="009B0FCC" w:rsidP="00721F16">
            <w:pPr>
              <w:keepNext/>
              <w:widowControl w:val="0"/>
              <w:spacing w:after="0" w:line="240" w:lineRule="auto"/>
              <w:jc w:val="center"/>
              <w:rPr>
                <w:b/>
                <w:sz w:val="20"/>
                <w:szCs w:val="20"/>
              </w:rPr>
            </w:pPr>
          </w:p>
        </w:tc>
        <w:tc>
          <w:tcPr>
            <w:tcW w:w="1080" w:type="dxa"/>
            <w:vMerge/>
          </w:tcPr>
          <w:p w14:paraId="2522766F" w14:textId="77777777" w:rsidR="009B0FCC" w:rsidRDefault="009B0FCC" w:rsidP="00721F16">
            <w:pPr>
              <w:keepNext/>
              <w:widowControl w:val="0"/>
              <w:spacing w:after="0" w:line="240" w:lineRule="auto"/>
              <w:jc w:val="center"/>
              <w:rPr>
                <w:b/>
                <w:sz w:val="20"/>
                <w:szCs w:val="20"/>
              </w:rPr>
            </w:pPr>
          </w:p>
        </w:tc>
        <w:tc>
          <w:tcPr>
            <w:tcW w:w="1259" w:type="dxa"/>
            <w:vMerge w:val="restart"/>
          </w:tcPr>
          <w:p w14:paraId="36264F60" w14:textId="77777777" w:rsidR="009B0FCC" w:rsidRDefault="009B0FCC" w:rsidP="00721F16">
            <w:pPr>
              <w:keepNext/>
              <w:widowControl w:val="0"/>
              <w:spacing w:after="0" w:line="240" w:lineRule="auto"/>
              <w:jc w:val="center"/>
              <w:rPr>
                <w:b/>
                <w:sz w:val="20"/>
                <w:szCs w:val="20"/>
              </w:rPr>
            </w:pPr>
            <w:r>
              <w:rPr>
                <w:rFonts w:cs="Arial"/>
                <w:b/>
                <w:sz w:val="20"/>
                <w:szCs w:val="20"/>
              </w:rPr>
              <w:t>Total</w:t>
            </w:r>
          </w:p>
        </w:tc>
        <w:tc>
          <w:tcPr>
            <w:tcW w:w="1259" w:type="dxa"/>
            <w:vMerge w:val="restart"/>
          </w:tcPr>
          <w:p w14:paraId="76BFE18D" w14:textId="77777777" w:rsidR="009B0FCC" w:rsidRDefault="009B0FCC" w:rsidP="00721F16">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3A3CC998" w14:textId="77777777" w:rsidR="009B0FCC" w:rsidRDefault="009B0FCC" w:rsidP="00721F16">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490EB14C" w14:textId="77777777" w:rsidR="009B0FCC" w:rsidRDefault="009B0FCC" w:rsidP="00721F16">
            <w:pPr>
              <w:keepNext/>
              <w:widowControl w:val="0"/>
              <w:spacing w:after="0" w:line="240" w:lineRule="auto"/>
              <w:jc w:val="center"/>
              <w:rPr>
                <w:b/>
                <w:sz w:val="20"/>
                <w:szCs w:val="20"/>
              </w:rPr>
            </w:pPr>
            <w:r>
              <w:rPr>
                <w:rFonts w:cs="Arial"/>
                <w:b/>
                <w:sz w:val="20"/>
                <w:szCs w:val="20"/>
              </w:rPr>
              <w:t>Special Purpose Voucher</w:t>
            </w:r>
          </w:p>
        </w:tc>
      </w:tr>
      <w:tr w:rsidR="009B0FCC" w14:paraId="5DAC3EC7" w14:textId="77777777" w:rsidTr="00721F16">
        <w:trPr>
          <w:cantSplit/>
          <w:tblHeader/>
        </w:trPr>
        <w:tc>
          <w:tcPr>
            <w:tcW w:w="2693" w:type="dxa"/>
            <w:vMerge/>
          </w:tcPr>
          <w:p w14:paraId="50610D40" w14:textId="77777777" w:rsidR="009B0FCC" w:rsidRDefault="009B0FCC" w:rsidP="00721F16">
            <w:pPr>
              <w:keepNext/>
              <w:widowControl w:val="0"/>
              <w:spacing w:after="0" w:line="240" w:lineRule="auto"/>
              <w:jc w:val="center"/>
              <w:rPr>
                <w:b/>
                <w:sz w:val="20"/>
                <w:szCs w:val="20"/>
              </w:rPr>
            </w:pPr>
          </w:p>
        </w:tc>
        <w:tc>
          <w:tcPr>
            <w:tcW w:w="1091" w:type="dxa"/>
            <w:vMerge/>
          </w:tcPr>
          <w:p w14:paraId="3646304F" w14:textId="77777777" w:rsidR="009B0FCC" w:rsidRDefault="009B0FCC" w:rsidP="00721F16">
            <w:pPr>
              <w:keepNext/>
              <w:widowControl w:val="0"/>
              <w:spacing w:after="0" w:line="240" w:lineRule="auto"/>
              <w:jc w:val="center"/>
              <w:rPr>
                <w:b/>
                <w:sz w:val="20"/>
                <w:szCs w:val="20"/>
              </w:rPr>
            </w:pPr>
          </w:p>
        </w:tc>
        <w:tc>
          <w:tcPr>
            <w:tcW w:w="1079" w:type="dxa"/>
            <w:vMerge/>
          </w:tcPr>
          <w:p w14:paraId="3DB81B4B" w14:textId="77777777" w:rsidR="009B0FCC" w:rsidRDefault="009B0FCC" w:rsidP="00721F16">
            <w:pPr>
              <w:keepNext/>
              <w:widowControl w:val="0"/>
              <w:spacing w:after="0" w:line="240" w:lineRule="auto"/>
              <w:jc w:val="center"/>
              <w:rPr>
                <w:b/>
                <w:sz w:val="20"/>
                <w:szCs w:val="20"/>
              </w:rPr>
            </w:pPr>
          </w:p>
        </w:tc>
        <w:tc>
          <w:tcPr>
            <w:tcW w:w="1080" w:type="dxa"/>
            <w:vMerge/>
          </w:tcPr>
          <w:p w14:paraId="5AFBE8DB" w14:textId="77777777" w:rsidR="009B0FCC" w:rsidRDefault="009B0FCC" w:rsidP="00721F16">
            <w:pPr>
              <w:keepNext/>
              <w:widowControl w:val="0"/>
              <w:spacing w:after="0" w:line="240" w:lineRule="auto"/>
              <w:jc w:val="center"/>
              <w:rPr>
                <w:b/>
                <w:sz w:val="20"/>
                <w:szCs w:val="20"/>
              </w:rPr>
            </w:pPr>
          </w:p>
        </w:tc>
        <w:tc>
          <w:tcPr>
            <w:tcW w:w="1259" w:type="dxa"/>
            <w:vMerge/>
          </w:tcPr>
          <w:p w14:paraId="0D2106E2" w14:textId="77777777" w:rsidR="009B0FCC" w:rsidRDefault="009B0FCC" w:rsidP="00721F16">
            <w:pPr>
              <w:keepNext/>
              <w:widowControl w:val="0"/>
              <w:spacing w:after="0" w:line="240" w:lineRule="auto"/>
              <w:jc w:val="center"/>
              <w:rPr>
                <w:b/>
                <w:sz w:val="20"/>
                <w:szCs w:val="20"/>
              </w:rPr>
            </w:pPr>
          </w:p>
        </w:tc>
        <w:tc>
          <w:tcPr>
            <w:tcW w:w="1259" w:type="dxa"/>
            <w:vMerge/>
          </w:tcPr>
          <w:p w14:paraId="4711C01A" w14:textId="77777777" w:rsidR="009B0FCC" w:rsidRDefault="009B0FCC" w:rsidP="00721F16">
            <w:pPr>
              <w:keepNext/>
              <w:widowControl w:val="0"/>
              <w:spacing w:after="0" w:line="240" w:lineRule="auto"/>
              <w:jc w:val="center"/>
              <w:rPr>
                <w:b/>
                <w:sz w:val="20"/>
                <w:szCs w:val="20"/>
              </w:rPr>
            </w:pPr>
          </w:p>
        </w:tc>
        <w:tc>
          <w:tcPr>
            <w:tcW w:w="1259" w:type="dxa"/>
            <w:vMerge/>
          </w:tcPr>
          <w:p w14:paraId="0F038189" w14:textId="77777777" w:rsidR="009B0FCC" w:rsidRDefault="009B0FCC" w:rsidP="00721F16">
            <w:pPr>
              <w:keepNext/>
              <w:widowControl w:val="0"/>
              <w:spacing w:after="0" w:line="240" w:lineRule="auto"/>
              <w:jc w:val="center"/>
              <w:rPr>
                <w:b/>
                <w:sz w:val="20"/>
                <w:szCs w:val="20"/>
              </w:rPr>
            </w:pPr>
          </w:p>
        </w:tc>
        <w:tc>
          <w:tcPr>
            <w:tcW w:w="1156" w:type="dxa"/>
          </w:tcPr>
          <w:p w14:paraId="148D2151" w14:textId="77777777" w:rsidR="009B0FCC" w:rsidRDefault="009B0FCC" w:rsidP="00721F16">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0543CAEA" w14:textId="77777777" w:rsidR="009B0FCC" w:rsidRDefault="009B0FCC" w:rsidP="00721F16">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14CC261D" w14:textId="77777777" w:rsidR="009B0FCC" w:rsidRDefault="009B0FCC" w:rsidP="00721F16">
            <w:pPr>
              <w:keepNext/>
              <w:widowControl w:val="0"/>
              <w:spacing w:after="0" w:line="240" w:lineRule="auto"/>
              <w:jc w:val="center"/>
              <w:rPr>
                <w:rFonts w:cs="Arial"/>
                <w:b/>
                <w:sz w:val="20"/>
                <w:szCs w:val="20"/>
              </w:rPr>
            </w:pPr>
            <w:r>
              <w:rPr>
                <w:rFonts w:cs="Arial"/>
                <w:b/>
                <w:sz w:val="20"/>
                <w:szCs w:val="20"/>
              </w:rPr>
              <w:t>Disabled</w:t>
            </w:r>
          </w:p>
          <w:p w14:paraId="76DED55D" w14:textId="77777777" w:rsidR="009B0FCC" w:rsidRDefault="009B0FCC" w:rsidP="00721F16">
            <w:pPr>
              <w:keepNext/>
              <w:widowControl w:val="0"/>
              <w:spacing w:after="0" w:line="240" w:lineRule="auto"/>
              <w:jc w:val="center"/>
              <w:rPr>
                <w:b/>
                <w:sz w:val="20"/>
                <w:szCs w:val="20"/>
              </w:rPr>
            </w:pPr>
            <w:r>
              <w:rPr>
                <w:b/>
                <w:sz w:val="20"/>
                <w:szCs w:val="20"/>
              </w:rPr>
              <w:t>*</w:t>
            </w:r>
          </w:p>
        </w:tc>
      </w:tr>
      <w:tr w:rsidR="009B0FCC" w14:paraId="3C9B3B9E" w14:textId="77777777" w:rsidTr="00721F16">
        <w:trPr>
          <w:cantSplit/>
        </w:trPr>
        <w:tc>
          <w:tcPr>
            <w:tcW w:w="0" w:type="auto"/>
          </w:tcPr>
          <w:p w14:paraId="33F14B02" w14:textId="77777777" w:rsidR="009B0FCC" w:rsidRDefault="009B0FCC" w:rsidP="00721F16">
            <w:pPr>
              <w:spacing w:beforeAutospacing="1" w:afterAutospacing="1"/>
            </w:pPr>
            <w:r>
              <w:rPr>
                <w:color w:val="000000"/>
              </w:rPr>
              <w:t>White</w:t>
            </w:r>
          </w:p>
        </w:tc>
        <w:tc>
          <w:tcPr>
            <w:tcW w:w="0" w:type="auto"/>
            <w:vAlign w:val="bottom"/>
          </w:tcPr>
          <w:p w14:paraId="4AD76916" w14:textId="77777777" w:rsidR="009B0FCC" w:rsidRDefault="009B0FCC" w:rsidP="00721F16">
            <w:pPr>
              <w:spacing w:beforeAutospacing="1" w:afterAutospacing="1"/>
              <w:jc w:val="right"/>
            </w:pPr>
            <w:r>
              <w:rPr>
                <w:color w:val="000000"/>
              </w:rPr>
              <w:t>0</w:t>
            </w:r>
          </w:p>
        </w:tc>
        <w:tc>
          <w:tcPr>
            <w:tcW w:w="0" w:type="auto"/>
            <w:vAlign w:val="bottom"/>
          </w:tcPr>
          <w:p w14:paraId="44E75745" w14:textId="77777777" w:rsidR="009B0FCC" w:rsidRDefault="009B0FCC" w:rsidP="00721F16">
            <w:pPr>
              <w:spacing w:beforeAutospacing="1" w:afterAutospacing="1"/>
              <w:jc w:val="right"/>
            </w:pPr>
            <w:r>
              <w:rPr>
                <w:color w:val="000000"/>
              </w:rPr>
              <w:t>0</w:t>
            </w:r>
          </w:p>
        </w:tc>
        <w:tc>
          <w:tcPr>
            <w:tcW w:w="0" w:type="auto"/>
            <w:vAlign w:val="bottom"/>
          </w:tcPr>
          <w:p w14:paraId="7A0BC994" w14:textId="77777777" w:rsidR="009B0FCC" w:rsidRDefault="009B0FCC" w:rsidP="00721F16">
            <w:pPr>
              <w:spacing w:beforeAutospacing="1" w:afterAutospacing="1"/>
              <w:jc w:val="right"/>
            </w:pPr>
            <w:r>
              <w:rPr>
                <w:color w:val="000000"/>
              </w:rPr>
              <w:t>73</w:t>
            </w:r>
          </w:p>
        </w:tc>
        <w:tc>
          <w:tcPr>
            <w:tcW w:w="0" w:type="auto"/>
            <w:vAlign w:val="bottom"/>
          </w:tcPr>
          <w:p w14:paraId="314138F7" w14:textId="77777777" w:rsidR="009B0FCC" w:rsidRDefault="009B0FCC" w:rsidP="00721F16">
            <w:pPr>
              <w:spacing w:beforeAutospacing="1" w:afterAutospacing="1"/>
              <w:jc w:val="right"/>
            </w:pPr>
            <w:r>
              <w:rPr>
                <w:color w:val="000000"/>
              </w:rPr>
              <w:t>3,129</w:t>
            </w:r>
          </w:p>
        </w:tc>
        <w:tc>
          <w:tcPr>
            <w:tcW w:w="0" w:type="auto"/>
            <w:vAlign w:val="bottom"/>
          </w:tcPr>
          <w:p w14:paraId="2E331B7F" w14:textId="77777777" w:rsidR="009B0FCC" w:rsidRDefault="009B0FCC" w:rsidP="00721F16">
            <w:pPr>
              <w:spacing w:beforeAutospacing="1" w:afterAutospacing="1"/>
              <w:jc w:val="right"/>
            </w:pPr>
            <w:r>
              <w:rPr>
                <w:color w:val="000000"/>
              </w:rPr>
              <w:t>0</w:t>
            </w:r>
          </w:p>
        </w:tc>
        <w:tc>
          <w:tcPr>
            <w:tcW w:w="0" w:type="auto"/>
            <w:vAlign w:val="bottom"/>
          </w:tcPr>
          <w:p w14:paraId="79B2A0B7" w14:textId="77777777" w:rsidR="009B0FCC" w:rsidRDefault="009B0FCC" w:rsidP="00721F16">
            <w:pPr>
              <w:spacing w:beforeAutospacing="1" w:afterAutospacing="1"/>
              <w:jc w:val="right"/>
            </w:pPr>
            <w:r>
              <w:rPr>
                <w:color w:val="000000"/>
              </w:rPr>
              <w:t>2,876</w:t>
            </w:r>
          </w:p>
        </w:tc>
        <w:tc>
          <w:tcPr>
            <w:tcW w:w="0" w:type="auto"/>
            <w:vAlign w:val="bottom"/>
          </w:tcPr>
          <w:p w14:paraId="54CC748E" w14:textId="77777777" w:rsidR="009B0FCC" w:rsidRDefault="009B0FCC" w:rsidP="00721F16">
            <w:pPr>
              <w:spacing w:beforeAutospacing="1" w:afterAutospacing="1"/>
              <w:jc w:val="right"/>
            </w:pPr>
            <w:r>
              <w:rPr>
                <w:color w:val="000000"/>
              </w:rPr>
              <w:t>19</w:t>
            </w:r>
          </w:p>
        </w:tc>
        <w:tc>
          <w:tcPr>
            <w:tcW w:w="0" w:type="auto"/>
            <w:vAlign w:val="bottom"/>
          </w:tcPr>
          <w:p w14:paraId="42A050F7" w14:textId="77777777" w:rsidR="009B0FCC" w:rsidRDefault="009B0FCC" w:rsidP="00721F16">
            <w:pPr>
              <w:spacing w:beforeAutospacing="1" w:afterAutospacing="1"/>
              <w:jc w:val="right"/>
            </w:pPr>
            <w:r>
              <w:rPr>
                <w:color w:val="000000"/>
              </w:rPr>
              <w:t>9</w:t>
            </w:r>
          </w:p>
        </w:tc>
        <w:tc>
          <w:tcPr>
            <w:tcW w:w="0" w:type="auto"/>
            <w:vAlign w:val="bottom"/>
          </w:tcPr>
          <w:p w14:paraId="1B4EE45B" w14:textId="77777777" w:rsidR="009B0FCC" w:rsidRDefault="009B0FCC" w:rsidP="00721F16">
            <w:pPr>
              <w:spacing w:beforeAutospacing="1" w:afterAutospacing="1"/>
              <w:jc w:val="right"/>
            </w:pPr>
            <w:r>
              <w:rPr>
                <w:color w:val="000000"/>
              </w:rPr>
              <w:t>192</w:t>
            </w:r>
          </w:p>
        </w:tc>
      </w:tr>
      <w:tr w:rsidR="009B0FCC" w14:paraId="71FF007C" w14:textId="77777777" w:rsidTr="00721F16">
        <w:trPr>
          <w:cantSplit/>
        </w:trPr>
        <w:tc>
          <w:tcPr>
            <w:tcW w:w="0" w:type="auto"/>
          </w:tcPr>
          <w:p w14:paraId="2A4AFDF5" w14:textId="77777777" w:rsidR="009B0FCC" w:rsidRDefault="009B0FCC" w:rsidP="00721F16">
            <w:pPr>
              <w:spacing w:beforeAutospacing="1" w:afterAutospacing="1"/>
            </w:pPr>
            <w:r>
              <w:rPr>
                <w:color w:val="000000"/>
              </w:rPr>
              <w:t>Black/African American</w:t>
            </w:r>
          </w:p>
        </w:tc>
        <w:tc>
          <w:tcPr>
            <w:tcW w:w="0" w:type="auto"/>
            <w:vAlign w:val="bottom"/>
          </w:tcPr>
          <w:p w14:paraId="19FD6684" w14:textId="77777777" w:rsidR="009B0FCC" w:rsidRDefault="009B0FCC" w:rsidP="00721F16">
            <w:pPr>
              <w:spacing w:beforeAutospacing="1" w:afterAutospacing="1"/>
              <w:jc w:val="right"/>
            </w:pPr>
            <w:r>
              <w:rPr>
                <w:color w:val="000000"/>
              </w:rPr>
              <w:t>0</w:t>
            </w:r>
          </w:p>
        </w:tc>
        <w:tc>
          <w:tcPr>
            <w:tcW w:w="0" w:type="auto"/>
            <w:vAlign w:val="bottom"/>
          </w:tcPr>
          <w:p w14:paraId="29528682" w14:textId="77777777" w:rsidR="009B0FCC" w:rsidRDefault="009B0FCC" w:rsidP="00721F16">
            <w:pPr>
              <w:spacing w:beforeAutospacing="1" w:afterAutospacing="1"/>
              <w:jc w:val="right"/>
            </w:pPr>
            <w:r>
              <w:rPr>
                <w:color w:val="000000"/>
              </w:rPr>
              <w:t>0</w:t>
            </w:r>
          </w:p>
        </w:tc>
        <w:tc>
          <w:tcPr>
            <w:tcW w:w="0" w:type="auto"/>
            <w:vAlign w:val="bottom"/>
          </w:tcPr>
          <w:p w14:paraId="5DFEF7AD" w14:textId="77777777" w:rsidR="009B0FCC" w:rsidRDefault="009B0FCC" w:rsidP="00721F16">
            <w:pPr>
              <w:spacing w:beforeAutospacing="1" w:afterAutospacing="1"/>
              <w:jc w:val="right"/>
            </w:pPr>
            <w:r>
              <w:rPr>
                <w:color w:val="000000"/>
              </w:rPr>
              <w:t>1</w:t>
            </w:r>
          </w:p>
        </w:tc>
        <w:tc>
          <w:tcPr>
            <w:tcW w:w="0" w:type="auto"/>
            <w:vAlign w:val="bottom"/>
          </w:tcPr>
          <w:p w14:paraId="19708882" w14:textId="77777777" w:rsidR="009B0FCC" w:rsidRDefault="009B0FCC" w:rsidP="00721F16">
            <w:pPr>
              <w:spacing w:beforeAutospacing="1" w:afterAutospacing="1"/>
              <w:jc w:val="right"/>
            </w:pPr>
            <w:r>
              <w:rPr>
                <w:color w:val="000000"/>
              </w:rPr>
              <w:t>28</w:t>
            </w:r>
          </w:p>
        </w:tc>
        <w:tc>
          <w:tcPr>
            <w:tcW w:w="0" w:type="auto"/>
            <w:vAlign w:val="bottom"/>
          </w:tcPr>
          <w:p w14:paraId="0D31A2D8" w14:textId="77777777" w:rsidR="009B0FCC" w:rsidRDefault="009B0FCC" w:rsidP="00721F16">
            <w:pPr>
              <w:spacing w:beforeAutospacing="1" w:afterAutospacing="1"/>
              <w:jc w:val="right"/>
            </w:pPr>
            <w:r>
              <w:rPr>
                <w:color w:val="000000"/>
              </w:rPr>
              <w:t>0</w:t>
            </w:r>
          </w:p>
        </w:tc>
        <w:tc>
          <w:tcPr>
            <w:tcW w:w="0" w:type="auto"/>
            <w:vAlign w:val="bottom"/>
          </w:tcPr>
          <w:p w14:paraId="4440F41D" w14:textId="77777777" w:rsidR="009B0FCC" w:rsidRDefault="009B0FCC" w:rsidP="00721F16">
            <w:pPr>
              <w:spacing w:beforeAutospacing="1" w:afterAutospacing="1"/>
              <w:jc w:val="right"/>
            </w:pPr>
            <w:r>
              <w:rPr>
                <w:color w:val="000000"/>
              </w:rPr>
              <w:t>27</w:t>
            </w:r>
          </w:p>
        </w:tc>
        <w:tc>
          <w:tcPr>
            <w:tcW w:w="0" w:type="auto"/>
            <w:vAlign w:val="bottom"/>
          </w:tcPr>
          <w:p w14:paraId="0AE1C67E" w14:textId="77777777" w:rsidR="009B0FCC" w:rsidRDefault="009B0FCC" w:rsidP="00721F16">
            <w:pPr>
              <w:spacing w:beforeAutospacing="1" w:afterAutospacing="1"/>
              <w:jc w:val="right"/>
            </w:pPr>
            <w:r>
              <w:rPr>
                <w:color w:val="000000"/>
              </w:rPr>
              <w:t>0</w:t>
            </w:r>
          </w:p>
        </w:tc>
        <w:tc>
          <w:tcPr>
            <w:tcW w:w="0" w:type="auto"/>
            <w:vAlign w:val="bottom"/>
          </w:tcPr>
          <w:p w14:paraId="12888DF8" w14:textId="77777777" w:rsidR="009B0FCC" w:rsidRDefault="009B0FCC" w:rsidP="00721F16">
            <w:pPr>
              <w:spacing w:beforeAutospacing="1" w:afterAutospacing="1"/>
              <w:jc w:val="right"/>
            </w:pPr>
            <w:r>
              <w:rPr>
                <w:color w:val="000000"/>
              </w:rPr>
              <w:t>0</w:t>
            </w:r>
          </w:p>
        </w:tc>
        <w:tc>
          <w:tcPr>
            <w:tcW w:w="0" w:type="auto"/>
            <w:vAlign w:val="bottom"/>
          </w:tcPr>
          <w:p w14:paraId="1BBB0D6E" w14:textId="77777777" w:rsidR="009B0FCC" w:rsidRDefault="009B0FCC" w:rsidP="00721F16">
            <w:pPr>
              <w:spacing w:beforeAutospacing="1" w:afterAutospacing="1"/>
              <w:jc w:val="right"/>
            </w:pPr>
            <w:r>
              <w:rPr>
                <w:color w:val="000000"/>
              </w:rPr>
              <w:t>1</w:t>
            </w:r>
          </w:p>
        </w:tc>
      </w:tr>
      <w:tr w:rsidR="009B0FCC" w14:paraId="37E128C0" w14:textId="77777777" w:rsidTr="00721F16">
        <w:trPr>
          <w:cantSplit/>
        </w:trPr>
        <w:tc>
          <w:tcPr>
            <w:tcW w:w="0" w:type="auto"/>
          </w:tcPr>
          <w:p w14:paraId="5EC298D8" w14:textId="77777777" w:rsidR="009B0FCC" w:rsidRDefault="009B0FCC" w:rsidP="00721F16">
            <w:pPr>
              <w:spacing w:beforeAutospacing="1" w:afterAutospacing="1"/>
            </w:pPr>
            <w:r>
              <w:rPr>
                <w:color w:val="000000"/>
              </w:rPr>
              <w:t>Asian</w:t>
            </w:r>
          </w:p>
        </w:tc>
        <w:tc>
          <w:tcPr>
            <w:tcW w:w="0" w:type="auto"/>
            <w:vAlign w:val="bottom"/>
          </w:tcPr>
          <w:p w14:paraId="6A6E83C9" w14:textId="77777777" w:rsidR="009B0FCC" w:rsidRDefault="009B0FCC" w:rsidP="00721F16">
            <w:pPr>
              <w:spacing w:beforeAutospacing="1" w:afterAutospacing="1"/>
              <w:jc w:val="right"/>
            </w:pPr>
            <w:r>
              <w:rPr>
                <w:color w:val="000000"/>
              </w:rPr>
              <w:t>0</w:t>
            </w:r>
          </w:p>
        </w:tc>
        <w:tc>
          <w:tcPr>
            <w:tcW w:w="0" w:type="auto"/>
            <w:vAlign w:val="bottom"/>
          </w:tcPr>
          <w:p w14:paraId="2CC2B6BF" w14:textId="77777777" w:rsidR="009B0FCC" w:rsidRDefault="009B0FCC" w:rsidP="00721F16">
            <w:pPr>
              <w:spacing w:beforeAutospacing="1" w:afterAutospacing="1"/>
              <w:jc w:val="right"/>
            </w:pPr>
            <w:r>
              <w:rPr>
                <w:color w:val="000000"/>
              </w:rPr>
              <w:t>0</w:t>
            </w:r>
          </w:p>
        </w:tc>
        <w:tc>
          <w:tcPr>
            <w:tcW w:w="0" w:type="auto"/>
            <w:vAlign w:val="bottom"/>
          </w:tcPr>
          <w:p w14:paraId="44E99979" w14:textId="77777777" w:rsidR="009B0FCC" w:rsidRDefault="009B0FCC" w:rsidP="00721F16">
            <w:pPr>
              <w:spacing w:beforeAutospacing="1" w:afterAutospacing="1"/>
              <w:jc w:val="right"/>
            </w:pPr>
            <w:r>
              <w:rPr>
                <w:color w:val="000000"/>
              </w:rPr>
              <w:t>1</w:t>
            </w:r>
          </w:p>
        </w:tc>
        <w:tc>
          <w:tcPr>
            <w:tcW w:w="0" w:type="auto"/>
            <w:vAlign w:val="bottom"/>
          </w:tcPr>
          <w:p w14:paraId="50B199DD" w14:textId="77777777" w:rsidR="009B0FCC" w:rsidRDefault="009B0FCC" w:rsidP="00721F16">
            <w:pPr>
              <w:spacing w:beforeAutospacing="1" w:afterAutospacing="1"/>
              <w:jc w:val="right"/>
            </w:pPr>
            <w:r>
              <w:rPr>
                <w:color w:val="000000"/>
              </w:rPr>
              <w:t>3</w:t>
            </w:r>
          </w:p>
        </w:tc>
        <w:tc>
          <w:tcPr>
            <w:tcW w:w="0" w:type="auto"/>
            <w:vAlign w:val="bottom"/>
          </w:tcPr>
          <w:p w14:paraId="48688422" w14:textId="77777777" w:rsidR="009B0FCC" w:rsidRDefault="009B0FCC" w:rsidP="00721F16">
            <w:pPr>
              <w:spacing w:beforeAutospacing="1" w:afterAutospacing="1"/>
              <w:jc w:val="right"/>
            </w:pPr>
            <w:r>
              <w:rPr>
                <w:color w:val="000000"/>
              </w:rPr>
              <w:t>0</w:t>
            </w:r>
          </w:p>
        </w:tc>
        <w:tc>
          <w:tcPr>
            <w:tcW w:w="0" w:type="auto"/>
            <w:vAlign w:val="bottom"/>
          </w:tcPr>
          <w:p w14:paraId="6CA1E5D0" w14:textId="77777777" w:rsidR="009B0FCC" w:rsidRDefault="009B0FCC" w:rsidP="00721F16">
            <w:pPr>
              <w:spacing w:beforeAutospacing="1" w:afterAutospacing="1"/>
              <w:jc w:val="right"/>
            </w:pPr>
            <w:r>
              <w:rPr>
                <w:color w:val="000000"/>
              </w:rPr>
              <w:t>3</w:t>
            </w:r>
          </w:p>
        </w:tc>
        <w:tc>
          <w:tcPr>
            <w:tcW w:w="0" w:type="auto"/>
            <w:vAlign w:val="bottom"/>
          </w:tcPr>
          <w:p w14:paraId="19FA581F" w14:textId="77777777" w:rsidR="009B0FCC" w:rsidRDefault="009B0FCC" w:rsidP="00721F16">
            <w:pPr>
              <w:spacing w:beforeAutospacing="1" w:afterAutospacing="1"/>
              <w:jc w:val="right"/>
            </w:pPr>
            <w:r>
              <w:rPr>
                <w:color w:val="000000"/>
              </w:rPr>
              <w:t>0</w:t>
            </w:r>
          </w:p>
        </w:tc>
        <w:tc>
          <w:tcPr>
            <w:tcW w:w="0" w:type="auto"/>
            <w:vAlign w:val="bottom"/>
          </w:tcPr>
          <w:p w14:paraId="341364F8" w14:textId="77777777" w:rsidR="009B0FCC" w:rsidRDefault="009B0FCC" w:rsidP="00721F16">
            <w:pPr>
              <w:spacing w:beforeAutospacing="1" w:afterAutospacing="1"/>
              <w:jc w:val="right"/>
            </w:pPr>
            <w:r>
              <w:rPr>
                <w:color w:val="000000"/>
              </w:rPr>
              <w:t>0</w:t>
            </w:r>
          </w:p>
        </w:tc>
        <w:tc>
          <w:tcPr>
            <w:tcW w:w="0" w:type="auto"/>
            <w:vAlign w:val="bottom"/>
          </w:tcPr>
          <w:p w14:paraId="67155169" w14:textId="77777777" w:rsidR="009B0FCC" w:rsidRDefault="009B0FCC" w:rsidP="00721F16">
            <w:pPr>
              <w:spacing w:beforeAutospacing="1" w:afterAutospacing="1"/>
              <w:jc w:val="right"/>
            </w:pPr>
            <w:r>
              <w:rPr>
                <w:color w:val="000000"/>
              </w:rPr>
              <w:t>0</w:t>
            </w:r>
          </w:p>
        </w:tc>
      </w:tr>
      <w:tr w:rsidR="009B0FCC" w14:paraId="008EEDB5" w14:textId="77777777" w:rsidTr="00721F16">
        <w:trPr>
          <w:cantSplit/>
        </w:trPr>
        <w:tc>
          <w:tcPr>
            <w:tcW w:w="0" w:type="auto"/>
          </w:tcPr>
          <w:p w14:paraId="53E50E0A" w14:textId="77777777" w:rsidR="009B0FCC" w:rsidRDefault="009B0FCC" w:rsidP="00721F16">
            <w:pPr>
              <w:spacing w:beforeAutospacing="1" w:afterAutospacing="1"/>
            </w:pPr>
            <w:r>
              <w:rPr>
                <w:color w:val="000000"/>
              </w:rPr>
              <w:lastRenderedPageBreak/>
              <w:t>American Indian/Alaska Native</w:t>
            </w:r>
          </w:p>
        </w:tc>
        <w:tc>
          <w:tcPr>
            <w:tcW w:w="0" w:type="auto"/>
            <w:vAlign w:val="bottom"/>
          </w:tcPr>
          <w:p w14:paraId="155869A1" w14:textId="77777777" w:rsidR="009B0FCC" w:rsidRDefault="009B0FCC" w:rsidP="00721F16">
            <w:pPr>
              <w:spacing w:beforeAutospacing="1" w:afterAutospacing="1"/>
              <w:jc w:val="right"/>
            </w:pPr>
            <w:r>
              <w:rPr>
                <w:color w:val="000000"/>
              </w:rPr>
              <w:t>0</w:t>
            </w:r>
          </w:p>
        </w:tc>
        <w:tc>
          <w:tcPr>
            <w:tcW w:w="0" w:type="auto"/>
            <w:vAlign w:val="bottom"/>
          </w:tcPr>
          <w:p w14:paraId="7BD910B7" w14:textId="77777777" w:rsidR="009B0FCC" w:rsidRDefault="009B0FCC" w:rsidP="00721F16">
            <w:pPr>
              <w:spacing w:beforeAutospacing="1" w:afterAutospacing="1"/>
              <w:jc w:val="right"/>
            </w:pPr>
            <w:r>
              <w:rPr>
                <w:color w:val="000000"/>
              </w:rPr>
              <w:t>0</w:t>
            </w:r>
          </w:p>
        </w:tc>
        <w:tc>
          <w:tcPr>
            <w:tcW w:w="0" w:type="auto"/>
            <w:vAlign w:val="bottom"/>
          </w:tcPr>
          <w:p w14:paraId="51632468" w14:textId="77777777" w:rsidR="009B0FCC" w:rsidRDefault="009B0FCC" w:rsidP="00721F16">
            <w:pPr>
              <w:spacing w:beforeAutospacing="1" w:afterAutospacing="1"/>
              <w:jc w:val="right"/>
            </w:pPr>
            <w:r>
              <w:rPr>
                <w:color w:val="000000"/>
              </w:rPr>
              <w:t>0</w:t>
            </w:r>
          </w:p>
        </w:tc>
        <w:tc>
          <w:tcPr>
            <w:tcW w:w="0" w:type="auto"/>
            <w:vAlign w:val="bottom"/>
          </w:tcPr>
          <w:p w14:paraId="63788139" w14:textId="77777777" w:rsidR="009B0FCC" w:rsidRDefault="009B0FCC" w:rsidP="00721F16">
            <w:pPr>
              <w:spacing w:beforeAutospacing="1" w:afterAutospacing="1"/>
              <w:jc w:val="right"/>
            </w:pPr>
            <w:r>
              <w:rPr>
                <w:color w:val="000000"/>
              </w:rPr>
              <w:t>74</w:t>
            </w:r>
          </w:p>
        </w:tc>
        <w:tc>
          <w:tcPr>
            <w:tcW w:w="0" w:type="auto"/>
            <w:vAlign w:val="bottom"/>
          </w:tcPr>
          <w:p w14:paraId="21024093" w14:textId="77777777" w:rsidR="009B0FCC" w:rsidRDefault="009B0FCC" w:rsidP="00721F16">
            <w:pPr>
              <w:spacing w:beforeAutospacing="1" w:afterAutospacing="1"/>
              <w:jc w:val="right"/>
            </w:pPr>
            <w:r>
              <w:rPr>
                <w:color w:val="000000"/>
              </w:rPr>
              <w:t>0</w:t>
            </w:r>
          </w:p>
        </w:tc>
        <w:tc>
          <w:tcPr>
            <w:tcW w:w="0" w:type="auto"/>
            <w:vAlign w:val="bottom"/>
          </w:tcPr>
          <w:p w14:paraId="6E740B36" w14:textId="77777777" w:rsidR="009B0FCC" w:rsidRDefault="009B0FCC" w:rsidP="00721F16">
            <w:pPr>
              <w:spacing w:beforeAutospacing="1" w:afterAutospacing="1"/>
              <w:jc w:val="right"/>
            </w:pPr>
            <w:r>
              <w:rPr>
                <w:color w:val="000000"/>
              </w:rPr>
              <w:t>72</w:t>
            </w:r>
          </w:p>
        </w:tc>
        <w:tc>
          <w:tcPr>
            <w:tcW w:w="0" w:type="auto"/>
            <w:vAlign w:val="bottom"/>
          </w:tcPr>
          <w:p w14:paraId="74DEFF37" w14:textId="77777777" w:rsidR="009B0FCC" w:rsidRDefault="009B0FCC" w:rsidP="00721F16">
            <w:pPr>
              <w:spacing w:beforeAutospacing="1" w:afterAutospacing="1"/>
              <w:jc w:val="right"/>
            </w:pPr>
            <w:r>
              <w:rPr>
                <w:color w:val="000000"/>
              </w:rPr>
              <w:t>0</w:t>
            </w:r>
          </w:p>
        </w:tc>
        <w:tc>
          <w:tcPr>
            <w:tcW w:w="0" w:type="auto"/>
            <w:vAlign w:val="bottom"/>
          </w:tcPr>
          <w:p w14:paraId="29F1D0B3" w14:textId="77777777" w:rsidR="009B0FCC" w:rsidRDefault="009B0FCC" w:rsidP="00721F16">
            <w:pPr>
              <w:spacing w:beforeAutospacing="1" w:afterAutospacing="1"/>
              <w:jc w:val="right"/>
            </w:pPr>
            <w:r>
              <w:rPr>
                <w:color w:val="000000"/>
              </w:rPr>
              <w:t>0</w:t>
            </w:r>
          </w:p>
        </w:tc>
        <w:tc>
          <w:tcPr>
            <w:tcW w:w="0" w:type="auto"/>
            <w:vAlign w:val="bottom"/>
          </w:tcPr>
          <w:p w14:paraId="3CE03646" w14:textId="77777777" w:rsidR="009B0FCC" w:rsidRDefault="009B0FCC" w:rsidP="00721F16">
            <w:pPr>
              <w:spacing w:beforeAutospacing="1" w:afterAutospacing="1"/>
              <w:jc w:val="right"/>
            </w:pPr>
            <w:r>
              <w:rPr>
                <w:color w:val="000000"/>
              </w:rPr>
              <w:t>2</w:t>
            </w:r>
          </w:p>
        </w:tc>
      </w:tr>
      <w:tr w:rsidR="009B0FCC" w14:paraId="612E3D31" w14:textId="77777777" w:rsidTr="00721F16">
        <w:trPr>
          <w:cantSplit/>
        </w:trPr>
        <w:tc>
          <w:tcPr>
            <w:tcW w:w="0" w:type="auto"/>
          </w:tcPr>
          <w:p w14:paraId="0641D6CE" w14:textId="77777777" w:rsidR="009B0FCC" w:rsidRDefault="009B0FCC" w:rsidP="00721F16">
            <w:pPr>
              <w:spacing w:beforeAutospacing="1" w:afterAutospacing="1"/>
            </w:pPr>
            <w:r>
              <w:rPr>
                <w:color w:val="000000"/>
              </w:rPr>
              <w:t>Pacific Islander</w:t>
            </w:r>
          </w:p>
        </w:tc>
        <w:tc>
          <w:tcPr>
            <w:tcW w:w="0" w:type="auto"/>
            <w:vAlign w:val="bottom"/>
          </w:tcPr>
          <w:p w14:paraId="26DA4A18" w14:textId="77777777" w:rsidR="009B0FCC" w:rsidRDefault="009B0FCC" w:rsidP="00721F16">
            <w:pPr>
              <w:spacing w:beforeAutospacing="1" w:afterAutospacing="1"/>
              <w:jc w:val="right"/>
            </w:pPr>
            <w:r>
              <w:rPr>
                <w:color w:val="000000"/>
              </w:rPr>
              <w:t>0</w:t>
            </w:r>
          </w:p>
        </w:tc>
        <w:tc>
          <w:tcPr>
            <w:tcW w:w="0" w:type="auto"/>
            <w:vAlign w:val="bottom"/>
          </w:tcPr>
          <w:p w14:paraId="1F5954F8" w14:textId="77777777" w:rsidR="009B0FCC" w:rsidRDefault="009B0FCC" w:rsidP="00721F16">
            <w:pPr>
              <w:spacing w:beforeAutospacing="1" w:afterAutospacing="1"/>
              <w:jc w:val="right"/>
            </w:pPr>
            <w:r>
              <w:rPr>
                <w:color w:val="000000"/>
              </w:rPr>
              <w:t>0</w:t>
            </w:r>
          </w:p>
        </w:tc>
        <w:tc>
          <w:tcPr>
            <w:tcW w:w="0" w:type="auto"/>
            <w:vAlign w:val="bottom"/>
          </w:tcPr>
          <w:p w14:paraId="411D64E7" w14:textId="77777777" w:rsidR="009B0FCC" w:rsidRDefault="009B0FCC" w:rsidP="00721F16">
            <w:pPr>
              <w:spacing w:beforeAutospacing="1" w:afterAutospacing="1"/>
              <w:jc w:val="right"/>
            </w:pPr>
            <w:r>
              <w:rPr>
                <w:color w:val="000000"/>
              </w:rPr>
              <w:t>0</w:t>
            </w:r>
          </w:p>
        </w:tc>
        <w:tc>
          <w:tcPr>
            <w:tcW w:w="0" w:type="auto"/>
            <w:vAlign w:val="bottom"/>
          </w:tcPr>
          <w:p w14:paraId="1FB4D9F5" w14:textId="77777777" w:rsidR="009B0FCC" w:rsidRDefault="009B0FCC" w:rsidP="00721F16">
            <w:pPr>
              <w:spacing w:beforeAutospacing="1" w:afterAutospacing="1"/>
              <w:jc w:val="right"/>
            </w:pPr>
            <w:r>
              <w:rPr>
                <w:color w:val="000000"/>
              </w:rPr>
              <w:t>7</w:t>
            </w:r>
          </w:p>
        </w:tc>
        <w:tc>
          <w:tcPr>
            <w:tcW w:w="0" w:type="auto"/>
            <w:vAlign w:val="bottom"/>
          </w:tcPr>
          <w:p w14:paraId="781A5AAD" w14:textId="77777777" w:rsidR="009B0FCC" w:rsidRDefault="009B0FCC" w:rsidP="00721F16">
            <w:pPr>
              <w:spacing w:beforeAutospacing="1" w:afterAutospacing="1"/>
              <w:jc w:val="right"/>
            </w:pPr>
            <w:r>
              <w:rPr>
                <w:color w:val="000000"/>
              </w:rPr>
              <w:t>0</w:t>
            </w:r>
          </w:p>
        </w:tc>
        <w:tc>
          <w:tcPr>
            <w:tcW w:w="0" w:type="auto"/>
            <w:vAlign w:val="bottom"/>
          </w:tcPr>
          <w:p w14:paraId="26159469" w14:textId="77777777" w:rsidR="009B0FCC" w:rsidRDefault="009B0FCC" w:rsidP="00721F16">
            <w:pPr>
              <w:spacing w:beforeAutospacing="1" w:afterAutospacing="1"/>
              <w:jc w:val="right"/>
            </w:pPr>
            <w:r>
              <w:rPr>
                <w:color w:val="000000"/>
              </w:rPr>
              <w:t>6</w:t>
            </w:r>
          </w:p>
        </w:tc>
        <w:tc>
          <w:tcPr>
            <w:tcW w:w="0" w:type="auto"/>
            <w:vAlign w:val="bottom"/>
          </w:tcPr>
          <w:p w14:paraId="24EB59D6" w14:textId="77777777" w:rsidR="009B0FCC" w:rsidRDefault="009B0FCC" w:rsidP="00721F16">
            <w:pPr>
              <w:spacing w:beforeAutospacing="1" w:afterAutospacing="1"/>
              <w:jc w:val="right"/>
            </w:pPr>
            <w:r>
              <w:rPr>
                <w:color w:val="000000"/>
              </w:rPr>
              <w:t>0</w:t>
            </w:r>
          </w:p>
        </w:tc>
        <w:tc>
          <w:tcPr>
            <w:tcW w:w="0" w:type="auto"/>
            <w:vAlign w:val="bottom"/>
          </w:tcPr>
          <w:p w14:paraId="73E22A79" w14:textId="77777777" w:rsidR="009B0FCC" w:rsidRDefault="009B0FCC" w:rsidP="00721F16">
            <w:pPr>
              <w:spacing w:beforeAutospacing="1" w:afterAutospacing="1"/>
              <w:jc w:val="right"/>
            </w:pPr>
            <w:r>
              <w:rPr>
                <w:color w:val="000000"/>
              </w:rPr>
              <w:t>0</w:t>
            </w:r>
          </w:p>
        </w:tc>
        <w:tc>
          <w:tcPr>
            <w:tcW w:w="0" w:type="auto"/>
            <w:vAlign w:val="bottom"/>
          </w:tcPr>
          <w:p w14:paraId="46846BF4" w14:textId="77777777" w:rsidR="009B0FCC" w:rsidRDefault="009B0FCC" w:rsidP="00721F16">
            <w:pPr>
              <w:spacing w:beforeAutospacing="1" w:afterAutospacing="1"/>
              <w:jc w:val="right"/>
            </w:pPr>
            <w:r>
              <w:rPr>
                <w:color w:val="000000"/>
              </w:rPr>
              <w:t>1</w:t>
            </w:r>
          </w:p>
        </w:tc>
      </w:tr>
      <w:tr w:rsidR="009B0FCC" w14:paraId="1FE614DC" w14:textId="77777777" w:rsidTr="00721F16">
        <w:trPr>
          <w:cantSplit/>
        </w:trPr>
        <w:tc>
          <w:tcPr>
            <w:tcW w:w="0" w:type="auto"/>
          </w:tcPr>
          <w:p w14:paraId="45EE5A91" w14:textId="77777777" w:rsidR="009B0FCC" w:rsidRDefault="009B0FCC" w:rsidP="00721F16">
            <w:pPr>
              <w:spacing w:beforeAutospacing="1" w:afterAutospacing="1"/>
            </w:pPr>
            <w:r>
              <w:rPr>
                <w:color w:val="000000"/>
              </w:rPr>
              <w:t>Other</w:t>
            </w:r>
          </w:p>
        </w:tc>
        <w:tc>
          <w:tcPr>
            <w:tcW w:w="0" w:type="auto"/>
            <w:vAlign w:val="bottom"/>
          </w:tcPr>
          <w:p w14:paraId="64153761" w14:textId="77777777" w:rsidR="009B0FCC" w:rsidRDefault="009B0FCC" w:rsidP="00721F16">
            <w:pPr>
              <w:spacing w:beforeAutospacing="1" w:afterAutospacing="1"/>
              <w:jc w:val="right"/>
            </w:pPr>
            <w:r>
              <w:rPr>
                <w:color w:val="000000"/>
              </w:rPr>
              <w:t>0</w:t>
            </w:r>
          </w:p>
        </w:tc>
        <w:tc>
          <w:tcPr>
            <w:tcW w:w="0" w:type="auto"/>
            <w:vAlign w:val="bottom"/>
          </w:tcPr>
          <w:p w14:paraId="1CFA61C0" w14:textId="77777777" w:rsidR="009B0FCC" w:rsidRDefault="009B0FCC" w:rsidP="00721F16">
            <w:pPr>
              <w:spacing w:beforeAutospacing="1" w:afterAutospacing="1"/>
              <w:jc w:val="right"/>
            </w:pPr>
            <w:r>
              <w:rPr>
                <w:color w:val="000000"/>
              </w:rPr>
              <w:t>0</w:t>
            </w:r>
          </w:p>
        </w:tc>
        <w:tc>
          <w:tcPr>
            <w:tcW w:w="0" w:type="auto"/>
            <w:vAlign w:val="bottom"/>
          </w:tcPr>
          <w:p w14:paraId="4C84D09A" w14:textId="77777777" w:rsidR="009B0FCC" w:rsidRDefault="009B0FCC" w:rsidP="00721F16">
            <w:pPr>
              <w:spacing w:beforeAutospacing="1" w:afterAutospacing="1"/>
              <w:jc w:val="right"/>
            </w:pPr>
            <w:r>
              <w:rPr>
                <w:color w:val="000000"/>
              </w:rPr>
              <w:t>0</w:t>
            </w:r>
          </w:p>
        </w:tc>
        <w:tc>
          <w:tcPr>
            <w:tcW w:w="0" w:type="auto"/>
            <w:vAlign w:val="bottom"/>
          </w:tcPr>
          <w:p w14:paraId="1E437339" w14:textId="77777777" w:rsidR="009B0FCC" w:rsidRDefault="009B0FCC" w:rsidP="00721F16">
            <w:pPr>
              <w:spacing w:beforeAutospacing="1" w:afterAutospacing="1"/>
              <w:jc w:val="right"/>
            </w:pPr>
            <w:r>
              <w:rPr>
                <w:color w:val="000000"/>
              </w:rPr>
              <w:t>0</w:t>
            </w:r>
          </w:p>
        </w:tc>
        <w:tc>
          <w:tcPr>
            <w:tcW w:w="0" w:type="auto"/>
            <w:vAlign w:val="bottom"/>
          </w:tcPr>
          <w:p w14:paraId="1CA80BEE" w14:textId="77777777" w:rsidR="009B0FCC" w:rsidRDefault="009B0FCC" w:rsidP="00721F16">
            <w:pPr>
              <w:spacing w:beforeAutospacing="1" w:afterAutospacing="1"/>
              <w:jc w:val="right"/>
            </w:pPr>
            <w:r>
              <w:rPr>
                <w:color w:val="000000"/>
              </w:rPr>
              <w:t>0</w:t>
            </w:r>
          </w:p>
        </w:tc>
        <w:tc>
          <w:tcPr>
            <w:tcW w:w="0" w:type="auto"/>
            <w:vAlign w:val="bottom"/>
          </w:tcPr>
          <w:p w14:paraId="75DE621B" w14:textId="77777777" w:rsidR="009B0FCC" w:rsidRDefault="009B0FCC" w:rsidP="00721F16">
            <w:pPr>
              <w:spacing w:beforeAutospacing="1" w:afterAutospacing="1"/>
              <w:jc w:val="right"/>
            </w:pPr>
            <w:r>
              <w:rPr>
                <w:color w:val="000000"/>
              </w:rPr>
              <w:t>0</w:t>
            </w:r>
          </w:p>
        </w:tc>
        <w:tc>
          <w:tcPr>
            <w:tcW w:w="0" w:type="auto"/>
            <w:vAlign w:val="bottom"/>
          </w:tcPr>
          <w:p w14:paraId="6F668BEF" w14:textId="77777777" w:rsidR="009B0FCC" w:rsidRDefault="009B0FCC" w:rsidP="00721F16">
            <w:pPr>
              <w:spacing w:beforeAutospacing="1" w:afterAutospacing="1"/>
              <w:jc w:val="right"/>
            </w:pPr>
            <w:r>
              <w:rPr>
                <w:color w:val="000000"/>
              </w:rPr>
              <w:t>0</w:t>
            </w:r>
          </w:p>
        </w:tc>
        <w:tc>
          <w:tcPr>
            <w:tcW w:w="0" w:type="auto"/>
            <w:vAlign w:val="bottom"/>
          </w:tcPr>
          <w:p w14:paraId="4C133FD7" w14:textId="77777777" w:rsidR="009B0FCC" w:rsidRDefault="009B0FCC" w:rsidP="00721F16">
            <w:pPr>
              <w:spacing w:beforeAutospacing="1" w:afterAutospacing="1"/>
              <w:jc w:val="right"/>
            </w:pPr>
            <w:r>
              <w:rPr>
                <w:color w:val="000000"/>
              </w:rPr>
              <w:t>0</w:t>
            </w:r>
          </w:p>
        </w:tc>
        <w:tc>
          <w:tcPr>
            <w:tcW w:w="0" w:type="auto"/>
            <w:vAlign w:val="bottom"/>
          </w:tcPr>
          <w:p w14:paraId="19850A3A" w14:textId="77777777" w:rsidR="009B0FCC" w:rsidRDefault="009B0FCC" w:rsidP="00721F16">
            <w:pPr>
              <w:spacing w:beforeAutospacing="1" w:afterAutospacing="1"/>
              <w:jc w:val="right"/>
            </w:pPr>
            <w:r>
              <w:rPr>
                <w:color w:val="000000"/>
              </w:rPr>
              <w:t>0</w:t>
            </w:r>
          </w:p>
        </w:tc>
      </w:tr>
    </w:tbl>
    <w:p w14:paraId="58BB01D4" w14:textId="77777777" w:rsidR="009B0FCC" w:rsidRDefault="009B0FCC" w:rsidP="009B0FCC">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9B0FCC" w14:paraId="161C9311" w14:textId="77777777" w:rsidTr="00721F16">
        <w:trPr>
          <w:cantSplit/>
        </w:trPr>
        <w:tc>
          <w:tcPr>
            <w:tcW w:w="13190" w:type="dxa"/>
          </w:tcPr>
          <w:p w14:paraId="19420DEA" w14:textId="77777777" w:rsidR="009B0FCC" w:rsidRDefault="009B0FCC" w:rsidP="00721F16">
            <w:pPr>
              <w:keepNext/>
              <w:widowControl w:val="0"/>
              <w:spacing w:after="0" w:line="240" w:lineRule="auto"/>
              <w:rPr>
                <w:sz w:val="20"/>
                <w:szCs w:val="20"/>
              </w:rPr>
            </w:pPr>
            <w:r>
              <w:rPr>
                <w:rFonts w:cs="Arial"/>
                <w:b/>
                <w:sz w:val="20"/>
                <w:szCs w:val="20"/>
              </w:rPr>
              <w:t>*</w:t>
            </w:r>
            <w:proofErr w:type="gramStart"/>
            <w:r>
              <w:rPr>
                <w:rFonts w:cs="Arial"/>
                <w:b/>
                <w:sz w:val="20"/>
                <w:szCs w:val="20"/>
              </w:rPr>
              <w:t>includes</w:t>
            </w:r>
            <w:proofErr w:type="gramEnd"/>
            <w:r>
              <w:rPr>
                <w:rFonts w:cs="Arial"/>
                <w:b/>
                <w:sz w:val="20"/>
                <w:szCs w:val="20"/>
              </w:rPr>
              <w:t xml:space="preserve"> Non-Elderly Disabled, Mainstream One-Year, Mainstream Five-year, and Nursing Home Transition</w:t>
            </w:r>
          </w:p>
        </w:tc>
      </w:tr>
    </w:tbl>
    <w:p w14:paraId="6142AA79"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Race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9B0FCC" w14:paraId="2685EF34" w14:textId="77777777" w:rsidTr="00721F16">
        <w:trPr>
          <w:cantSplit/>
        </w:trPr>
        <w:tc>
          <w:tcPr>
            <w:tcW w:w="1080" w:type="dxa"/>
          </w:tcPr>
          <w:p w14:paraId="5592BFBE" w14:textId="77777777" w:rsidR="009B0FCC" w:rsidRDefault="009B0FCC" w:rsidP="00721F16">
            <w:pPr>
              <w:spacing w:after="0" w:line="240" w:lineRule="auto"/>
              <w:rPr>
                <w:sz w:val="16"/>
                <w:szCs w:val="16"/>
              </w:rPr>
            </w:pPr>
            <w:r>
              <w:rPr>
                <w:b/>
                <w:bCs/>
                <w:sz w:val="16"/>
                <w:szCs w:val="16"/>
              </w:rPr>
              <w:t>Data Source:</w:t>
            </w:r>
          </w:p>
        </w:tc>
        <w:tc>
          <w:tcPr>
            <w:tcW w:w="8510" w:type="dxa"/>
          </w:tcPr>
          <w:p w14:paraId="79D2C96A" w14:textId="77777777" w:rsidR="009B0FCC" w:rsidRDefault="009B0FCC" w:rsidP="00721F16">
            <w:pPr>
              <w:spacing w:beforeAutospacing="1" w:afterAutospacing="1"/>
              <w:rPr>
                <w:sz w:val="16"/>
                <w:szCs w:val="16"/>
              </w:rPr>
            </w:pPr>
            <w:r>
              <w:rPr>
                <w:sz w:val="16"/>
                <w:szCs w:val="16"/>
              </w:rPr>
              <w:t>PIC (PIH Information Center)</w:t>
            </w:r>
          </w:p>
        </w:tc>
      </w:tr>
    </w:tbl>
    <w:p w14:paraId="7B3675EE" w14:textId="77777777" w:rsidR="009B0FCC" w:rsidRDefault="009B0FCC" w:rsidP="009B0FCC">
      <w:pPr>
        <w:keepNext/>
        <w:widowControl w:val="0"/>
        <w:spacing w:after="0" w:line="240" w:lineRule="auto"/>
        <w:jc w:val="center"/>
        <w:rPr>
          <w:b/>
          <w:bCs/>
          <w:vanish/>
          <w:sz w:val="20"/>
          <w:szCs w:val="20"/>
        </w:rPr>
      </w:pPr>
    </w:p>
    <w:p w14:paraId="735715B5" w14:textId="77777777" w:rsidR="009B0FCC" w:rsidRDefault="009B0FCC" w:rsidP="009B0FCC">
      <w:pPr>
        <w:spacing w:after="0" w:line="240" w:lineRule="auto"/>
        <w:rPr>
          <w:b/>
          <w:bCs/>
          <w:vanish/>
          <w:sz w:val="16"/>
          <w:szCs w:val="16"/>
        </w:rPr>
      </w:pPr>
    </w:p>
    <w:p w14:paraId="6EE8B078" w14:textId="77777777" w:rsidR="009B0FCC" w:rsidRDefault="009B0FCC" w:rsidP="009B0FCC">
      <w:pPr>
        <w:rPr>
          <w:rFonts w:cs="Arial"/>
        </w:rPr>
      </w:pPr>
    </w:p>
    <w:p w14:paraId="6FC6E533" w14:textId="77777777" w:rsidR="009B0FCC" w:rsidRDefault="009B0FCC" w:rsidP="009B0FCC">
      <w:pPr>
        <w:keepNext/>
        <w:widowControl w:val="0"/>
        <w:rPr>
          <w:b/>
          <w:sz w:val="24"/>
          <w:szCs w:val="24"/>
        </w:rPr>
      </w:pPr>
      <w:r>
        <w:rPr>
          <w:b/>
          <w:sz w:val="24"/>
          <w:szCs w:val="24"/>
        </w:rPr>
        <w:t>Ethnicity of Residents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587"/>
        <w:gridCol w:w="1091"/>
        <w:gridCol w:w="1059"/>
        <w:gridCol w:w="1069"/>
        <w:gridCol w:w="1226"/>
        <w:gridCol w:w="1232"/>
        <w:gridCol w:w="1231"/>
        <w:gridCol w:w="1155"/>
        <w:gridCol w:w="1156"/>
        <w:gridCol w:w="1144"/>
      </w:tblGrid>
      <w:tr w:rsidR="009B0FCC" w14:paraId="761BC59C" w14:textId="77777777" w:rsidTr="00721F16">
        <w:trPr>
          <w:cantSplit/>
          <w:tblHeader/>
        </w:trPr>
        <w:tc>
          <w:tcPr>
            <w:tcW w:w="13190" w:type="dxa"/>
            <w:gridSpan w:val="10"/>
          </w:tcPr>
          <w:p w14:paraId="3C53CE3D" w14:textId="77777777" w:rsidR="009B0FCC" w:rsidRDefault="009B0FCC" w:rsidP="00721F16">
            <w:pPr>
              <w:keepNext/>
              <w:widowControl w:val="0"/>
              <w:spacing w:after="0" w:line="240" w:lineRule="auto"/>
              <w:jc w:val="center"/>
              <w:rPr>
                <w:b/>
                <w:sz w:val="20"/>
                <w:szCs w:val="20"/>
              </w:rPr>
            </w:pPr>
            <w:r>
              <w:rPr>
                <w:rFonts w:cs="Arial"/>
                <w:b/>
                <w:sz w:val="20"/>
                <w:szCs w:val="20"/>
              </w:rPr>
              <w:t>Program Type</w:t>
            </w:r>
          </w:p>
        </w:tc>
      </w:tr>
      <w:tr w:rsidR="009B0FCC" w14:paraId="327C4D54" w14:textId="77777777" w:rsidTr="00721F16">
        <w:trPr>
          <w:cantSplit/>
          <w:tblHeader/>
        </w:trPr>
        <w:tc>
          <w:tcPr>
            <w:tcW w:w="2693" w:type="dxa"/>
            <w:vMerge w:val="restart"/>
          </w:tcPr>
          <w:p w14:paraId="2278EE81" w14:textId="77777777" w:rsidR="009B0FCC" w:rsidRDefault="009B0FCC" w:rsidP="00721F16">
            <w:pPr>
              <w:keepNext/>
              <w:widowControl w:val="0"/>
              <w:spacing w:after="0" w:line="240" w:lineRule="auto"/>
              <w:jc w:val="center"/>
              <w:rPr>
                <w:b/>
                <w:sz w:val="20"/>
                <w:szCs w:val="20"/>
              </w:rPr>
            </w:pPr>
            <w:r>
              <w:rPr>
                <w:b/>
                <w:sz w:val="20"/>
                <w:szCs w:val="20"/>
              </w:rPr>
              <w:t>Ethnicity</w:t>
            </w:r>
          </w:p>
        </w:tc>
        <w:tc>
          <w:tcPr>
            <w:tcW w:w="1091" w:type="dxa"/>
            <w:vMerge w:val="restart"/>
          </w:tcPr>
          <w:p w14:paraId="14629605" w14:textId="77777777" w:rsidR="009B0FCC" w:rsidRDefault="009B0FCC" w:rsidP="00721F16">
            <w:pPr>
              <w:keepNext/>
              <w:widowControl w:val="0"/>
              <w:spacing w:after="0" w:line="240" w:lineRule="auto"/>
              <w:jc w:val="center"/>
              <w:rPr>
                <w:b/>
                <w:sz w:val="20"/>
                <w:szCs w:val="20"/>
              </w:rPr>
            </w:pPr>
            <w:r>
              <w:rPr>
                <w:rFonts w:cs="Arial"/>
                <w:b/>
                <w:sz w:val="20"/>
                <w:szCs w:val="20"/>
              </w:rPr>
              <w:t>Certificate</w:t>
            </w:r>
          </w:p>
        </w:tc>
        <w:tc>
          <w:tcPr>
            <w:tcW w:w="1079" w:type="dxa"/>
            <w:vMerge w:val="restart"/>
          </w:tcPr>
          <w:p w14:paraId="2521F86A" w14:textId="77777777" w:rsidR="009B0FCC" w:rsidRDefault="009B0FCC" w:rsidP="00721F16">
            <w:pPr>
              <w:keepNext/>
              <w:widowControl w:val="0"/>
              <w:spacing w:after="0" w:line="240" w:lineRule="auto"/>
              <w:jc w:val="center"/>
              <w:rPr>
                <w:b/>
                <w:sz w:val="20"/>
                <w:szCs w:val="20"/>
              </w:rPr>
            </w:pPr>
            <w:r>
              <w:rPr>
                <w:rFonts w:cs="Arial"/>
                <w:b/>
                <w:sz w:val="20"/>
                <w:szCs w:val="20"/>
              </w:rPr>
              <w:t>Mod-Rehab</w:t>
            </w:r>
          </w:p>
        </w:tc>
        <w:tc>
          <w:tcPr>
            <w:tcW w:w="1080" w:type="dxa"/>
            <w:vMerge w:val="restart"/>
          </w:tcPr>
          <w:p w14:paraId="2343AFA2" w14:textId="77777777" w:rsidR="009B0FCC" w:rsidRDefault="009B0FCC" w:rsidP="00721F16">
            <w:pPr>
              <w:keepNext/>
              <w:widowControl w:val="0"/>
              <w:spacing w:after="0" w:line="240" w:lineRule="auto"/>
              <w:jc w:val="center"/>
              <w:rPr>
                <w:b/>
                <w:sz w:val="20"/>
                <w:szCs w:val="20"/>
              </w:rPr>
            </w:pPr>
            <w:r>
              <w:rPr>
                <w:rFonts w:cs="Arial"/>
                <w:b/>
                <w:sz w:val="20"/>
                <w:szCs w:val="20"/>
              </w:rPr>
              <w:t>Public Housing</w:t>
            </w:r>
          </w:p>
        </w:tc>
        <w:tc>
          <w:tcPr>
            <w:tcW w:w="7247" w:type="dxa"/>
            <w:gridSpan w:val="6"/>
          </w:tcPr>
          <w:p w14:paraId="76B5AB5F" w14:textId="77777777" w:rsidR="009B0FCC" w:rsidRDefault="009B0FCC" w:rsidP="00721F16">
            <w:pPr>
              <w:keepNext/>
              <w:widowControl w:val="0"/>
              <w:spacing w:after="0" w:line="240" w:lineRule="auto"/>
              <w:rPr>
                <w:b/>
                <w:sz w:val="20"/>
                <w:szCs w:val="20"/>
              </w:rPr>
            </w:pPr>
            <w:r>
              <w:rPr>
                <w:b/>
                <w:sz w:val="20"/>
                <w:szCs w:val="20"/>
              </w:rPr>
              <w:t>Vouchers</w:t>
            </w:r>
          </w:p>
        </w:tc>
      </w:tr>
      <w:tr w:rsidR="009B0FCC" w14:paraId="34792355" w14:textId="77777777" w:rsidTr="00721F16">
        <w:trPr>
          <w:cantSplit/>
          <w:tblHeader/>
        </w:trPr>
        <w:tc>
          <w:tcPr>
            <w:tcW w:w="2693" w:type="dxa"/>
            <w:vMerge/>
          </w:tcPr>
          <w:p w14:paraId="65AF660E" w14:textId="77777777" w:rsidR="009B0FCC" w:rsidRDefault="009B0FCC" w:rsidP="00721F16">
            <w:pPr>
              <w:keepNext/>
              <w:widowControl w:val="0"/>
              <w:spacing w:after="0" w:line="240" w:lineRule="auto"/>
              <w:jc w:val="center"/>
              <w:rPr>
                <w:b/>
                <w:sz w:val="20"/>
                <w:szCs w:val="20"/>
              </w:rPr>
            </w:pPr>
          </w:p>
        </w:tc>
        <w:tc>
          <w:tcPr>
            <w:tcW w:w="1091" w:type="dxa"/>
            <w:vMerge/>
          </w:tcPr>
          <w:p w14:paraId="14EB1F6C" w14:textId="77777777" w:rsidR="009B0FCC" w:rsidRDefault="009B0FCC" w:rsidP="00721F16">
            <w:pPr>
              <w:keepNext/>
              <w:widowControl w:val="0"/>
              <w:spacing w:after="0" w:line="240" w:lineRule="auto"/>
              <w:jc w:val="center"/>
              <w:rPr>
                <w:b/>
                <w:sz w:val="20"/>
                <w:szCs w:val="20"/>
              </w:rPr>
            </w:pPr>
          </w:p>
        </w:tc>
        <w:tc>
          <w:tcPr>
            <w:tcW w:w="1079" w:type="dxa"/>
            <w:vMerge/>
          </w:tcPr>
          <w:p w14:paraId="1B214123" w14:textId="77777777" w:rsidR="009B0FCC" w:rsidRDefault="009B0FCC" w:rsidP="00721F16">
            <w:pPr>
              <w:keepNext/>
              <w:widowControl w:val="0"/>
              <w:spacing w:after="0" w:line="240" w:lineRule="auto"/>
              <w:jc w:val="center"/>
              <w:rPr>
                <w:b/>
                <w:sz w:val="20"/>
                <w:szCs w:val="20"/>
              </w:rPr>
            </w:pPr>
          </w:p>
        </w:tc>
        <w:tc>
          <w:tcPr>
            <w:tcW w:w="1080" w:type="dxa"/>
            <w:vMerge/>
          </w:tcPr>
          <w:p w14:paraId="65CC9974" w14:textId="77777777" w:rsidR="009B0FCC" w:rsidRDefault="009B0FCC" w:rsidP="00721F16">
            <w:pPr>
              <w:keepNext/>
              <w:widowControl w:val="0"/>
              <w:spacing w:after="0" w:line="240" w:lineRule="auto"/>
              <w:jc w:val="center"/>
              <w:rPr>
                <w:b/>
                <w:sz w:val="20"/>
                <w:szCs w:val="20"/>
              </w:rPr>
            </w:pPr>
          </w:p>
        </w:tc>
        <w:tc>
          <w:tcPr>
            <w:tcW w:w="1259" w:type="dxa"/>
            <w:vMerge w:val="restart"/>
          </w:tcPr>
          <w:p w14:paraId="7527EAC1" w14:textId="77777777" w:rsidR="009B0FCC" w:rsidRDefault="009B0FCC" w:rsidP="00721F16">
            <w:pPr>
              <w:keepNext/>
              <w:widowControl w:val="0"/>
              <w:spacing w:after="0" w:line="240" w:lineRule="auto"/>
              <w:jc w:val="center"/>
              <w:rPr>
                <w:b/>
                <w:sz w:val="20"/>
                <w:szCs w:val="20"/>
              </w:rPr>
            </w:pPr>
            <w:r>
              <w:rPr>
                <w:rFonts w:cs="Arial"/>
                <w:b/>
                <w:sz w:val="20"/>
                <w:szCs w:val="20"/>
              </w:rPr>
              <w:t>Total</w:t>
            </w:r>
          </w:p>
        </w:tc>
        <w:tc>
          <w:tcPr>
            <w:tcW w:w="1259" w:type="dxa"/>
            <w:vMerge w:val="restart"/>
          </w:tcPr>
          <w:p w14:paraId="1765D25F" w14:textId="77777777" w:rsidR="009B0FCC" w:rsidRDefault="009B0FCC" w:rsidP="00721F16">
            <w:pPr>
              <w:keepNext/>
              <w:widowControl w:val="0"/>
              <w:spacing w:after="0" w:line="240" w:lineRule="auto"/>
              <w:jc w:val="center"/>
              <w:rPr>
                <w:b/>
                <w:sz w:val="20"/>
                <w:szCs w:val="20"/>
              </w:rPr>
            </w:pPr>
            <w:r>
              <w:rPr>
                <w:rFonts w:cs="Arial"/>
                <w:b/>
                <w:sz w:val="20"/>
                <w:szCs w:val="20"/>
              </w:rPr>
              <w:t>Project -based</w:t>
            </w:r>
          </w:p>
        </w:tc>
        <w:tc>
          <w:tcPr>
            <w:tcW w:w="1259" w:type="dxa"/>
            <w:vMerge w:val="restart"/>
          </w:tcPr>
          <w:p w14:paraId="38443B7D" w14:textId="77777777" w:rsidR="009B0FCC" w:rsidRDefault="009B0FCC" w:rsidP="00721F16">
            <w:pPr>
              <w:keepNext/>
              <w:widowControl w:val="0"/>
              <w:spacing w:after="0" w:line="240" w:lineRule="auto"/>
              <w:jc w:val="center"/>
              <w:rPr>
                <w:b/>
                <w:sz w:val="20"/>
                <w:szCs w:val="20"/>
              </w:rPr>
            </w:pPr>
            <w:r>
              <w:rPr>
                <w:rFonts w:cs="Arial"/>
                <w:b/>
                <w:sz w:val="20"/>
                <w:szCs w:val="20"/>
              </w:rPr>
              <w:t>Tenant -based</w:t>
            </w:r>
          </w:p>
        </w:tc>
        <w:tc>
          <w:tcPr>
            <w:tcW w:w="3470" w:type="dxa"/>
            <w:gridSpan w:val="3"/>
          </w:tcPr>
          <w:p w14:paraId="2CAAEDFF" w14:textId="77777777" w:rsidR="009B0FCC" w:rsidRDefault="009B0FCC" w:rsidP="00721F16">
            <w:pPr>
              <w:keepNext/>
              <w:widowControl w:val="0"/>
              <w:spacing w:after="0" w:line="240" w:lineRule="auto"/>
              <w:jc w:val="center"/>
              <w:rPr>
                <w:b/>
                <w:sz w:val="20"/>
                <w:szCs w:val="20"/>
              </w:rPr>
            </w:pPr>
            <w:r>
              <w:rPr>
                <w:rFonts w:cs="Arial"/>
                <w:b/>
                <w:sz w:val="20"/>
                <w:szCs w:val="20"/>
              </w:rPr>
              <w:t>Special Purpose Voucher</w:t>
            </w:r>
          </w:p>
        </w:tc>
      </w:tr>
      <w:tr w:rsidR="009B0FCC" w14:paraId="6797CCEB" w14:textId="77777777" w:rsidTr="00721F16">
        <w:trPr>
          <w:cantSplit/>
          <w:tblHeader/>
        </w:trPr>
        <w:tc>
          <w:tcPr>
            <w:tcW w:w="2693" w:type="dxa"/>
            <w:vMerge/>
          </w:tcPr>
          <w:p w14:paraId="264D4999" w14:textId="77777777" w:rsidR="009B0FCC" w:rsidRDefault="009B0FCC" w:rsidP="00721F16">
            <w:pPr>
              <w:keepNext/>
              <w:widowControl w:val="0"/>
              <w:spacing w:after="0" w:line="240" w:lineRule="auto"/>
              <w:jc w:val="center"/>
              <w:rPr>
                <w:b/>
                <w:sz w:val="20"/>
                <w:szCs w:val="20"/>
              </w:rPr>
            </w:pPr>
          </w:p>
        </w:tc>
        <w:tc>
          <w:tcPr>
            <w:tcW w:w="1091" w:type="dxa"/>
            <w:vMerge/>
          </w:tcPr>
          <w:p w14:paraId="7E0D44A0" w14:textId="77777777" w:rsidR="009B0FCC" w:rsidRDefault="009B0FCC" w:rsidP="00721F16">
            <w:pPr>
              <w:keepNext/>
              <w:widowControl w:val="0"/>
              <w:spacing w:after="0" w:line="240" w:lineRule="auto"/>
              <w:jc w:val="center"/>
              <w:rPr>
                <w:b/>
                <w:sz w:val="20"/>
                <w:szCs w:val="20"/>
              </w:rPr>
            </w:pPr>
          </w:p>
        </w:tc>
        <w:tc>
          <w:tcPr>
            <w:tcW w:w="1079" w:type="dxa"/>
            <w:vMerge/>
          </w:tcPr>
          <w:p w14:paraId="5E0EAA5B" w14:textId="77777777" w:rsidR="009B0FCC" w:rsidRDefault="009B0FCC" w:rsidP="00721F16">
            <w:pPr>
              <w:keepNext/>
              <w:widowControl w:val="0"/>
              <w:spacing w:after="0" w:line="240" w:lineRule="auto"/>
              <w:jc w:val="center"/>
              <w:rPr>
                <w:b/>
                <w:sz w:val="20"/>
                <w:szCs w:val="20"/>
              </w:rPr>
            </w:pPr>
          </w:p>
        </w:tc>
        <w:tc>
          <w:tcPr>
            <w:tcW w:w="1080" w:type="dxa"/>
            <w:vMerge/>
          </w:tcPr>
          <w:p w14:paraId="73AA4530" w14:textId="77777777" w:rsidR="009B0FCC" w:rsidRDefault="009B0FCC" w:rsidP="00721F16">
            <w:pPr>
              <w:keepNext/>
              <w:widowControl w:val="0"/>
              <w:spacing w:after="0" w:line="240" w:lineRule="auto"/>
              <w:jc w:val="center"/>
              <w:rPr>
                <w:b/>
                <w:sz w:val="20"/>
                <w:szCs w:val="20"/>
              </w:rPr>
            </w:pPr>
          </w:p>
        </w:tc>
        <w:tc>
          <w:tcPr>
            <w:tcW w:w="1259" w:type="dxa"/>
            <w:vMerge/>
          </w:tcPr>
          <w:p w14:paraId="662D445C" w14:textId="77777777" w:rsidR="009B0FCC" w:rsidRDefault="009B0FCC" w:rsidP="00721F16">
            <w:pPr>
              <w:keepNext/>
              <w:widowControl w:val="0"/>
              <w:spacing w:after="0" w:line="240" w:lineRule="auto"/>
              <w:jc w:val="center"/>
              <w:rPr>
                <w:b/>
                <w:sz w:val="20"/>
                <w:szCs w:val="20"/>
              </w:rPr>
            </w:pPr>
          </w:p>
        </w:tc>
        <w:tc>
          <w:tcPr>
            <w:tcW w:w="1259" w:type="dxa"/>
            <w:vMerge/>
          </w:tcPr>
          <w:p w14:paraId="71A47C6C" w14:textId="77777777" w:rsidR="009B0FCC" w:rsidRDefault="009B0FCC" w:rsidP="00721F16">
            <w:pPr>
              <w:keepNext/>
              <w:widowControl w:val="0"/>
              <w:spacing w:after="0" w:line="240" w:lineRule="auto"/>
              <w:jc w:val="center"/>
              <w:rPr>
                <w:b/>
                <w:sz w:val="20"/>
                <w:szCs w:val="20"/>
              </w:rPr>
            </w:pPr>
          </w:p>
        </w:tc>
        <w:tc>
          <w:tcPr>
            <w:tcW w:w="1259" w:type="dxa"/>
            <w:vMerge/>
          </w:tcPr>
          <w:p w14:paraId="4E4636DE" w14:textId="77777777" w:rsidR="009B0FCC" w:rsidRDefault="009B0FCC" w:rsidP="00721F16">
            <w:pPr>
              <w:keepNext/>
              <w:widowControl w:val="0"/>
              <w:spacing w:after="0" w:line="240" w:lineRule="auto"/>
              <w:jc w:val="center"/>
              <w:rPr>
                <w:b/>
                <w:sz w:val="20"/>
                <w:szCs w:val="20"/>
              </w:rPr>
            </w:pPr>
          </w:p>
        </w:tc>
        <w:tc>
          <w:tcPr>
            <w:tcW w:w="1156" w:type="dxa"/>
          </w:tcPr>
          <w:p w14:paraId="76B3B165" w14:textId="77777777" w:rsidR="009B0FCC" w:rsidRDefault="009B0FCC" w:rsidP="00721F16">
            <w:pPr>
              <w:keepNext/>
              <w:widowControl w:val="0"/>
              <w:spacing w:after="0" w:line="240" w:lineRule="auto"/>
              <w:jc w:val="center"/>
              <w:rPr>
                <w:b/>
                <w:sz w:val="20"/>
                <w:szCs w:val="20"/>
              </w:rPr>
            </w:pPr>
            <w:r>
              <w:rPr>
                <w:rFonts w:cs="Arial"/>
                <w:b/>
                <w:sz w:val="20"/>
                <w:szCs w:val="20"/>
              </w:rPr>
              <w:t>Veterans Affairs Supportive Housing</w:t>
            </w:r>
          </w:p>
        </w:tc>
        <w:tc>
          <w:tcPr>
            <w:tcW w:w="1157" w:type="dxa"/>
          </w:tcPr>
          <w:p w14:paraId="66A96C38" w14:textId="77777777" w:rsidR="009B0FCC" w:rsidRDefault="009B0FCC" w:rsidP="00721F16">
            <w:pPr>
              <w:keepNext/>
              <w:widowControl w:val="0"/>
              <w:spacing w:after="0" w:line="240" w:lineRule="auto"/>
              <w:jc w:val="center"/>
              <w:rPr>
                <w:b/>
                <w:sz w:val="20"/>
                <w:szCs w:val="20"/>
              </w:rPr>
            </w:pPr>
            <w:r>
              <w:rPr>
                <w:rFonts w:cs="Arial"/>
                <w:b/>
                <w:sz w:val="20"/>
                <w:szCs w:val="20"/>
              </w:rPr>
              <w:t>Family Unification Program</w:t>
            </w:r>
          </w:p>
        </w:tc>
        <w:tc>
          <w:tcPr>
            <w:tcW w:w="1157" w:type="dxa"/>
          </w:tcPr>
          <w:p w14:paraId="0CA99C5B" w14:textId="77777777" w:rsidR="009B0FCC" w:rsidRDefault="009B0FCC" w:rsidP="00721F16">
            <w:pPr>
              <w:keepNext/>
              <w:widowControl w:val="0"/>
              <w:spacing w:after="0" w:line="240" w:lineRule="auto"/>
              <w:jc w:val="center"/>
              <w:rPr>
                <w:rFonts w:cs="Arial"/>
                <w:b/>
                <w:sz w:val="20"/>
                <w:szCs w:val="20"/>
              </w:rPr>
            </w:pPr>
            <w:r>
              <w:rPr>
                <w:rFonts w:cs="Arial"/>
                <w:b/>
                <w:sz w:val="20"/>
                <w:szCs w:val="20"/>
              </w:rPr>
              <w:t>Disabled</w:t>
            </w:r>
          </w:p>
          <w:p w14:paraId="61DFF3C6" w14:textId="77777777" w:rsidR="009B0FCC" w:rsidRDefault="009B0FCC" w:rsidP="00721F16">
            <w:pPr>
              <w:keepNext/>
              <w:widowControl w:val="0"/>
              <w:spacing w:after="0" w:line="240" w:lineRule="auto"/>
              <w:jc w:val="center"/>
              <w:rPr>
                <w:b/>
                <w:sz w:val="20"/>
                <w:szCs w:val="20"/>
              </w:rPr>
            </w:pPr>
            <w:r>
              <w:rPr>
                <w:b/>
                <w:sz w:val="20"/>
                <w:szCs w:val="20"/>
              </w:rPr>
              <w:t>*</w:t>
            </w:r>
          </w:p>
        </w:tc>
      </w:tr>
      <w:tr w:rsidR="009B0FCC" w14:paraId="481FCBF0" w14:textId="77777777" w:rsidTr="00721F16">
        <w:trPr>
          <w:cantSplit/>
        </w:trPr>
        <w:tc>
          <w:tcPr>
            <w:tcW w:w="0" w:type="auto"/>
          </w:tcPr>
          <w:p w14:paraId="459D32FB" w14:textId="77777777" w:rsidR="009B0FCC" w:rsidRDefault="009B0FCC" w:rsidP="00721F16">
            <w:pPr>
              <w:spacing w:beforeAutospacing="1" w:afterAutospacing="1"/>
            </w:pPr>
            <w:r>
              <w:rPr>
                <w:color w:val="000000"/>
              </w:rPr>
              <w:t>Hispanic</w:t>
            </w:r>
          </w:p>
        </w:tc>
        <w:tc>
          <w:tcPr>
            <w:tcW w:w="0" w:type="auto"/>
            <w:vAlign w:val="bottom"/>
          </w:tcPr>
          <w:p w14:paraId="3AB99855" w14:textId="77777777" w:rsidR="009B0FCC" w:rsidRDefault="009B0FCC" w:rsidP="00721F16">
            <w:pPr>
              <w:spacing w:beforeAutospacing="1" w:afterAutospacing="1"/>
              <w:jc w:val="right"/>
            </w:pPr>
            <w:r>
              <w:rPr>
                <w:color w:val="000000"/>
              </w:rPr>
              <w:t>0</w:t>
            </w:r>
          </w:p>
        </w:tc>
        <w:tc>
          <w:tcPr>
            <w:tcW w:w="0" w:type="auto"/>
            <w:vAlign w:val="bottom"/>
          </w:tcPr>
          <w:p w14:paraId="7D15C3DA" w14:textId="77777777" w:rsidR="009B0FCC" w:rsidRDefault="009B0FCC" w:rsidP="00721F16">
            <w:pPr>
              <w:spacing w:beforeAutospacing="1" w:afterAutospacing="1"/>
              <w:jc w:val="right"/>
            </w:pPr>
            <w:r>
              <w:rPr>
                <w:color w:val="000000"/>
              </w:rPr>
              <w:t>0</w:t>
            </w:r>
          </w:p>
        </w:tc>
        <w:tc>
          <w:tcPr>
            <w:tcW w:w="0" w:type="auto"/>
            <w:vAlign w:val="bottom"/>
          </w:tcPr>
          <w:p w14:paraId="47076D45" w14:textId="77777777" w:rsidR="009B0FCC" w:rsidRDefault="009B0FCC" w:rsidP="00721F16">
            <w:pPr>
              <w:spacing w:beforeAutospacing="1" w:afterAutospacing="1"/>
              <w:jc w:val="right"/>
            </w:pPr>
            <w:r>
              <w:rPr>
                <w:color w:val="000000"/>
              </w:rPr>
              <w:t>6</w:t>
            </w:r>
          </w:p>
        </w:tc>
        <w:tc>
          <w:tcPr>
            <w:tcW w:w="0" w:type="auto"/>
            <w:vAlign w:val="bottom"/>
          </w:tcPr>
          <w:p w14:paraId="02F7B947" w14:textId="77777777" w:rsidR="009B0FCC" w:rsidRDefault="009B0FCC" w:rsidP="00721F16">
            <w:pPr>
              <w:spacing w:beforeAutospacing="1" w:afterAutospacing="1"/>
              <w:jc w:val="right"/>
            </w:pPr>
            <w:r>
              <w:rPr>
                <w:color w:val="000000"/>
              </w:rPr>
              <w:t>214</w:t>
            </w:r>
          </w:p>
        </w:tc>
        <w:tc>
          <w:tcPr>
            <w:tcW w:w="0" w:type="auto"/>
            <w:vAlign w:val="bottom"/>
          </w:tcPr>
          <w:p w14:paraId="748B77A9" w14:textId="77777777" w:rsidR="009B0FCC" w:rsidRDefault="009B0FCC" w:rsidP="00721F16">
            <w:pPr>
              <w:spacing w:beforeAutospacing="1" w:afterAutospacing="1"/>
              <w:jc w:val="right"/>
            </w:pPr>
            <w:r>
              <w:rPr>
                <w:color w:val="000000"/>
              </w:rPr>
              <w:t>0</w:t>
            </w:r>
          </w:p>
        </w:tc>
        <w:tc>
          <w:tcPr>
            <w:tcW w:w="0" w:type="auto"/>
            <w:vAlign w:val="bottom"/>
          </w:tcPr>
          <w:p w14:paraId="257A884F" w14:textId="77777777" w:rsidR="009B0FCC" w:rsidRDefault="009B0FCC" w:rsidP="00721F16">
            <w:pPr>
              <w:spacing w:beforeAutospacing="1" w:afterAutospacing="1"/>
              <w:jc w:val="right"/>
            </w:pPr>
            <w:r>
              <w:rPr>
                <w:color w:val="000000"/>
              </w:rPr>
              <w:t>197</w:t>
            </w:r>
          </w:p>
        </w:tc>
        <w:tc>
          <w:tcPr>
            <w:tcW w:w="0" w:type="auto"/>
            <w:vAlign w:val="bottom"/>
          </w:tcPr>
          <w:p w14:paraId="68CBF71E" w14:textId="77777777" w:rsidR="009B0FCC" w:rsidRDefault="009B0FCC" w:rsidP="00721F16">
            <w:pPr>
              <w:spacing w:beforeAutospacing="1" w:afterAutospacing="1"/>
              <w:jc w:val="right"/>
            </w:pPr>
            <w:r>
              <w:rPr>
                <w:color w:val="000000"/>
              </w:rPr>
              <w:t>1</w:t>
            </w:r>
          </w:p>
        </w:tc>
        <w:tc>
          <w:tcPr>
            <w:tcW w:w="0" w:type="auto"/>
            <w:vAlign w:val="bottom"/>
          </w:tcPr>
          <w:p w14:paraId="73D4317B" w14:textId="77777777" w:rsidR="009B0FCC" w:rsidRDefault="009B0FCC" w:rsidP="00721F16">
            <w:pPr>
              <w:spacing w:beforeAutospacing="1" w:afterAutospacing="1"/>
              <w:jc w:val="right"/>
            </w:pPr>
            <w:r>
              <w:rPr>
                <w:color w:val="000000"/>
              </w:rPr>
              <w:t>1</w:t>
            </w:r>
          </w:p>
        </w:tc>
        <w:tc>
          <w:tcPr>
            <w:tcW w:w="0" w:type="auto"/>
            <w:vAlign w:val="bottom"/>
          </w:tcPr>
          <w:p w14:paraId="2E7B37FE" w14:textId="77777777" w:rsidR="009B0FCC" w:rsidRDefault="009B0FCC" w:rsidP="00721F16">
            <w:pPr>
              <w:spacing w:beforeAutospacing="1" w:afterAutospacing="1"/>
              <w:jc w:val="right"/>
            </w:pPr>
            <w:r>
              <w:rPr>
                <w:color w:val="000000"/>
              </w:rPr>
              <w:t>12</w:t>
            </w:r>
          </w:p>
        </w:tc>
      </w:tr>
      <w:tr w:rsidR="009B0FCC" w14:paraId="45218CF1" w14:textId="77777777" w:rsidTr="00721F16">
        <w:trPr>
          <w:cantSplit/>
        </w:trPr>
        <w:tc>
          <w:tcPr>
            <w:tcW w:w="0" w:type="auto"/>
          </w:tcPr>
          <w:p w14:paraId="06DF86AA" w14:textId="77777777" w:rsidR="009B0FCC" w:rsidRDefault="009B0FCC" w:rsidP="00721F16">
            <w:pPr>
              <w:spacing w:beforeAutospacing="1" w:afterAutospacing="1"/>
            </w:pPr>
            <w:r>
              <w:rPr>
                <w:color w:val="000000"/>
              </w:rPr>
              <w:t>Not Hispanic</w:t>
            </w:r>
          </w:p>
        </w:tc>
        <w:tc>
          <w:tcPr>
            <w:tcW w:w="0" w:type="auto"/>
            <w:vAlign w:val="bottom"/>
          </w:tcPr>
          <w:p w14:paraId="483DDE61" w14:textId="77777777" w:rsidR="009B0FCC" w:rsidRDefault="009B0FCC" w:rsidP="00721F16">
            <w:pPr>
              <w:spacing w:beforeAutospacing="1" w:afterAutospacing="1"/>
              <w:jc w:val="right"/>
            </w:pPr>
            <w:r>
              <w:rPr>
                <w:color w:val="000000"/>
              </w:rPr>
              <w:t>0</w:t>
            </w:r>
          </w:p>
        </w:tc>
        <w:tc>
          <w:tcPr>
            <w:tcW w:w="0" w:type="auto"/>
            <w:vAlign w:val="bottom"/>
          </w:tcPr>
          <w:p w14:paraId="0889190A" w14:textId="77777777" w:rsidR="009B0FCC" w:rsidRDefault="009B0FCC" w:rsidP="00721F16">
            <w:pPr>
              <w:spacing w:beforeAutospacing="1" w:afterAutospacing="1"/>
              <w:jc w:val="right"/>
            </w:pPr>
            <w:r>
              <w:rPr>
                <w:color w:val="000000"/>
              </w:rPr>
              <w:t>0</w:t>
            </w:r>
          </w:p>
        </w:tc>
        <w:tc>
          <w:tcPr>
            <w:tcW w:w="0" w:type="auto"/>
            <w:vAlign w:val="bottom"/>
          </w:tcPr>
          <w:p w14:paraId="0E925A65" w14:textId="77777777" w:rsidR="009B0FCC" w:rsidRDefault="009B0FCC" w:rsidP="00721F16">
            <w:pPr>
              <w:spacing w:beforeAutospacing="1" w:afterAutospacing="1"/>
              <w:jc w:val="right"/>
            </w:pPr>
            <w:r>
              <w:rPr>
                <w:color w:val="000000"/>
              </w:rPr>
              <w:t>69</w:t>
            </w:r>
          </w:p>
        </w:tc>
        <w:tc>
          <w:tcPr>
            <w:tcW w:w="0" w:type="auto"/>
            <w:vAlign w:val="bottom"/>
          </w:tcPr>
          <w:p w14:paraId="1FA28C4A" w14:textId="77777777" w:rsidR="009B0FCC" w:rsidRDefault="009B0FCC" w:rsidP="00721F16">
            <w:pPr>
              <w:spacing w:beforeAutospacing="1" w:afterAutospacing="1"/>
              <w:jc w:val="right"/>
            </w:pPr>
            <w:r>
              <w:rPr>
                <w:color w:val="000000"/>
              </w:rPr>
              <w:t>3,027</w:t>
            </w:r>
          </w:p>
        </w:tc>
        <w:tc>
          <w:tcPr>
            <w:tcW w:w="0" w:type="auto"/>
            <w:vAlign w:val="bottom"/>
          </w:tcPr>
          <w:p w14:paraId="39ECC42E" w14:textId="77777777" w:rsidR="009B0FCC" w:rsidRDefault="009B0FCC" w:rsidP="00721F16">
            <w:pPr>
              <w:spacing w:beforeAutospacing="1" w:afterAutospacing="1"/>
              <w:jc w:val="right"/>
            </w:pPr>
            <w:r>
              <w:rPr>
                <w:color w:val="000000"/>
              </w:rPr>
              <w:t>0</w:t>
            </w:r>
          </w:p>
        </w:tc>
        <w:tc>
          <w:tcPr>
            <w:tcW w:w="0" w:type="auto"/>
            <w:vAlign w:val="bottom"/>
          </w:tcPr>
          <w:p w14:paraId="4B2EF59F" w14:textId="77777777" w:rsidR="009B0FCC" w:rsidRDefault="009B0FCC" w:rsidP="00721F16">
            <w:pPr>
              <w:spacing w:beforeAutospacing="1" w:afterAutospacing="1"/>
              <w:jc w:val="right"/>
            </w:pPr>
            <w:r>
              <w:rPr>
                <w:color w:val="000000"/>
              </w:rPr>
              <w:t>2,787</w:t>
            </w:r>
          </w:p>
        </w:tc>
        <w:tc>
          <w:tcPr>
            <w:tcW w:w="0" w:type="auto"/>
            <w:vAlign w:val="bottom"/>
          </w:tcPr>
          <w:p w14:paraId="6391B797" w14:textId="77777777" w:rsidR="009B0FCC" w:rsidRDefault="009B0FCC" w:rsidP="00721F16">
            <w:pPr>
              <w:spacing w:beforeAutospacing="1" w:afterAutospacing="1"/>
              <w:jc w:val="right"/>
            </w:pPr>
            <w:r>
              <w:rPr>
                <w:color w:val="000000"/>
              </w:rPr>
              <w:t>18</w:t>
            </w:r>
          </w:p>
        </w:tc>
        <w:tc>
          <w:tcPr>
            <w:tcW w:w="0" w:type="auto"/>
            <w:vAlign w:val="bottom"/>
          </w:tcPr>
          <w:p w14:paraId="683D0C19" w14:textId="77777777" w:rsidR="009B0FCC" w:rsidRDefault="009B0FCC" w:rsidP="00721F16">
            <w:pPr>
              <w:spacing w:beforeAutospacing="1" w:afterAutospacing="1"/>
              <w:jc w:val="right"/>
            </w:pPr>
            <w:r>
              <w:rPr>
                <w:color w:val="000000"/>
              </w:rPr>
              <w:t>8</w:t>
            </w:r>
          </w:p>
        </w:tc>
        <w:tc>
          <w:tcPr>
            <w:tcW w:w="0" w:type="auto"/>
            <w:vAlign w:val="bottom"/>
          </w:tcPr>
          <w:p w14:paraId="0905F8AC" w14:textId="77777777" w:rsidR="009B0FCC" w:rsidRDefault="009B0FCC" w:rsidP="00721F16">
            <w:pPr>
              <w:spacing w:beforeAutospacing="1" w:afterAutospacing="1"/>
              <w:jc w:val="right"/>
            </w:pPr>
            <w:r>
              <w:rPr>
                <w:color w:val="000000"/>
              </w:rPr>
              <w:t>184</w:t>
            </w:r>
          </w:p>
        </w:tc>
      </w:tr>
    </w:tbl>
    <w:p w14:paraId="3328C4B4" w14:textId="77777777" w:rsidR="009B0FCC" w:rsidRDefault="009B0FCC" w:rsidP="009B0FCC">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9B0FCC" w14:paraId="62A647D1" w14:textId="77777777" w:rsidTr="00721F16">
        <w:trPr>
          <w:cantSplit/>
        </w:trPr>
        <w:tc>
          <w:tcPr>
            <w:tcW w:w="13190" w:type="dxa"/>
          </w:tcPr>
          <w:p w14:paraId="3E0F0E59" w14:textId="77777777" w:rsidR="009B0FCC" w:rsidRDefault="009B0FCC" w:rsidP="00721F16">
            <w:pPr>
              <w:keepNext/>
              <w:widowControl w:val="0"/>
              <w:spacing w:after="0" w:line="240" w:lineRule="auto"/>
              <w:rPr>
                <w:sz w:val="20"/>
                <w:szCs w:val="20"/>
              </w:rPr>
            </w:pPr>
            <w:r>
              <w:rPr>
                <w:rFonts w:cs="Arial"/>
                <w:b/>
                <w:sz w:val="20"/>
                <w:szCs w:val="20"/>
              </w:rPr>
              <w:t>*</w:t>
            </w:r>
            <w:proofErr w:type="gramStart"/>
            <w:r>
              <w:rPr>
                <w:rFonts w:cs="Arial"/>
                <w:b/>
                <w:sz w:val="20"/>
                <w:szCs w:val="20"/>
              </w:rPr>
              <w:t>includes</w:t>
            </w:r>
            <w:proofErr w:type="gramEnd"/>
            <w:r>
              <w:rPr>
                <w:rFonts w:cs="Arial"/>
                <w:b/>
                <w:sz w:val="20"/>
                <w:szCs w:val="20"/>
              </w:rPr>
              <w:t xml:space="preserve"> Non-Elderly Disabled, Mainstream One-Year, Mainstream Five-year, and Nursing Home Transition</w:t>
            </w:r>
          </w:p>
        </w:tc>
      </w:tr>
    </w:tbl>
    <w:p w14:paraId="201E14D0"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Ethnicity of Public Housing Residents by Program Type</w:t>
      </w:r>
    </w:p>
    <w:tbl>
      <w:tblPr>
        <w:tblW w:w="5000" w:type="pct"/>
        <w:tblInd w:w="115" w:type="dxa"/>
        <w:tblCellMar>
          <w:left w:w="115" w:type="dxa"/>
          <w:right w:w="115" w:type="dxa"/>
        </w:tblCellMar>
        <w:tblLook w:val="01E0" w:firstRow="1" w:lastRow="1" w:firstColumn="1" w:lastColumn="1" w:noHBand="0" w:noVBand="0"/>
      </w:tblPr>
      <w:tblGrid>
        <w:gridCol w:w="1470"/>
        <w:gridCol w:w="11490"/>
      </w:tblGrid>
      <w:tr w:rsidR="009B0FCC" w14:paraId="1DA1CEBD" w14:textId="77777777" w:rsidTr="00721F16">
        <w:trPr>
          <w:cantSplit/>
        </w:trPr>
        <w:tc>
          <w:tcPr>
            <w:tcW w:w="1485" w:type="dxa"/>
          </w:tcPr>
          <w:p w14:paraId="3D113B04" w14:textId="77777777" w:rsidR="009B0FCC" w:rsidRDefault="009B0FCC" w:rsidP="00721F16">
            <w:pPr>
              <w:spacing w:after="0" w:line="240" w:lineRule="auto"/>
              <w:rPr>
                <w:sz w:val="16"/>
                <w:szCs w:val="16"/>
              </w:rPr>
            </w:pPr>
            <w:r>
              <w:rPr>
                <w:b/>
                <w:bCs/>
                <w:sz w:val="16"/>
                <w:szCs w:val="16"/>
              </w:rPr>
              <w:t>Data Source:</w:t>
            </w:r>
          </w:p>
        </w:tc>
        <w:tc>
          <w:tcPr>
            <w:tcW w:w="11705" w:type="dxa"/>
          </w:tcPr>
          <w:p w14:paraId="5911DEEB" w14:textId="77777777" w:rsidR="009B0FCC" w:rsidRDefault="009B0FCC" w:rsidP="00721F16">
            <w:pPr>
              <w:spacing w:beforeAutospacing="1" w:afterAutospacing="1"/>
              <w:rPr>
                <w:sz w:val="16"/>
                <w:szCs w:val="16"/>
              </w:rPr>
            </w:pPr>
            <w:r>
              <w:rPr>
                <w:sz w:val="16"/>
                <w:szCs w:val="16"/>
              </w:rPr>
              <w:t>PIC (PIH Information Center)</w:t>
            </w:r>
          </w:p>
        </w:tc>
      </w:tr>
    </w:tbl>
    <w:p w14:paraId="6384FBAE" w14:textId="77777777" w:rsidR="009B0FCC" w:rsidRDefault="009B0FCC" w:rsidP="009B0FCC">
      <w:pPr>
        <w:spacing w:after="0" w:line="240" w:lineRule="auto"/>
        <w:rPr>
          <w:rFonts w:cs="Arial"/>
          <w:vanish/>
          <w:sz w:val="16"/>
          <w:szCs w:val="16"/>
        </w:rPr>
      </w:pPr>
    </w:p>
    <w:p w14:paraId="7FB825F0" w14:textId="77777777" w:rsidR="009B0FCC" w:rsidRDefault="009B0FCC" w:rsidP="009B0FCC">
      <w:pPr>
        <w:spacing w:after="0" w:line="240" w:lineRule="auto"/>
        <w:rPr>
          <w:b/>
          <w:bCs/>
          <w:vanish/>
          <w:sz w:val="16"/>
          <w:szCs w:val="16"/>
        </w:rPr>
      </w:pPr>
    </w:p>
    <w:p w14:paraId="56945F53" w14:textId="77777777" w:rsidR="009B0FCC" w:rsidRDefault="009B0FCC" w:rsidP="009B0FCC">
      <w:pPr>
        <w:rPr>
          <w:rFonts w:cs="Arial"/>
        </w:rPr>
      </w:pPr>
    </w:p>
    <w:p w14:paraId="1519C5CD" w14:textId="77777777" w:rsidR="009B0FCC" w:rsidRDefault="009B0FCC" w:rsidP="009B0FCC">
      <w:pPr>
        <w:spacing w:line="204" w:lineRule="auto"/>
        <w:rPr>
          <w:b/>
          <w:sz w:val="24"/>
          <w:szCs w:val="24"/>
        </w:rPr>
      </w:pPr>
    </w:p>
    <w:p w14:paraId="18C60A5D" w14:textId="77777777" w:rsidR="009B0FCC" w:rsidRDefault="009B0FCC" w:rsidP="009B0FCC">
      <w:pPr>
        <w:spacing w:line="204" w:lineRule="auto"/>
        <w:rPr>
          <w:b/>
          <w:sz w:val="24"/>
          <w:szCs w:val="24"/>
        </w:rPr>
        <w:sectPr w:rsidR="009B0FCC" w:rsidSect="009B0FCC">
          <w:pgSz w:w="15840" w:h="12240" w:orient="landscape"/>
          <w:pgMar w:top="1440" w:right="1440" w:bottom="1440" w:left="1440" w:header="720" w:footer="720" w:gutter="0"/>
          <w:cols w:space="720"/>
          <w:docGrid w:linePitch="360"/>
        </w:sectPr>
      </w:pPr>
    </w:p>
    <w:p w14:paraId="7E9F9E34" w14:textId="77777777" w:rsidR="00C00F48" w:rsidRDefault="009B0FCC" w:rsidP="009B0FCC">
      <w:pPr>
        <w:rPr>
          <w:b/>
          <w:sz w:val="24"/>
          <w:szCs w:val="24"/>
        </w:rPr>
      </w:pPr>
      <w:r>
        <w:rPr>
          <w:b/>
          <w:sz w:val="24"/>
          <w:szCs w:val="24"/>
        </w:rPr>
        <w:lastRenderedPageBreak/>
        <w:t xml:space="preserve">Section 504 Needs Assessment: </w:t>
      </w:r>
    </w:p>
    <w:p w14:paraId="008850CE" w14:textId="017EF592" w:rsidR="009B0FCC" w:rsidRDefault="009B0FCC" w:rsidP="6D2C4508">
      <w:pPr>
        <w:rPr>
          <w:b/>
          <w:bCs/>
          <w:sz w:val="24"/>
          <w:szCs w:val="24"/>
        </w:rPr>
      </w:pPr>
      <w:r w:rsidRPr="6D2C4508">
        <w:rPr>
          <w:b/>
          <w:bCs/>
          <w:sz w:val="24"/>
          <w:szCs w:val="24"/>
        </w:rPr>
        <w:t>Describe the needs of public housing tenants and applicants on the waiting list for accessible units:</w:t>
      </w:r>
    </w:p>
    <w:p w14:paraId="173C4FB0" w14:textId="4E1C501C" w:rsidR="5061F0AF" w:rsidRDefault="5061F0AF" w:rsidP="6D2C4508">
      <w:pPr>
        <w:spacing w:beforeAutospacing="1" w:afterAutospacing="1"/>
        <w:rPr>
          <w:rFonts w:cs="Calibri"/>
          <w:sz w:val="24"/>
          <w:szCs w:val="24"/>
        </w:rPr>
      </w:pPr>
      <w:r w:rsidRPr="6D2C4508">
        <w:rPr>
          <w:rFonts w:cs="Calibri"/>
          <w:color w:val="000000" w:themeColor="text1"/>
        </w:rPr>
        <w:t>The State of Idaho does not own or manage any public housing units</w:t>
      </w:r>
      <w:r w:rsidR="66AFB3C4" w:rsidRPr="098FA5AC">
        <w:rPr>
          <w:rFonts w:cs="Calibri"/>
          <w:color w:val="000000" w:themeColor="text1"/>
        </w:rPr>
        <w:t>.</w:t>
      </w:r>
    </w:p>
    <w:p w14:paraId="08909919" w14:textId="77777777" w:rsidR="009B0FCC" w:rsidRDefault="009B0FCC" w:rsidP="6D2C4508">
      <w:pPr>
        <w:rPr>
          <w:b/>
          <w:bCs/>
          <w:sz w:val="24"/>
          <w:szCs w:val="24"/>
        </w:rPr>
      </w:pPr>
      <w:r w:rsidRPr="71C51053">
        <w:rPr>
          <w:b/>
          <w:bCs/>
          <w:sz w:val="24"/>
          <w:szCs w:val="24"/>
        </w:rPr>
        <w:t>What are the number and type of families on the waiting lists for public housing and section 8 tenant-based rental assistance? Based on the information above, and any other information available to the jurisdiction, what are the most immediate needs of residents of public housing and Housing Choice voucher holders?</w:t>
      </w:r>
    </w:p>
    <w:p w14:paraId="297536FF" w14:textId="29699DD8" w:rsidR="098FA5AC" w:rsidRDefault="009877D0" w:rsidP="098FA5AC">
      <w:pPr>
        <w:rPr>
          <w:rFonts w:cs="Calibri"/>
          <w:color w:val="000000" w:themeColor="text1"/>
        </w:rPr>
      </w:pPr>
      <w:r w:rsidRPr="001770B0">
        <w:rPr>
          <w:rFonts w:cs="Calibri"/>
          <w:color w:val="000000" w:themeColor="text1"/>
        </w:rPr>
        <w:t xml:space="preserve">See </w:t>
      </w:r>
      <w:r w:rsidR="00B67668" w:rsidRPr="001770B0">
        <w:rPr>
          <w:rFonts w:cs="Calibri"/>
          <w:color w:val="000000" w:themeColor="text1"/>
        </w:rPr>
        <w:t>U</w:t>
      </w:r>
      <w:r w:rsidRPr="001770B0">
        <w:rPr>
          <w:rFonts w:cs="Calibri"/>
          <w:color w:val="000000" w:themeColor="text1"/>
        </w:rPr>
        <w:t xml:space="preserve">nique </w:t>
      </w:r>
      <w:r w:rsidR="00B67668" w:rsidRPr="001770B0">
        <w:rPr>
          <w:rFonts w:cs="Calibri"/>
          <w:color w:val="000000" w:themeColor="text1"/>
        </w:rPr>
        <w:t>A</w:t>
      </w:r>
      <w:r w:rsidRPr="001770B0">
        <w:rPr>
          <w:rFonts w:cs="Calibri"/>
          <w:color w:val="000000" w:themeColor="text1"/>
        </w:rPr>
        <w:t>ppendices</w:t>
      </w:r>
      <w:r w:rsidR="001770B0">
        <w:rPr>
          <w:rFonts w:cs="Calibri"/>
          <w:color w:val="000000" w:themeColor="text1"/>
        </w:rPr>
        <w:t>.</w:t>
      </w:r>
    </w:p>
    <w:p w14:paraId="2E4E18A5" w14:textId="77777777" w:rsidR="009B0FCC" w:rsidRDefault="009B0FCC" w:rsidP="6D2C4508">
      <w:pPr>
        <w:rPr>
          <w:b/>
          <w:bCs/>
          <w:sz w:val="24"/>
          <w:szCs w:val="24"/>
        </w:rPr>
      </w:pPr>
      <w:r w:rsidRPr="71C51053">
        <w:rPr>
          <w:b/>
          <w:bCs/>
          <w:sz w:val="24"/>
          <w:szCs w:val="24"/>
        </w:rPr>
        <w:t>How do these needs compare to the housing needs of the population at large</w:t>
      </w:r>
    </w:p>
    <w:p w14:paraId="0289CDB6" w14:textId="5E93FD9D" w:rsidR="39E57157" w:rsidRPr="000312CD" w:rsidRDefault="39E57157" w:rsidP="00C83593">
      <w:pPr>
        <w:jc w:val="both"/>
        <w:rPr>
          <w:rFonts w:cs="Calibri"/>
          <w:sz w:val="24"/>
          <w:szCs w:val="24"/>
        </w:rPr>
      </w:pPr>
      <w:r w:rsidRPr="000312CD">
        <w:rPr>
          <w:rFonts w:cs="Calibri"/>
          <w:sz w:val="24"/>
          <w:szCs w:val="24"/>
        </w:rPr>
        <w:t xml:space="preserve">People with disabilities and homeless are over-represented in the waitlists for Housing Choice Vouchers. Idaho’s general population for those with disabilities is 14.1% and 13/10,000 for homeless.  Those who are elderly, are slightly under-represented by about 3%, based on ACS data.  However, in rural areas, elderly represent 21.4% of the population.  </w:t>
      </w:r>
    </w:p>
    <w:p w14:paraId="036CD3BF" w14:textId="79226765" w:rsidR="2B7836F5" w:rsidRPr="000312CD" w:rsidRDefault="2B7836F5" w:rsidP="00C83593">
      <w:pPr>
        <w:jc w:val="both"/>
        <w:rPr>
          <w:rFonts w:cs="Calibri"/>
          <w:sz w:val="24"/>
          <w:szCs w:val="24"/>
        </w:rPr>
      </w:pPr>
      <w:r w:rsidRPr="000312CD">
        <w:rPr>
          <w:rFonts w:cs="Calibri"/>
          <w:sz w:val="24"/>
          <w:szCs w:val="24"/>
        </w:rPr>
        <w:t>The needs of public housing residents and HCV holders are more specialized and immediate due to their lower income levels, reliance on subsidies, and systemic barriers. While the general population shares some similar concerns, they typically experience less severe and critical pressures and may have more options to address housing challenges. Addressing housing needs for both groups requires tailored policies, including expanding affordable housing, reducing discrimination, and increasing housing supply across all income levels.</w:t>
      </w:r>
    </w:p>
    <w:p w14:paraId="051438A4" w14:textId="77777777" w:rsidR="009B0FCC" w:rsidRPr="000312CD" w:rsidRDefault="009B0FCC" w:rsidP="71C51053">
      <w:pPr>
        <w:spacing w:line="204" w:lineRule="auto"/>
        <w:rPr>
          <w:b/>
          <w:bCs/>
          <w:sz w:val="24"/>
          <w:szCs w:val="24"/>
        </w:rPr>
      </w:pPr>
      <w:r w:rsidRPr="000312CD">
        <w:rPr>
          <w:b/>
          <w:bCs/>
          <w:sz w:val="24"/>
          <w:szCs w:val="24"/>
        </w:rPr>
        <w:t>Discussion:</w:t>
      </w:r>
    </w:p>
    <w:p w14:paraId="3D19BC48" w14:textId="42BDDAB0" w:rsidR="546108B9" w:rsidRPr="000312CD" w:rsidRDefault="546108B9" w:rsidP="00B67668">
      <w:pPr>
        <w:rPr>
          <w:rFonts w:cs="Calibri"/>
          <w:sz w:val="24"/>
          <w:szCs w:val="24"/>
        </w:rPr>
      </w:pPr>
      <w:r w:rsidRPr="000312CD">
        <w:rPr>
          <w:rFonts w:cs="Calibri"/>
          <w:sz w:val="24"/>
          <w:szCs w:val="24"/>
        </w:rPr>
        <w:t>With limited affordable housing options, waitlist data demonstrates the importance of housing stability with a voucher.   While vouchers are limited, a concerning trend is landlords charging a higher rent for voucher holders over non-voucher holders.  This is a double edge sword, while the landlord is collecting rents in alignment with the market, it reduces the ability to serve other households, as the funding for vouchers is set for each PHA.    To mitigate this, IHFAs Compliance department has implemented some maximum rent increases</w:t>
      </w:r>
      <w:r w:rsidR="00397B46" w:rsidRPr="000312CD">
        <w:rPr>
          <w:rFonts w:cs="Calibri"/>
          <w:sz w:val="24"/>
          <w:szCs w:val="24"/>
        </w:rPr>
        <w:t>,</w:t>
      </w:r>
      <w:r w:rsidRPr="000312CD">
        <w:rPr>
          <w:rFonts w:cs="Calibri"/>
          <w:sz w:val="24"/>
          <w:szCs w:val="24"/>
        </w:rPr>
        <w:t xml:space="preserve"> which has been helping.</w:t>
      </w:r>
    </w:p>
    <w:p w14:paraId="34654C4E" w14:textId="57513E25" w:rsidR="71C51053" w:rsidRDefault="71C51053"/>
    <w:p w14:paraId="5B809103" w14:textId="3E4BF998" w:rsidR="71C51053" w:rsidRDefault="71C51053" w:rsidP="71C51053">
      <w:pPr>
        <w:spacing w:line="204" w:lineRule="auto"/>
        <w:rPr>
          <w:b/>
          <w:bCs/>
          <w:sz w:val="24"/>
          <w:szCs w:val="24"/>
        </w:rPr>
      </w:pPr>
    </w:p>
    <w:p w14:paraId="73CD9A5E" w14:textId="77777777" w:rsidR="009B0FCC" w:rsidRDefault="009B0FCC" w:rsidP="009B0FCC">
      <w:pPr>
        <w:pStyle w:val="Heading2"/>
        <w:pageBreakBefore/>
        <w:rPr>
          <w:rFonts w:ascii="Calibri" w:hAnsi="Calibri"/>
          <w:i/>
        </w:rPr>
        <w:sectPr w:rsidR="009B0FCC" w:rsidSect="009B0FCC">
          <w:pgSz w:w="12240" w:h="15840"/>
          <w:pgMar w:top="1440" w:right="1440" w:bottom="1440" w:left="1440" w:header="720" w:footer="720" w:gutter="0"/>
          <w:cols w:space="720"/>
          <w:docGrid w:linePitch="360"/>
        </w:sectPr>
      </w:pPr>
    </w:p>
    <w:p w14:paraId="31A805D8" w14:textId="77777777" w:rsidR="009B0FCC" w:rsidRDefault="009B0FCC" w:rsidP="787E070B">
      <w:pPr>
        <w:pStyle w:val="Heading2"/>
        <w:pageBreakBefore/>
        <w:rPr>
          <w:rFonts w:ascii="Calibri" w:hAnsi="Calibri"/>
          <w:i/>
          <w:iCs/>
        </w:rPr>
      </w:pPr>
      <w:bookmarkStart w:id="25" w:name="_Toc194673842"/>
      <w:r w:rsidRPr="787E070B">
        <w:rPr>
          <w:rFonts w:ascii="Calibri" w:hAnsi="Calibri"/>
        </w:rPr>
        <w:lastRenderedPageBreak/>
        <w:t>NA-40 Homeless Needs Assessment – 91.305(c)</w:t>
      </w:r>
      <w:bookmarkEnd w:id="25"/>
    </w:p>
    <w:p w14:paraId="15F4EABD" w14:textId="19E2FFA6" w:rsidR="009B0FCC" w:rsidRDefault="058122FA" w:rsidP="3E9B4CC2">
      <w:pPr>
        <w:spacing w:line="204" w:lineRule="auto"/>
        <w:rPr>
          <w:b/>
          <w:bCs/>
          <w:sz w:val="24"/>
          <w:szCs w:val="24"/>
        </w:rPr>
      </w:pPr>
      <w:r w:rsidRPr="3E9B4CC2">
        <w:rPr>
          <w:b/>
          <w:bCs/>
          <w:sz w:val="24"/>
          <w:szCs w:val="24"/>
        </w:rPr>
        <w:t>Introduction:</w:t>
      </w:r>
    </w:p>
    <w:p w14:paraId="6FDE2222" w14:textId="5FFFF10A" w:rsidR="009B0FCC" w:rsidRPr="00C00F48" w:rsidRDefault="009B0FCC" w:rsidP="00C83593">
      <w:pPr>
        <w:spacing w:beforeAutospacing="1" w:afterAutospacing="1"/>
        <w:jc w:val="both"/>
        <w:rPr>
          <w:rFonts w:cs="Calibri"/>
          <w:color w:val="000000" w:themeColor="text1"/>
          <w:sz w:val="24"/>
          <w:szCs w:val="24"/>
        </w:rPr>
      </w:pPr>
      <w:r w:rsidRPr="00C00F48">
        <w:rPr>
          <w:rFonts w:cs="Calibri"/>
          <w:color w:val="000000" w:themeColor="text1"/>
          <w:sz w:val="24"/>
          <w:szCs w:val="24"/>
        </w:rPr>
        <w:t>The following tables contain information derived from Idaho’s Balance of State CoC 2023 Point-In-Time count and Homeless Management Information System (HMIS).  The Balance of State CoC covers 43 of Idaho’s 44 counties.  Ada County is not included in the Balance of State data. Idaho’s homelessness issues are exacerbated by the rural nature of the state and the severe funding limitations.  </w:t>
      </w:r>
    </w:p>
    <w:p w14:paraId="37D06B83" w14:textId="7FC3E606" w:rsidR="009B0FCC" w:rsidRPr="00C00F48" w:rsidRDefault="009B0FCC" w:rsidP="00C83593">
      <w:pPr>
        <w:spacing w:beforeAutospacing="1" w:afterAutospacing="1"/>
        <w:jc w:val="both"/>
        <w:rPr>
          <w:rFonts w:cs="Calibri"/>
          <w:color w:val="000000" w:themeColor="text1"/>
          <w:sz w:val="24"/>
          <w:szCs w:val="24"/>
        </w:rPr>
      </w:pPr>
      <w:r w:rsidRPr="00C00F48">
        <w:rPr>
          <w:rFonts w:cs="Calibri"/>
          <w:color w:val="000000" w:themeColor="text1"/>
          <w:sz w:val="24"/>
          <w:szCs w:val="24"/>
        </w:rPr>
        <w:t>One of the primary measures of homelessness in Idaho is the Point-In-Time Count, which occurs during the last 10 days of January each year. The count is executed during a time when the weather is typically very cold and individuals and families experiencing homelessness are utilizing all resources that are available to them, such as sleeping on a friend’s couch. Thus, the effort provides a minimum count of those that are homeless who are presumed to have exhausted resources previously available through support networks. Of those counted, more than 58</w:t>
      </w:r>
      <w:r w:rsidRPr="427487CC">
        <w:rPr>
          <w:rFonts w:cs="Calibri"/>
          <w:color w:val="000000" w:themeColor="text1"/>
          <w:sz w:val="24"/>
          <w:szCs w:val="24"/>
        </w:rPr>
        <w:t>%</w:t>
      </w:r>
      <w:r w:rsidRPr="00C00F48">
        <w:rPr>
          <w:rFonts w:cs="Calibri"/>
          <w:color w:val="000000" w:themeColor="text1"/>
          <w:sz w:val="24"/>
          <w:szCs w:val="24"/>
        </w:rPr>
        <w:t xml:space="preserve"> were unsheltered, an increase from 49</w:t>
      </w:r>
      <w:r w:rsidRPr="427487CC">
        <w:rPr>
          <w:rFonts w:cs="Calibri"/>
          <w:color w:val="000000" w:themeColor="text1"/>
          <w:sz w:val="24"/>
          <w:szCs w:val="24"/>
        </w:rPr>
        <w:t>%</w:t>
      </w:r>
      <w:r w:rsidRPr="00C00F48">
        <w:rPr>
          <w:rFonts w:cs="Calibri"/>
          <w:color w:val="000000" w:themeColor="text1"/>
          <w:sz w:val="24"/>
          <w:szCs w:val="24"/>
        </w:rPr>
        <w:t xml:space="preserve"> in the 2018 Point-In-Time Count. </w:t>
      </w:r>
    </w:p>
    <w:tbl>
      <w:tblPr>
        <w:tblW w:w="12887" w:type="dxa"/>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841"/>
        <w:gridCol w:w="1841"/>
        <w:gridCol w:w="1841"/>
        <w:gridCol w:w="1841"/>
        <w:gridCol w:w="1841"/>
        <w:gridCol w:w="1841"/>
        <w:gridCol w:w="1841"/>
      </w:tblGrid>
      <w:tr w:rsidR="009B0FCC" w14:paraId="4D2B5284" w14:textId="77777777" w:rsidTr="3E8155F1">
        <w:trPr>
          <w:trHeight w:val="300"/>
        </w:trPr>
        <w:tc>
          <w:tcPr>
            <w:tcW w:w="12887" w:type="dxa"/>
            <w:gridSpan w:val="7"/>
            <w:tcBorders>
              <w:top w:val="nil"/>
              <w:left w:val="nil"/>
              <w:bottom w:val="single" w:sz="6" w:space="0" w:color="auto"/>
              <w:right w:val="nil"/>
            </w:tcBorders>
            <w:tcMar>
              <w:left w:w="105" w:type="dxa"/>
              <w:right w:w="105" w:type="dxa"/>
            </w:tcMar>
          </w:tcPr>
          <w:p w14:paraId="51B94F7D" w14:textId="77777777" w:rsidR="009B0FCC" w:rsidRDefault="009B0FCC" w:rsidP="00721F16">
            <w:pPr>
              <w:keepNext/>
              <w:widowControl w:val="0"/>
              <w:spacing w:after="0" w:line="240" w:lineRule="auto"/>
              <w:rPr>
                <w:rFonts w:cs="Calibri"/>
              </w:rPr>
            </w:pPr>
          </w:p>
        </w:tc>
      </w:tr>
      <w:tr w:rsidR="009B0FCC" w14:paraId="152C6520"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12095F35" w14:textId="77777777" w:rsidR="009B0FCC" w:rsidRDefault="009B0FCC" w:rsidP="00721F16">
            <w:pPr>
              <w:keepNext/>
              <w:widowControl w:val="0"/>
              <w:spacing w:after="0" w:line="240" w:lineRule="auto"/>
              <w:jc w:val="center"/>
              <w:rPr>
                <w:rFonts w:cs="Calibri"/>
              </w:rPr>
            </w:pPr>
            <w:r w:rsidRPr="497B8E2D">
              <w:rPr>
                <w:rFonts w:cs="Calibri"/>
                <w:b/>
                <w:bCs/>
              </w:rPr>
              <w:t>Population</w:t>
            </w:r>
          </w:p>
        </w:tc>
        <w:tc>
          <w:tcPr>
            <w:tcW w:w="368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0C963226" w14:textId="77777777" w:rsidR="009B0FCC" w:rsidRDefault="009B0FCC" w:rsidP="00721F16">
            <w:pPr>
              <w:keepNext/>
              <w:widowControl w:val="0"/>
              <w:spacing w:after="0" w:line="240" w:lineRule="auto"/>
              <w:jc w:val="center"/>
              <w:rPr>
                <w:rFonts w:cs="Calibri"/>
              </w:rPr>
            </w:pPr>
            <w:r w:rsidRPr="497B8E2D">
              <w:rPr>
                <w:rFonts w:cs="Calibri"/>
                <w:b/>
                <w:bCs/>
              </w:rPr>
              <w:t>Estimate the # of persons experiencing homelessness on a given night</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790E90A0" w14:textId="77777777" w:rsidR="009B0FCC" w:rsidRDefault="009B0FCC" w:rsidP="00721F16">
            <w:pPr>
              <w:keepNext/>
              <w:widowControl w:val="0"/>
              <w:spacing w:after="0" w:line="240" w:lineRule="auto"/>
              <w:jc w:val="center"/>
              <w:rPr>
                <w:rFonts w:cs="Calibri"/>
              </w:rPr>
            </w:pPr>
            <w:r w:rsidRPr="497B8E2D">
              <w:rPr>
                <w:rFonts w:cs="Calibri"/>
                <w:b/>
                <w:bCs/>
              </w:rPr>
              <w:t>Estimate the # experiencing homelessness each year</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3ECF4C80" w14:textId="77777777" w:rsidR="009B0FCC" w:rsidRDefault="009B0FCC" w:rsidP="00721F16">
            <w:pPr>
              <w:keepNext/>
              <w:widowControl w:val="0"/>
              <w:spacing w:after="0" w:line="240" w:lineRule="auto"/>
              <w:jc w:val="center"/>
              <w:rPr>
                <w:rFonts w:cs="Calibri"/>
              </w:rPr>
            </w:pPr>
            <w:r w:rsidRPr="497B8E2D">
              <w:rPr>
                <w:rFonts w:cs="Calibri"/>
                <w:b/>
                <w:bCs/>
              </w:rPr>
              <w:t>Estimate the # becoming homeless each year</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31B6A670" w14:textId="77777777" w:rsidR="009B0FCC" w:rsidRDefault="009B0FCC" w:rsidP="00721F16">
            <w:pPr>
              <w:keepNext/>
              <w:widowControl w:val="0"/>
              <w:spacing w:after="0" w:line="240" w:lineRule="auto"/>
              <w:jc w:val="center"/>
              <w:rPr>
                <w:rFonts w:cs="Calibri"/>
              </w:rPr>
            </w:pPr>
            <w:r w:rsidRPr="497B8E2D">
              <w:rPr>
                <w:rFonts w:cs="Calibri"/>
                <w:b/>
                <w:bCs/>
              </w:rPr>
              <w:t>Estimate the # exiting homelessness each year</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471BEBA8" w14:textId="77777777" w:rsidR="009B0FCC" w:rsidRDefault="009B0FCC" w:rsidP="00721F16">
            <w:pPr>
              <w:keepNext/>
              <w:widowControl w:val="0"/>
              <w:spacing w:after="0" w:line="240" w:lineRule="auto"/>
              <w:jc w:val="center"/>
              <w:rPr>
                <w:rFonts w:cs="Calibri"/>
              </w:rPr>
            </w:pPr>
            <w:r w:rsidRPr="497B8E2D">
              <w:rPr>
                <w:rFonts w:cs="Calibri"/>
                <w:b/>
                <w:bCs/>
              </w:rPr>
              <w:t>Estimate the # of days persons experience homelessness</w:t>
            </w:r>
          </w:p>
        </w:tc>
      </w:tr>
      <w:tr w:rsidR="00E77981" w14:paraId="2CD103B2"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63302EFA" w14:textId="77777777" w:rsidR="00E77981" w:rsidRDefault="00E77981" w:rsidP="00E77981">
            <w:pPr>
              <w:keepNext/>
              <w:widowControl w:val="0"/>
              <w:spacing w:after="0" w:line="240" w:lineRule="auto"/>
              <w:jc w:val="center"/>
              <w:rPr>
                <w:rFonts w:cs="Calibri"/>
              </w:rPr>
            </w:pP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4A87090F" w14:textId="77777777" w:rsidR="00E77981" w:rsidRDefault="00E77981" w:rsidP="00E77981">
            <w:pPr>
              <w:keepNext/>
              <w:widowControl w:val="0"/>
              <w:spacing w:after="0" w:line="240" w:lineRule="auto"/>
              <w:jc w:val="center"/>
              <w:rPr>
                <w:rFonts w:cs="Calibri"/>
              </w:rPr>
            </w:pPr>
            <w:r w:rsidRPr="497B8E2D">
              <w:rPr>
                <w:rFonts w:cs="Calibri"/>
                <w:b/>
                <w:bCs/>
              </w:rPr>
              <w:t>Sheltered</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39734EEE" w14:textId="77777777" w:rsidR="00E77981" w:rsidRDefault="00E77981" w:rsidP="00E77981">
            <w:pPr>
              <w:keepNext/>
              <w:widowControl w:val="0"/>
              <w:spacing w:after="0" w:line="240" w:lineRule="auto"/>
              <w:jc w:val="center"/>
              <w:rPr>
                <w:rFonts w:cs="Calibri"/>
              </w:rPr>
            </w:pPr>
            <w:r w:rsidRPr="497B8E2D">
              <w:rPr>
                <w:rFonts w:cs="Calibri"/>
                <w:b/>
                <w:bCs/>
              </w:rPr>
              <w:t>Unsheltered</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7A7C912" w14:textId="0C0BEBF5" w:rsidR="00E77981" w:rsidRDefault="6725DF86" w:rsidP="483E1E69">
            <w:pPr>
              <w:keepNext/>
              <w:widowControl w:val="0"/>
              <w:spacing w:after="0" w:line="240" w:lineRule="auto"/>
              <w:jc w:val="center"/>
              <w:rPr>
                <w:rFonts w:ascii="Aptos Narrow" w:eastAsia="Aptos Narrow" w:hAnsi="Aptos Narrow" w:cs="Aptos Narrow"/>
              </w:rPr>
            </w:pPr>
            <w:r w:rsidRPr="483E1E69">
              <w:rPr>
                <w:rFonts w:ascii="Aptos Narrow" w:eastAsia="Aptos Narrow" w:hAnsi="Aptos Narrow" w:cs="Aptos Narrow"/>
              </w:rPr>
              <w:t xml:space="preserve"> </w:t>
            </w:r>
            <w:r w:rsidRPr="483E1E69">
              <w:rPr>
                <w:rFonts w:ascii="Aptos" w:eastAsia="Aptos" w:hAnsi="Aptos" w:cs="Aptos"/>
              </w:rPr>
              <w:t>6,057</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1AD96B64" w14:textId="27259FAB" w:rsidR="00E77981" w:rsidRDefault="35E2E744" w:rsidP="00D61E55">
            <w:pPr>
              <w:keepNext/>
              <w:widowControl w:val="0"/>
              <w:spacing w:after="0" w:line="240" w:lineRule="auto"/>
              <w:jc w:val="center"/>
              <w:rPr>
                <w:rFonts w:ascii="Aptos" w:eastAsia="Aptos" w:hAnsi="Aptos" w:cs="Aptos"/>
              </w:rPr>
            </w:pPr>
            <w:r w:rsidRPr="483E1E69">
              <w:rPr>
                <w:rFonts w:ascii="Aptos" w:eastAsia="Aptos" w:hAnsi="Aptos" w:cs="Aptos"/>
              </w:rPr>
              <w:t>4,503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21F9A97B" w14:textId="12D6F72C" w:rsidR="00E77981" w:rsidRDefault="7E70F96A" w:rsidP="14CFBE46">
            <w:pPr>
              <w:keepNext/>
              <w:widowControl w:val="0"/>
              <w:spacing w:after="0" w:line="240" w:lineRule="auto"/>
              <w:jc w:val="center"/>
              <w:rPr>
                <w:rFonts w:ascii="Aptos" w:eastAsia="Aptos" w:hAnsi="Aptos" w:cs="Aptos"/>
              </w:rPr>
            </w:pPr>
            <w:r w:rsidRPr="14CFBE46">
              <w:rPr>
                <w:rFonts w:ascii="Aptos" w:eastAsia="Aptos" w:hAnsi="Aptos" w:cs="Aptos"/>
              </w:rPr>
              <w:t>4,207</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01E79879" w14:textId="1B2509A8" w:rsidR="00E77981" w:rsidRDefault="13F42F92" w:rsidP="483E1E69">
            <w:pPr>
              <w:keepNext/>
              <w:widowControl w:val="0"/>
              <w:spacing w:after="0" w:line="240" w:lineRule="auto"/>
              <w:jc w:val="center"/>
              <w:rPr>
                <w:rFonts w:cs="Calibri"/>
              </w:rPr>
            </w:pPr>
            <w:r w:rsidRPr="483E1E69">
              <w:rPr>
                <w:rFonts w:cs="Calibri"/>
              </w:rPr>
              <w:t>75</w:t>
            </w:r>
          </w:p>
        </w:tc>
      </w:tr>
      <w:tr w:rsidR="00E77981" w14:paraId="59DE6925"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69877DCF" w14:textId="77777777" w:rsidR="00E77981" w:rsidRDefault="00E77981" w:rsidP="00E77981">
            <w:pPr>
              <w:spacing w:beforeAutospacing="1" w:afterAutospacing="1"/>
              <w:rPr>
                <w:rFonts w:cs="Calibri"/>
                <w:color w:val="000000" w:themeColor="text1"/>
              </w:rPr>
            </w:pPr>
            <w:r w:rsidRPr="497B8E2D">
              <w:rPr>
                <w:rFonts w:cs="Calibri"/>
                <w:color w:val="000000" w:themeColor="text1"/>
              </w:rPr>
              <w:t>Persons in Households with Adult(s) and Child(ren)</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DF25D3F"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386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EFF4B5"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348</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18B8DCA" w14:textId="5E8DA5F9" w:rsidR="00E77981" w:rsidRDefault="6F996E66" w:rsidP="483E1E69">
            <w:pPr>
              <w:spacing w:beforeAutospacing="1" w:afterAutospacing="1"/>
              <w:jc w:val="right"/>
              <w:rPr>
                <w:rFonts w:ascii="Aptos" w:eastAsia="Aptos" w:hAnsi="Aptos" w:cs="Aptos"/>
                <w:color w:val="000000" w:themeColor="text1"/>
              </w:rPr>
            </w:pPr>
            <w:r w:rsidRPr="483E1E69">
              <w:rPr>
                <w:rFonts w:ascii="Aptos" w:eastAsia="Aptos" w:hAnsi="Aptos" w:cs="Aptos"/>
              </w:rPr>
              <w:t>3,377</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1CB1D2D" w14:textId="2CF1E604" w:rsidR="00E77981" w:rsidRDefault="50A12AE8" w:rsidP="14CFBE46">
            <w:pPr>
              <w:spacing w:beforeAutospacing="1" w:afterAutospacing="1"/>
              <w:jc w:val="right"/>
            </w:pPr>
            <w:r w:rsidRPr="14CFBE46">
              <w:rPr>
                <w:rFonts w:ascii="Aptos" w:eastAsia="Aptos" w:hAnsi="Aptos" w:cs="Aptos"/>
              </w:rPr>
              <w:t>2,742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82B3A4A" w14:textId="01803449" w:rsidR="00E77981" w:rsidRDefault="75B4EB6E" w:rsidP="14CFBE46">
            <w:pPr>
              <w:spacing w:beforeAutospacing="1" w:afterAutospacing="1"/>
              <w:jc w:val="right"/>
              <w:rPr>
                <w:rFonts w:cs="Calibri"/>
                <w:color w:val="000000" w:themeColor="text1"/>
              </w:rPr>
            </w:pPr>
            <w:r w:rsidRPr="14CFBE46">
              <w:rPr>
                <w:rFonts w:cs="Calibri"/>
                <w:color w:val="000000" w:themeColor="text1"/>
              </w:rPr>
              <w:t>2,539</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D680040" w14:textId="6BCD2B68" w:rsidR="00E77981" w:rsidRDefault="2ABC41E2" w:rsidP="483E1E69">
            <w:pPr>
              <w:spacing w:beforeAutospacing="1" w:afterAutospacing="1"/>
              <w:jc w:val="right"/>
              <w:rPr>
                <w:rFonts w:cs="Calibri"/>
                <w:color w:val="000000" w:themeColor="text1"/>
              </w:rPr>
            </w:pPr>
            <w:r w:rsidRPr="483E1E69">
              <w:rPr>
                <w:rFonts w:cs="Calibri"/>
                <w:color w:val="000000" w:themeColor="text1"/>
              </w:rPr>
              <w:t>77</w:t>
            </w:r>
          </w:p>
        </w:tc>
      </w:tr>
      <w:tr w:rsidR="00E77981" w14:paraId="25E32552"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44749EBC" w14:textId="77777777" w:rsidR="00E77981" w:rsidRDefault="00E77981" w:rsidP="00E77981">
            <w:pPr>
              <w:spacing w:beforeAutospacing="1" w:afterAutospacing="1"/>
              <w:rPr>
                <w:rFonts w:cs="Calibri"/>
                <w:color w:val="000000" w:themeColor="text1"/>
              </w:rPr>
            </w:pPr>
            <w:r w:rsidRPr="497B8E2D">
              <w:rPr>
                <w:rFonts w:cs="Calibri"/>
                <w:color w:val="000000" w:themeColor="text1"/>
              </w:rPr>
              <w:t>Persons in Households with Only Children</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8FA7A86"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C3B338E"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0</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35B65D" w14:textId="034F639E" w:rsidR="00E77981" w:rsidRDefault="427BB455" w:rsidP="14CFBE46">
            <w:pPr>
              <w:spacing w:beforeAutospacing="1" w:afterAutospacing="1"/>
              <w:jc w:val="right"/>
              <w:rPr>
                <w:rFonts w:cs="Calibri"/>
                <w:color w:val="000000" w:themeColor="text1"/>
              </w:rPr>
            </w:pPr>
            <w:r w:rsidRPr="14CFBE46">
              <w:rPr>
                <w:rFonts w:ascii="Aptos" w:eastAsia="Aptos" w:hAnsi="Aptos" w:cs="Aptos"/>
              </w:rPr>
              <w:t>6</w:t>
            </w:r>
            <w:r w:rsidR="5039C2D5" w:rsidRPr="14CFBE46">
              <w:rPr>
                <w:rFonts w:ascii="Aptos" w:eastAsia="Aptos" w:hAnsi="Aptos" w:cs="Aptos"/>
              </w:rPr>
              <w:t>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5A1D738" w14:textId="41EEAC66" w:rsidR="00E77981" w:rsidRDefault="5039C2D5" w:rsidP="483E1E69">
            <w:pPr>
              <w:spacing w:beforeAutospacing="1" w:afterAutospacing="1"/>
              <w:jc w:val="right"/>
              <w:rPr>
                <w:rFonts w:cs="Calibri"/>
                <w:color w:val="000000" w:themeColor="text1"/>
              </w:rPr>
            </w:pPr>
            <w:r w:rsidRPr="14CFBE46">
              <w:rPr>
                <w:rFonts w:cs="Calibri"/>
                <w:color w:val="000000" w:themeColor="text1"/>
              </w:rPr>
              <w:t>61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CCA331E" w14:textId="0B110537" w:rsidR="00E77981" w:rsidRDefault="5039C2D5" w:rsidP="14CFBE46">
            <w:pPr>
              <w:spacing w:beforeAutospacing="1" w:afterAutospacing="1"/>
              <w:jc w:val="right"/>
            </w:pPr>
            <w:r w:rsidRPr="14CFBE46">
              <w:rPr>
                <w:rFonts w:cs="Calibri"/>
                <w:color w:val="000000" w:themeColor="text1"/>
              </w:rPr>
              <w:t>62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17F373" w14:textId="0163B50F" w:rsidR="00E77981" w:rsidRDefault="1991CFBE" w:rsidP="483E1E69">
            <w:pPr>
              <w:spacing w:beforeAutospacing="1" w:afterAutospacing="1"/>
              <w:jc w:val="right"/>
              <w:rPr>
                <w:rFonts w:cs="Calibri"/>
                <w:color w:val="000000" w:themeColor="text1"/>
              </w:rPr>
            </w:pPr>
            <w:r w:rsidRPr="3E8155F1">
              <w:rPr>
                <w:rFonts w:cs="Calibri"/>
                <w:color w:val="000000" w:themeColor="text1"/>
              </w:rPr>
              <w:t>19</w:t>
            </w:r>
          </w:p>
        </w:tc>
      </w:tr>
      <w:tr w:rsidR="00E77981" w14:paraId="34992D33"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161B8A84" w14:textId="77777777" w:rsidR="00E77981" w:rsidRDefault="00E77981" w:rsidP="00E77981">
            <w:pPr>
              <w:spacing w:beforeAutospacing="1" w:afterAutospacing="1"/>
              <w:rPr>
                <w:rFonts w:cs="Calibri"/>
                <w:color w:val="000000" w:themeColor="text1"/>
              </w:rPr>
            </w:pPr>
            <w:r w:rsidRPr="497B8E2D">
              <w:rPr>
                <w:rFonts w:cs="Calibri"/>
                <w:color w:val="000000" w:themeColor="text1"/>
              </w:rPr>
              <w:lastRenderedPageBreak/>
              <w:t>Persons in Households with Only Adults</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99DA79F"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281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034450B"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595</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0499F60" w14:textId="02C76C7A" w:rsidR="00E77981" w:rsidRDefault="3EAD044F" w:rsidP="483E1E69">
            <w:pPr>
              <w:spacing w:beforeAutospacing="1" w:afterAutospacing="1"/>
              <w:jc w:val="right"/>
              <w:rPr>
                <w:rFonts w:ascii="Aptos" w:eastAsia="Aptos" w:hAnsi="Aptos" w:cs="Aptos"/>
                <w:color w:val="000000" w:themeColor="text1"/>
              </w:rPr>
            </w:pPr>
            <w:r w:rsidRPr="483E1E69">
              <w:rPr>
                <w:rFonts w:ascii="Aptos" w:eastAsia="Aptos" w:hAnsi="Aptos" w:cs="Aptos"/>
              </w:rPr>
              <w:t>2,560</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373DA66" w14:textId="594E5094" w:rsidR="00E77981" w:rsidRDefault="485033BF" w:rsidP="14CFBE46">
            <w:pPr>
              <w:spacing w:beforeAutospacing="1" w:afterAutospacing="1"/>
              <w:jc w:val="right"/>
              <w:rPr>
                <w:rFonts w:cs="Calibri"/>
              </w:rPr>
            </w:pPr>
            <w:r w:rsidRPr="14CFBE46">
              <w:rPr>
                <w:rFonts w:ascii="Aptos" w:eastAsia="Aptos" w:hAnsi="Aptos" w:cs="Aptos"/>
              </w:rPr>
              <w:t>1,753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E8E618E" w14:textId="3EDDBD55" w:rsidR="00E77981" w:rsidRDefault="1F473D7E" w:rsidP="14CFBE46">
            <w:pPr>
              <w:spacing w:beforeAutospacing="1" w:afterAutospacing="1"/>
              <w:jc w:val="right"/>
            </w:pPr>
            <w:r w:rsidRPr="14CFBE46">
              <w:rPr>
                <w:rFonts w:ascii="Aptos" w:eastAsia="Aptos" w:hAnsi="Aptos" w:cs="Aptos"/>
              </w:rPr>
              <w:t>1,656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7417102" w14:textId="5E7B195C" w:rsidR="00E77981" w:rsidRDefault="3B19CCE6" w:rsidP="483E1E69">
            <w:pPr>
              <w:spacing w:beforeAutospacing="1" w:afterAutospacing="1"/>
              <w:jc w:val="right"/>
              <w:rPr>
                <w:rFonts w:cs="Calibri"/>
                <w:color w:val="000000" w:themeColor="text1"/>
              </w:rPr>
            </w:pPr>
            <w:r w:rsidRPr="483E1E69">
              <w:rPr>
                <w:rFonts w:cs="Calibri"/>
                <w:color w:val="000000" w:themeColor="text1"/>
              </w:rPr>
              <w:t>68.5</w:t>
            </w:r>
          </w:p>
        </w:tc>
      </w:tr>
      <w:tr w:rsidR="00E77981" w14:paraId="3218152C"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7367BE56" w14:textId="77777777" w:rsidR="00E77981" w:rsidRDefault="00E77981" w:rsidP="00E77981">
            <w:pPr>
              <w:spacing w:beforeAutospacing="1" w:afterAutospacing="1"/>
              <w:rPr>
                <w:rFonts w:cs="Calibri"/>
                <w:color w:val="000000" w:themeColor="text1"/>
              </w:rPr>
            </w:pPr>
            <w:r w:rsidRPr="497B8E2D">
              <w:rPr>
                <w:rFonts w:cs="Calibri"/>
                <w:color w:val="000000" w:themeColor="text1"/>
              </w:rPr>
              <w:t>Chronically Homeless Individuals</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DFDEE03"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33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1A0E432"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142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45F3CC9" w14:textId="0CF953AD" w:rsidR="00E77981" w:rsidRDefault="201F6F4E" w:rsidP="483E1E69">
            <w:pPr>
              <w:spacing w:beforeAutospacing="1" w:afterAutospacing="1"/>
              <w:jc w:val="right"/>
              <w:rPr>
                <w:rFonts w:cs="Calibri"/>
                <w:color w:val="000000" w:themeColor="text1"/>
              </w:rPr>
            </w:pPr>
            <w:r w:rsidRPr="483E1E69">
              <w:rPr>
                <w:rFonts w:ascii="Aptos" w:eastAsia="Aptos" w:hAnsi="Aptos" w:cs="Aptos"/>
              </w:rPr>
              <w:t>385</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4ABD710" w14:textId="7998E16D" w:rsidR="00E77981" w:rsidRDefault="5823E91E" w:rsidP="14CFBE46">
            <w:pPr>
              <w:spacing w:beforeAutospacing="1" w:afterAutospacing="1"/>
              <w:jc w:val="right"/>
              <w:rPr>
                <w:rFonts w:cs="Calibri"/>
                <w:color w:val="000000" w:themeColor="text1"/>
              </w:rPr>
            </w:pPr>
            <w:r w:rsidRPr="14CFBE46">
              <w:rPr>
                <w:rFonts w:cs="Calibri"/>
                <w:color w:val="000000" w:themeColor="text1"/>
              </w:rPr>
              <w:t>156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F667E2B" w14:textId="09108440" w:rsidR="00E77981" w:rsidRDefault="5823E91E" w:rsidP="14CFBE46">
            <w:pPr>
              <w:spacing w:beforeAutospacing="1" w:afterAutospacing="1"/>
              <w:jc w:val="right"/>
              <w:rPr>
                <w:rFonts w:cs="Calibri"/>
                <w:color w:val="000000" w:themeColor="text1"/>
              </w:rPr>
            </w:pPr>
            <w:r w:rsidRPr="14CFBE46">
              <w:rPr>
                <w:rFonts w:cs="Calibri"/>
                <w:color w:val="000000" w:themeColor="text1"/>
              </w:rPr>
              <w:t>152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A030D0B" w14:textId="6E013760" w:rsidR="00E77981" w:rsidRDefault="21B866E1" w:rsidP="3E8155F1">
            <w:pPr>
              <w:spacing w:beforeAutospacing="1" w:afterAutospacing="1"/>
              <w:jc w:val="right"/>
              <w:rPr>
                <w:rFonts w:cs="Calibri"/>
                <w:color w:val="000000" w:themeColor="text1"/>
              </w:rPr>
            </w:pPr>
            <w:r w:rsidRPr="3E8155F1">
              <w:rPr>
                <w:rFonts w:cs="Calibri"/>
                <w:color w:val="000000" w:themeColor="text1"/>
              </w:rPr>
              <w:t>118</w:t>
            </w:r>
          </w:p>
        </w:tc>
      </w:tr>
      <w:tr w:rsidR="00E77981" w14:paraId="42321B86"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60F0F8F9" w14:textId="77777777" w:rsidR="00E77981" w:rsidRDefault="00E77981" w:rsidP="00E77981">
            <w:pPr>
              <w:spacing w:beforeAutospacing="1" w:afterAutospacing="1"/>
              <w:rPr>
                <w:rFonts w:cs="Calibri"/>
                <w:color w:val="000000" w:themeColor="text1"/>
              </w:rPr>
            </w:pPr>
            <w:r w:rsidRPr="497B8E2D">
              <w:rPr>
                <w:rFonts w:cs="Calibri"/>
                <w:color w:val="000000" w:themeColor="text1"/>
              </w:rPr>
              <w:t>Chronically Homeless Families</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78C46F2"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15</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B8A6742"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23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7A85BC5" w14:textId="779A6860" w:rsidR="00E77981" w:rsidRDefault="00E77981" w:rsidP="483E1E69">
            <w:pPr>
              <w:spacing w:beforeAutospacing="1" w:afterAutospacing="1"/>
              <w:jc w:val="right"/>
              <w:rPr>
                <w:rFonts w:cs="Calibri"/>
                <w:color w:val="000000" w:themeColor="text1"/>
              </w:rPr>
            </w:pP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0D553BB" w14:textId="46B47869" w:rsidR="00E77981" w:rsidRDefault="332892FB" w:rsidP="14CFBE46">
            <w:pPr>
              <w:spacing w:beforeAutospacing="1" w:afterAutospacing="1"/>
              <w:jc w:val="right"/>
              <w:rPr>
                <w:rFonts w:cs="Calibri"/>
                <w:color w:val="000000" w:themeColor="text1"/>
              </w:rPr>
            </w:pPr>
            <w:r w:rsidRPr="14CFBE46">
              <w:rPr>
                <w:rFonts w:cs="Calibri"/>
                <w:color w:val="000000" w:themeColor="text1"/>
              </w:rPr>
              <w:t>81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2FA0B7E" w14:textId="68C9FCF8" w:rsidR="00E77981" w:rsidRDefault="332892FB" w:rsidP="14CFBE46">
            <w:pPr>
              <w:spacing w:beforeAutospacing="1" w:afterAutospacing="1"/>
              <w:jc w:val="right"/>
              <w:rPr>
                <w:rFonts w:cs="Calibri"/>
                <w:color w:val="000000" w:themeColor="text1"/>
              </w:rPr>
            </w:pPr>
            <w:r w:rsidRPr="14CFBE46">
              <w:rPr>
                <w:rFonts w:cs="Calibri"/>
                <w:color w:val="000000" w:themeColor="text1"/>
              </w:rPr>
              <w:t>67</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D97C373" w14:textId="33B149EE" w:rsidR="00E77981" w:rsidRDefault="5247756D" w:rsidP="3E8155F1">
            <w:pPr>
              <w:spacing w:beforeAutospacing="1" w:afterAutospacing="1"/>
              <w:jc w:val="right"/>
              <w:rPr>
                <w:rFonts w:cs="Calibri"/>
                <w:color w:val="000000" w:themeColor="text1"/>
              </w:rPr>
            </w:pPr>
            <w:r w:rsidRPr="3E8155F1">
              <w:rPr>
                <w:rFonts w:cs="Calibri"/>
                <w:color w:val="000000" w:themeColor="text1"/>
              </w:rPr>
              <w:t>149</w:t>
            </w:r>
          </w:p>
        </w:tc>
      </w:tr>
      <w:tr w:rsidR="00E77981" w14:paraId="78DE5585"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1756AA31" w14:textId="77777777" w:rsidR="00E77981" w:rsidRDefault="00E77981" w:rsidP="00E77981">
            <w:pPr>
              <w:spacing w:beforeAutospacing="1" w:afterAutospacing="1"/>
              <w:rPr>
                <w:rFonts w:cs="Calibri"/>
                <w:color w:val="000000" w:themeColor="text1"/>
              </w:rPr>
            </w:pPr>
            <w:r w:rsidRPr="497B8E2D">
              <w:rPr>
                <w:rFonts w:cs="Calibri"/>
                <w:color w:val="000000" w:themeColor="text1"/>
              </w:rPr>
              <w:t>Veterans</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2CBCA5A"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22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F1ED383"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51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CA502F6" w14:textId="5DC69299" w:rsidR="00E77981" w:rsidRDefault="1CEF3DE6" w:rsidP="483E1E69">
            <w:pPr>
              <w:spacing w:beforeAutospacing="1" w:afterAutospacing="1"/>
              <w:jc w:val="right"/>
              <w:rPr>
                <w:rFonts w:cs="Calibri"/>
                <w:color w:val="000000" w:themeColor="text1"/>
              </w:rPr>
            </w:pPr>
            <w:r w:rsidRPr="483E1E69">
              <w:rPr>
                <w:rFonts w:ascii="Aptos" w:eastAsia="Aptos" w:hAnsi="Aptos" w:cs="Aptos"/>
              </w:rPr>
              <w:t>166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16F5DF3" w14:textId="21562D60" w:rsidR="00E77981" w:rsidRDefault="5358699C" w:rsidP="14CFBE46">
            <w:pPr>
              <w:spacing w:beforeAutospacing="1" w:afterAutospacing="1"/>
              <w:jc w:val="right"/>
              <w:rPr>
                <w:rFonts w:cs="Calibri"/>
                <w:color w:val="000000" w:themeColor="text1"/>
              </w:rPr>
            </w:pPr>
            <w:r w:rsidRPr="14CFBE46">
              <w:rPr>
                <w:rFonts w:cs="Calibri"/>
                <w:color w:val="000000" w:themeColor="text1"/>
              </w:rPr>
              <w:t>90</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874112A" w14:textId="5F6D1470" w:rsidR="00E77981" w:rsidRDefault="5358699C" w:rsidP="14CFBE46">
            <w:pPr>
              <w:spacing w:beforeAutospacing="1" w:afterAutospacing="1"/>
              <w:jc w:val="right"/>
              <w:rPr>
                <w:rFonts w:cs="Calibri"/>
                <w:color w:val="000000" w:themeColor="text1"/>
              </w:rPr>
            </w:pPr>
            <w:r w:rsidRPr="14CFBE46">
              <w:rPr>
                <w:rFonts w:cs="Calibri"/>
                <w:color w:val="000000" w:themeColor="text1"/>
              </w:rPr>
              <w:t>84</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7C34296" w14:textId="28E635D1" w:rsidR="00E77981" w:rsidRDefault="5C178CD2" w:rsidP="3E8155F1">
            <w:pPr>
              <w:spacing w:beforeAutospacing="1" w:afterAutospacing="1"/>
              <w:jc w:val="right"/>
              <w:rPr>
                <w:rFonts w:cs="Calibri"/>
                <w:color w:val="000000" w:themeColor="text1"/>
              </w:rPr>
            </w:pPr>
            <w:r w:rsidRPr="3E8155F1">
              <w:rPr>
                <w:rFonts w:cs="Calibri"/>
                <w:color w:val="000000" w:themeColor="text1"/>
              </w:rPr>
              <w:t>74</w:t>
            </w:r>
          </w:p>
        </w:tc>
      </w:tr>
      <w:tr w:rsidR="00E77981" w14:paraId="237E6CC9"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0483D824" w14:textId="77777777" w:rsidR="00E77981" w:rsidRDefault="00E77981" w:rsidP="00E77981">
            <w:pPr>
              <w:spacing w:beforeAutospacing="1" w:afterAutospacing="1"/>
              <w:rPr>
                <w:rFonts w:cs="Calibri"/>
                <w:color w:val="000000" w:themeColor="text1"/>
              </w:rPr>
            </w:pPr>
            <w:r w:rsidRPr="497B8E2D">
              <w:rPr>
                <w:rFonts w:cs="Calibri"/>
                <w:color w:val="000000" w:themeColor="text1"/>
              </w:rPr>
              <w:t>Unaccompanied Child</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1078444"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869FE78"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0</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5540C4D" w14:textId="6259B07D" w:rsidR="00E77981" w:rsidRDefault="68DD5321" w:rsidP="483E1E69">
            <w:pPr>
              <w:spacing w:beforeAutospacing="1" w:afterAutospacing="1"/>
              <w:jc w:val="right"/>
              <w:rPr>
                <w:rFonts w:cs="Calibri"/>
                <w:color w:val="000000" w:themeColor="text1"/>
              </w:rPr>
            </w:pPr>
            <w:r w:rsidRPr="3E8155F1">
              <w:rPr>
                <w:rFonts w:cs="Calibri"/>
                <w:color w:val="000000" w:themeColor="text1"/>
              </w:rPr>
              <w:t>63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689D20" w14:textId="39CC0CC0" w:rsidR="00E77981" w:rsidRDefault="68DD5321" w:rsidP="14CFBE46">
            <w:pPr>
              <w:spacing w:beforeAutospacing="1" w:afterAutospacing="1"/>
              <w:jc w:val="right"/>
              <w:rPr>
                <w:rFonts w:cs="Calibri"/>
                <w:color w:val="000000" w:themeColor="text1"/>
              </w:rPr>
            </w:pPr>
            <w:r w:rsidRPr="3E8155F1">
              <w:rPr>
                <w:rFonts w:cs="Calibri"/>
                <w:color w:val="000000" w:themeColor="text1"/>
              </w:rPr>
              <w:t>61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C607C1D" w14:textId="43EEC3D6" w:rsidR="00E77981" w:rsidRDefault="68DD5321" w:rsidP="14CFBE46">
            <w:pPr>
              <w:spacing w:beforeAutospacing="1" w:afterAutospacing="1"/>
              <w:jc w:val="right"/>
              <w:rPr>
                <w:rFonts w:cs="Calibri"/>
                <w:color w:val="000000" w:themeColor="text1"/>
              </w:rPr>
            </w:pPr>
            <w:r w:rsidRPr="3E8155F1">
              <w:rPr>
                <w:rFonts w:cs="Calibri"/>
                <w:color w:val="000000" w:themeColor="text1"/>
              </w:rPr>
              <w:t>62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C8633CF" w14:textId="3456DEA5" w:rsidR="00E77981" w:rsidRDefault="6B48DFB5" w:rsidP="3E8155F1">
            <w:pPr>
              <w:spacing w:beforeAutospacing="1" w:afterAutospacing="1"/>
              <w:jc w:val="right"/>
              <w:rPr>
                <w:rFonts w:cs="Calibri"/>
                <w:color w:val="000000" w:themeColor="text1"/>
              </w:rPr>
            </w:pPr>
            <w:r w:rsidRPr="3E8155F1">
              <w:rPr>
                <w:rFonts w:cs="Calibri"/>
                <w:color w:val="000000" w:themeColor="text1"/>
              </w:rPr>
              <w:t>19</w:t>
            </w:r>
          </w:p>
        </w:tc>
      </w:tr>
      <w:tr w:rsidR="00E77981" w14:paraId="5D05A53B"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442013AA" w14:textId="77777777" w:rsidR="00E77981" w:rsidRDefault="00E77981" w:rsidP="00E77981">
            <w:pPr>
              <w:spacing w:beforeAutospacing="1" w:afterAutospacing="1"/>
              <w:rPr>
                <w:rFonts w:cs="Calibri"/>
                <w:color w:val="000000" w:themeColor="text1"/>
              </w:rPr>
            </w:pPr>
            <w:r w:rsidRPr="497B8E2D">
              <w:rPr>
                <w:rFonts w:cs="Calibri"/>
                <w:color w:val="000000" w:themeColor="text1"/>
              </w:rPr>
              <w:t>Persons with HIV</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D9F46E3"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26F3C0C" w14:textId="77777777" w:rsidR="00E77981" w:rsidRDefault="00E77981" w:rsidP="00E77981">
            <w:pPr>
              <w:spacing w:beforeAutospacing="1" w:afterAutospacing="1"/>
              <w:jc w:val="right"/>
              <w:rPr>
                <w:rFonts w:cs="Calibri"/>
                <w:color w:val="000000" w:themeColor="text1"/>
              </w:rPr>
            </w:pPr>
            <w:r w:rsidRPr="497B8E2D">
              <w:rPr>
                <w:rFonts w:cs="Calibri"/>
                <w:color w:val="000000" w:themeColor="text1"/>
              </w:rPr>
              <w:t>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5F5A13" w14:textId="6539FA80" w:rsidR="00E77981" w:rsidRDefault="13C84B3A" w:rsidP="483E1E69">
            <w:pPr>
              <w:spacing w:beforeAutospacing="1" w:afterAutospacing="1"/>
              <w:jc w:val="right"/>
              <w:rPr>
                <w:rFonts w:ascii="Aptos Narrow" w:eastAsia="Aptos Narrow" w:hAnsi="Aptos Narrow" w:cs="Aptos Narrow"/>
                <w:color w:val="000000" w:themeColor="text1"/>
              </w:rPr>
            </w:pPr>
            <w:r w:rsidRPr="3E8155F1">
              <w:rPr>
                <w:rFonts w:ascii="Aptos Narrow" w:eastAsia="Aptos Narrow" w:hAnsi="Aptos Narrow" w:cs="Aptos Narrow"/>
                <w:color w:val="000000" w:themeColor="text1"/>
              </w:rPr>
              <w:t>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0F49D8" w14:textId="59BDEB54" w:rsidR="00E77981" w:rsidRDefault="13C84B3A" w:rsidP="3E8155F1">
            <w:pPr>
              <w:spacing w:beforeAutospacing="1" w:afterAutospacing="1"/>
              <w:jc w:val="right"/>
              <w:rPr>
                <w:rFonts w:cs="Calibri"/>
                <w:color w:val="000000" w:themeColor="text1"/>
              </w:rPr>
            </w:pPr>
            <w:r w:rsidRPr="3E8155F1">
              <w:rPr>
                <w:rFonts w:cs="Calibri"/>
                <w:color w:val="000000" w:themeColor="text1"/>
              </w:rPr>
              <w:t>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90C420" w14:textId="706EA42B" w:rsidR="00E77981" w:rsidRDefault="13C84B3A" w:rsidP="3E8155F1">
            <w:pPr>
              <w:spacing w:beforeAutospacing="1" w:afterAutospacing="1"/>
              <w:jc w:val="right"/>
              <w:rPr>
                <w:rFonts w:cs="Calibri"/>
                <w:color w:val="000000" w:themeColor="text1"/>
              </w:rPr>
            </w:pPr>
            <w:r w:rsidRPr="3E8155F1">
              <w:rPr>
                <w:rFonts w:cs="Calibri"/>
                <w:color w:val="000000" w:themeColor="text1"/>
              </w:rPr>
              <w:t>5</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AC0AEFB" w14:textId="08EF32BA" w:rsidR="00E77981" w:rsidRDefault="13C84B3A" w:rsidP="3E8155F1">
            <w:pPr>
              <w:spacing w:beforeAutospacing="1" w:afterAutospacing="1"/>
              <w:jc w:val="right"/>
              <w:rPr>
                <w:rFonts w:cs="Calibri"/>
                <w:color w:val="000000" w:themeColor="text1"/>
              </w:rPr>
            </w:pPr>
            <w:r w:rsidRPr="3E8155F1">
              <w:rPr>
                <w:rFonts w:cs="Calibri"/>
                <w:color w:val="000000" w:themeColor="text1"/>
              </w:rPr>
              <w:t>28</w:t>
            </w:r>
          </w:p>
        </w:tc>
      </w:tr>
    </w:tbl>
    <w:p w14:paraId="3CA09E4D" w14:textId="77777777" w:rsidR="009B0FCC" w:rsidRDefault="009B0FCC" w:rsidP="009B0FCC">
      <w:pPr>
        <w:pStyle w:val="Caption"/>
        <w:jc w:val="center"/>
        <w:rPr>
          <w:rFonts w:ascii="Calibri" w:hAnsi="Calibri" w:cs="Calibri"/>
          <w:color w:val="000000" w:themeColor="text1"/>
        </w:rPr>
      </w:pPr>
      <w:r w:rsidRPr="497B8E2D">
        <w:rPr>
          <w:rFonts w:ascii="Calibri" w:hAnsi="Calibri" w:cs="Calibri"/>
          <w:color w:val="000000" w:themeColor="text1"/>
        </w:rPr>
        <w:t>Table 26 - Homeless Needs Assessment</w:t>
      </w:r>
    </w:p>
    <w:p w14:paraId="78E5CFF4" w14:textId="77777777" w:rsidR="009B0FCC" w:rsidRDefault="009B0FCC" w:rsidP="009B0FCC"/>
    <w:p w14:paraId="61502F34" w14:textId="164A550D" w:rsidR="2A330916" w:rsidRPr="000312CD" w:rsidRDefault="009B0FCC" w:rsidP="3E8155F1">
      <w:pPr>
        <w:rPr>
          <w:rFonts w:ascii="Aptos" w:eastAsia="Aptos" w:hAnsi="Aptos" w:cs="Aptos"/>
          <w:sz w:val="24"/>
          <w:szCs w:val="24"/>
        </w:rPr>
      </w:pPr>
      <w:r w:rsidRPr="000312CD">
        <w:rPr>
          <w:b/>
          <w:bCs/>
          <w:sz w:val="24"/>
          <w:szCs w:val="24"/>
        </w:rPr>
        <w:t>If data is not available for the categories "number of persons becoming and exiting homelessness each year," and "number of days that persons experience homelessness," describe these categories for each homeless population type (including chronically homeless individuals and families, families with children, veterans and their families, and unaccompanied youth):</w:t>
      </w:r>
    </w:p>
    <w:p w14:paraId="5CFC7C38" w14:textId="77777777" w:rsidR="009B0FCC" w:rsidRPr="000312CD" w:rsidRDefault="009B0FCC" w:rsidP="00C83593">
      <w:pPr>
        <w:keepNext/>
        <w:widowControl w:val="0"/>
        <w:jc w:val="both"/>
        <w:rPr>
          <w:rFonts w:cs="Calibri"/>
          <w:color w:val="000000" w:themeColor="text1"/>
          <w:sz w:val="24"/>
          <w:szCs w:val="24"/>
        </w:rPr>
      </w:pPr>
      <w:r w:rsidRPr="000312CD">
        <w:rPr>
          <w:rFonts w:cs="Calibri"/>
          <w:color w:val="000000" w:themeColor="text1"/>
          <w:sz w:val="24"/>
          <w:szCs w:val="24"/>
        </w:rPr>
        <w:t>Indicate if the homeless population is: Partially Rural Homeless</w:t>
      </w:r>
    </w:p>
    <w:p w14:paraId="7CCC72C7" w14:textId="77D84592" w:rsidR="119D35C0" w:rsidRPr="000312CD" w:rsidRDefault="119D35C0" w:rsidP="00C83593">
      <w:pPr>
        <w:spacing w:beforeAutospacing="1" w:afterAutospacing="1"/>
        <w:jc w:val="both"/>
        <w:rPr>
          <w:rFonts w:ascii="Aptos" w:eastAsia="Aptos" w:hAnsi="Aptos" w:cs="Aptos"/>
          <w:sz w:val="24"/>
          <w:szCs w:val="24"/>
        </w:rPr>
      </w:pPr>
      <w:r w:rsidRPr="000312CD">
        <w:rPr>
          <w:rFonts w:cs="Calibri"/>
          <w:color w:val="000000" w:themeColor="text1"/>
          <w:sz w:val="24"/>
          <w:szCs w:val="24"/>
        </w:rPr>
        <w:t>A large majority of Idaho consists of rural communities with small metropolitan areas widely spread throughout the state.  While the Homeless Needs Table consists of a statewide portrayal of homelessness, including both urban and rural statistics, the data is more reflective of rural homelessness than not. </w:t>
      </w:r>
    </w:p>
    <w:p w14:paraId="751965D9" w14:textId="6A785A57" w:rsidR="483E1E69" w:rsidRDefault="483E1E69" w:rsidP="483E1E69">
      <w:pPr>
        <w:spacing w:beforeAutospacing="1" w:afterAutospacing="1"/>
        <w:rPr>
          <w:rFonts w:ascii="Aptos" w:eastAsia="Aptos" w:hAnsi="Aptos" w:cs="Aptos"/>
        </w:rPr>
      </w:pPr>
    </w:p>
    <w:p w14:paraId="5D365D4A" w14:textId="77777777" w:rsidR="009B0FCC" w:rsidRDefault="009B0FCC" w:rsidP="009B0FCC">
      <w:pPr>
        <w:keepNext/>
        <w:widowControl w:val="0"/>
        <w:rPr>
          <w:rFonts w:cs="Calibri"/>
          <w:color w:val="000000" w:themeColor="text1"/>
          <w:sz w:val="24"/>
          <w:szCs w:val="24"/>
        </w:rPr>
      </w:pPr>
      <w:r w:rsidRPr="497B8E2D">
        <w:rPr>
          <w:rFonts w:cs="Calibri"/>
          <w:b/>
          <w:bCs/>
          <w:color w:val="000000" w:themeColor="text1"/>
          <w:sz w:val="24"/>
          <w:szCs w:val="24"/>
        </w:rPr>
        <w:lastRenderedPageBreak/>
        <w:t>Rural Homeless Needs Assessment</w:t>
      </w:r>
    </w:p>
    <w:tbl>
      <w:tblPr>
        <w:tblW w:w="0" w:type="auto"/>
        <w:tblInd w:w="10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841"/>
        <w:gridCol w:w="1841"/>
        <w:gridCol w:w="1841"/>
        <w:gridCol w:w="1841"/>
        <w:gridCol w:w="1841"/>
        <w:gridCol w:w="1841"/>
        <w:gridCol w:w="1841"/>
      </w:tblGrid>
      <w:tr w:rsidR="009B0FCC" w14:paraId="366DF8E5" w14:textId="77777777" w:rsidTr="3E8155F1">
        <w:trPr>
          <w:trHeight w:val="300"/>
        </w:trPr>
        <w:tc>
          <w:tcPr>
            <w:tcW w:w="12887" w:type="dxa"/>
            <w:gridSpan w:val="7"/>
            <w:tcBorders>
              <w:top w:val="nil"/>
              <w:left w:val="nil"/>
              <w:bottom w:val="single" w:sz="6" w:space="0" w:color="auto"/>
              <w:right w:val="nil"/>
            </w:tcBorders>
            <w:tcMar>
              <w:left w:w="105" w:type="dxa"/>
              <w:right w:w="105" w:type="dxa"/>
            </w:tcMar>
          </w:tcPr>
          <w:p w14:paraId="09A5BDC6" w14:textId="77777777" w:rsidR="009B0FCC" w:rsidRDefault="009B0FCC" w:rsidP="00721F16">
            <w:pPr>
              <w:keepNext/>
              <w:widowControl w:val="0"/>
              <w:spacing w:after="0" w:line="240" w:lineRule="auto"/>
              <w:rPr>
                <w:rFonts w:cs="Calibri"/>
              </w:rPr>
            </w:pPr>
          </w:p>
        </w:tc>
      </w:tr>
      <w:tr w:rsidR="009B0FCC" w14:paraId="6177BCD1"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39BCDDE9" w14:textId="77777777" w:rsidR="483E1E69" w:rsidRDefault="483E1E69" w:rsidP="483E1E69">
            <w:pPr>
              <w:keepNext/>
              <w:widowControl w:val="0"/>
              <w:spacing w:after="0" w:line="240" w:lineRule="auto"/>
              <w:jc w:val="center"/>
              <w:rPr>
                <w:rFonts w:cs="Calibri"/>
              </w:rPr>
            </w:pPr>
            <w:r w:rsidRPr="483E1E69">
              <w:rPr>
                <w:rFonts w:cs="Calibri"/>
                <w:b/>
                <w:bCs/>
              </w:rPr>
              <w:t>Population</w:t>
            </w:r>
          </w:p>
        </w:tc>
        <w:tc>
          <w:tcPr>
            <w:tcW w:w="3682"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1E24FE7A" w14:textId="77777777" w:rsidR="483E1E69" w:rsidRDefault="483E1E69" w:rsidP="483E1E69">
            <w:pPr>
              <w:keepNext/>
              <w:widowControl w:val="0"/>
              <w:spacing w:after="0" w:line="240" w:lineRule="auto"/>
              <w:jc w:val="center"/>
              <w:rPr>
                <w:rFonts w:cs="Calibri"/>
              </w:rPr>
            </w:pPr>
            <w:r w:rsidRPr="483E1E69">
              <w:rPr>
                <w:rFonts w:cs="Calibri"/>
                <w:b/>
                <w:bCs/>
              </w:rPr>
              <w:t>Estimate the # of persons experiencing homelessness on a given night</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4E09EC98" w14:textId="77777777" w:rsidR="483E1E69" w:rsidRDefault="483E1E69" w:rsidP="483E1E69">
            <w:pPr>
              <w:keepNext/>
              <w:widowControl w:val="0"/>
              <w:spacing w:after="0" w:line="240" w:lineRule="auto"/>
              <w:jc w:val="center"/>
              <w:rPr>
                <w:rFonts w:cs="Calibri"/>
              </w:rPr>
            </w:pPr>
            <w:r w:rsidRPr="483E1E69">
              <w:rPr>
                <w:rFonts w:cs="Calibri"/>
                <w:b/>
                <w:bCs/>
              </w:rPr>
              <w:t>Estimate the # experiencing homelessness each year</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159CD243" w14:textId="77777777" w:rsidR="483E1E69" w:rsidRDefault="483E1E69" w:rsidP="483E1E69">
            <w:pPr>
              <w:keepNext/>
              <w:widowControl w:val="0"/>
              <w:spacing w:after="0" w:line="240" w:lineRule="auto"/>
              <w:jc w:val="center"/>
              <w:rPr>
                <w:rFonts w:cs="Calibri"/>
              </w:rPr>
            </w:pPr>
            <w:r w:rsidRPr="483E1E69">
              <w:rPr>
                <w:rFonts w:cs="Calibri"/>
                <w:b/>
                <w:bCs/>
              </w:rPr>
              <w:t>Estimate the # becoming homeless each year</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2634BF8F" w14:textId="77777777" w:rsidR="483E1E69" w:rsidRDefault="483E1E69" w:rsidP="483E1E69">
            <w:pPr>
              <w:keepNext/>
              <w:widowControl w:val="0"/>
              <w:spacing w:after="0" w:line="240" w:lineRule="auto"/>
              <w:jc w:val="center"/>
              <w:rPr>
                <w:rFonts w:cs="Calibri"/>
              </w:rPr>
            </w:pPr>
            <w:r w:rsidRPr="483E1E69">
              <w:rPr>
                <w:rFonts w:cs="Calibri"/>
                <w:b/>
                <w:bCs/>
              </w:rPr>
              <w:t>Estimate the # exiting homelessness each year</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2C385BD2" w14:textId="77777777" w:rsidR="483E1E69" w:rsidRDefault="483E1E69" w:rsidP="483E1E69">
            <w:pPr>
              <w:keepNext/>
              <w:widowControl w:val="0"/>
              <w:spacing w:after="0" w:line="240" w:lineRule="auto"/>
              <w:jc w:val="center"/>
              <w:rPr>
                <w:rFonts w:cs="Calibri"/>
              </w:rPr>
            </w:pPr>
            <w:r w:rsidRPr="483E1E69">
              <w:rPr>
                <w:rFonts w:cs="Calibri"/>
                <w:b/>
                <w:bCs/>
              </w:rPr>
              <w:t>Estimate the # of days persons experience homelessness</w:t>
            </w:r>
          </w:p>
        </w:tc>
      </w:tr>
      <w:tr w:rsidR="009B0FCC" w14:paraId="26193C7E"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6FDD0A05" w14:textId="77777777" w:rsidR="483E1E69" w:rsidRDefault="483E1E69" w:rsidP="483E1E69">
            <w:pPr>
              <w:keepNext/>
              <w:widowControl w:val="0"/>
              <w:spacing w:after="0" w:line="240" w:lineRule="auto"/>
              <w:jc w:val="center"/>
              <w:rPr>
                <w:rFonts w:cs="Calibri"/>
              </w:rPr>
            </w:pP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5D5E8691" w14:textId="77777777" w:rsidR="3E8155F1" w:rsidRDefault="3E8155F1" w:rsidP="3E8155F1">
            <w:pPr>
              <w:keepNext/>
              <w:widowControl w:val="0"/>
              <w:spacing w:after="0" w:line="240" w:lineRule="auto"/>
              <w:jc w:val="center"/>
              <w:rPr>
                <w:rFonts w:cs="Calibri"/>
              </w:rPr>
            </w:pPr>
            <w:r w:rsidRPr="3E8155F1">
              <w:rPr>
                <w:rFonts w:cs="Calibri"/>
                <w:b/>
                <w:bCs/>
              </w:rPr>
              <w:t>Sheltered</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6F0EA081" w14:textId="77777777" w:rsidR="3E8155F1" w:rsidRDefault="3E8155F1" w:rsidP="3E8155F1">
            <w:pPr>
              <w:keepNext/>
              <w:widowControl w:val="0"/>
              <w:spacing w:after="0" w:line="240" w:lineRule="auto"/>
              <w:jc w:val="center"/>
              <w:rPr>
                <w:rFonts w:cs="Calibri"/>
              </w:rPr>
            </w:pPr>
            <w:r w:rsidRPr="3E8155F1">
              <w:rPr>
                <w:rFonts w:cs="Calibri"/>
                <w:b/>
                <w:bCs/>
              </w:rPr>
              <w:t>Unsheltered</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5DC4D7F5" w14:textId="0C0BEBF5" w:rsidR="3E8155F1" w:rsidRDefault="3E8155F1" w:rsidP="3E8155F1">
            <w:pPr>
              <w:keepNext/>
              <w:widowControl w:val="0"/>
              <w:spacing w:after="0" w:line="240" w:lineRule="auto"/>
              <w:jc w:val="center"/>
              <w:rPr>
                <w:rFonts w:ascii="Aptos Narrow" w:eastAsia="Aptos Narrow" w:hAnsi="Aptos Narrow" w:cs="Aptos Narrow"/>
              </w:rPr>
            </w:pPr>
            <w:r w:rsidRPr="3E8155F1">
              <w:rPr>
                <w:rFonts w:ascii="Aptos Narrow" w:eastAsia="Aptos Narrow" w:hAnsi="Aptos Narrow" w:cs="Aptos Narrow"/>
              </w:rPr>
              <w:t xml:space="preserve"> </w:t>
            </w:r>
            <w:r w:rsidRPr="3E8155F1">
              <w:rPr>
                <w:rFonts w:ascii="Aptos" w:eastAsia="Aptos" w:hAnsi="Aptos" w:cs="Aptos"/>
              </w:rPr>
              <w:t>6,057</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4B96A44A" w14:textId="27259FAB" w:rsidR="3E8155F1" w:rsidRDefault="3E8155F1" w:rsidP="3E8155F1">
            <w:pPr>
              <w:keepNext/>
              <w:widowControl w:val="0"/>
              <w:spacing w:after="0" w:line="240" w:lineRule="auto"/>
              <w:jc w:val="center"/>
              <w:rPr>
                <w:rFonts w:ascii="Aptos" w:eastAsia="Aptos" w:hAnsi="Aptos" w:cs="Aptos"/>
              </w:rPr>
            </w:pPr>
            <w:r w:rsidRPr="3E8155F1">
              <w:rPr>
                <w:rFonts w:ascii="Aptos" w:eastAsia="Aptos" w:hAnsi="Aptos" w:cs="Aptos"/>
              </w:rPr>
              <w:t>4,503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46E21036" w14:textId="12D6F72C" w:rsidR="3E8155F1" w:rsidRDefault="3E8155F1" w:rsidP="3E8155F1">
            <w:pPr>
              <w:keepNext/>
              <w:widowControl w:val="0"/>
              <w:spacing w:after="0" w:line="240" w:lineRule="auto"/>
              <w:jc w:val="center"/>
              <w:rPr>
                <w:rFonts w:ascii="Aptos" w:eastAsia="Aptos" w:hAnsi="Aptos" w:cs="Aptos"/>
              </w:rPr>
            </w:pPr>
            <w:r w:rsidRPr="3E8155F1">
              <w:rPr>
                <w:rFonts w:ascii="Aptos" w:eastAsia="Aptos" w:hAnsi="Aptos" w:cs="Aptos"/>
              </w:rPr>
              <w:t>4,207</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63D3C7E3" w14:textId="1B2509A8" w:rsidR="3E8155F1" w:rsidRDefault="3E8155F1" w:rsidP="3E8155F1">
            <w:pPr>
              <w:keepNext/>
              <w:widowControl w:val="0"/>
              <w:spacing w:after="0" w:line="240" w:lineRule="auto"/>
              <w:jc w:val="center"/>
              <w:rPr>
                <w:rFonts w:cs="Calibri"/>
              </w:rPr>
            </w:pPr>
            <w:r w:rsidRPr="3E8155F1">
              <w:rPr>
                <w:rFonts w:cs="Calibri"/>
              </w:rPr>
              <w:t>75</w:t>
            </w:r>
          </w:p>
        </w:tc>
      </w:tr>
      <w:tr w:rsidR="009B0FCC" w14:paraId="750F97CD"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69F9252A" w14:textId="77777777" w:rsidR="483E1E69" w:rsidRDefault="483E1E69" w:rsidP="483E1E69">
            <w:pPr>
              <w:spacing w:beforeAutospacing="1" w:afterAutospacing="1"/>
              <w:rPr>
                <w:rFonts w:cs="Calibri"/>
                <w:color w:val="000000" w:themeColor="text1"/>
              </w:rPr>
            </w:pPr>
            <w:r w:rsidRPr="483E1E69">
              <w:rPr>
                <w:rFonts w:cs="Calibri"/>
                <w:color w:val="000000" w:themeColor="text1"/>
              </w:rPr>
              <w:t>Persons in Households with Adult(s) and Child(ren)</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A616E39"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386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24E4360"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348</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2780A66" w14:textId="5E8DA5F9" w:rsidR="3E8155F1" w:rsidRDefault="3E8155F1" w:rsidP="3E8155F1">
            <w:pPr>
              <w:spacing w:beforeAutospacing="1" w:afterAutospacing="1"/>
              <w:jc w:val="right"/>
              <w:rPr>
                <w:rFonts w:ascii="Aptos" w:eastAsia="Aptos" w:hAnsi="Aptos" w:cs="Aptos"/>
                <w:color w:val="000000" w:themeColor="text1"/>
              </w:rPr>
            </w:pPr>
            <w:r w:rsidRPr="3E8155F1">
              <w:rPr>
                <w:rFonts w:ascii="Aptos" w:eastAsia="Aptos" w:hAnsi="Aptos" w:cs="Aptos"/>
              </w:rPr>
              <w:t>3,377</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AE5E203" w14:textId="2CF1E604" w:rsidR="3E8155F1" w:rsidRDefault="3E8155F1" w:rsidP="3E8155F1">
            <w:pPr>
              <w:spacing w:beforeAutospacing="1" w:afterAutospacing="1"/>
              <w:jc w:val="right"/>
            </w:pPr>
            <w:r w:rsidRPr="3E8155F1">
              <w:rPr>
                <w:rFonts w:ascii="Aptos" w:eastAsia="Aptos" w:hAnsi="Aptos" w:cs="Aptos"/>
              </w:rPr>
              <w:t>2,742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91BF65F" w14:textId="01803449" w:rsidR="3E8155F1" w:rsidRDefault="3E8155F1" w:rsidP="3E8155F1">
            <w:pPr>
              <w:spacing w:beforeAutospacing="1" w:afterAutospacing="1"/>
              <w:jc w:val="right"/>
              <w:rPr>
                <w:rFonts w:cs="Calibri"/>
                <w:color w:val="000000" w:themeColor="text1"/>
              </w:rPr>
            </w:pPr>
            <w:r w:rsidRPr="3E8155F1">
              <w:rPr>
                <w:rFonts w:cs="Calibri"/>
                <w:color w:val="000000" w:themeColor="text1"/>
              </w:rPr>
              <w:t>2,539</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5D12B44" w14:textId="6BCD2B68" w:rsidR="3E8155F1" w:rsidRDefault="3E8155F1" w:rsidP="3E8155F1">
            <w:pPr>
              <w:spacing w:beforeAutospacing="1" w:afterAutospacing="1"/>
              <w:jc w:val="right"/>
              <w:rPr>
                <w:rFonts w:cs="Calibri"/>
                <w:color w:val="000000" w:themeColor="text1"/>
              </w:rPr>
            </w:pPr>
            <w:r w:rsidRPr="3E8155F1">
              <w:rPr>
                <w:rFonts w:cs="Calibri"/>
                <w:color w:val="000000" w:themeColor="text1"/>
              </w:rPr>
              <w:t>77</w:t>
            </w:r>
          </w:p>
        </w:tc>
      </w:tr>
      <w:tr w:rsidR="009B0FCC" w14:paraId="1DE87EF7"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755F7A9E" w14:textId="77777777" w:rsidR="483E1E69" w:rsidRDefault="483E1E69" w:rsidP="483E1E69">
            <w:pPr>
              <w:spacing w:beforeAutospacing="1" w:afterAutospacing="1"/>
              <w:rPr>
                <w:rFonts w:cs="Calibri"/>
                <w:color w:val="000000" w:themeColor="text1"/>
              </w:rPr>
            </w:pPr>
            <w:r w:rsidRPr="483E1E69">
              <w:rPr>
                <w:rFonts w:cs="Calibri"/>
                <w:color w:val="000000" w:themeColor="text1"/>
              </w:rPr>
              <w:t>Persons in Households with Only Children</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8889881"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CCEA2AF"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0</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AABEEDA" w14:textId="034F639E" w:rsidR="3E8155F1" w:rsidRDefault="3E8155F1" w:rsidP="3E8155F1">
            <w:pPr>
              <w:spacing w:beforeAutospacing="1" w:afterAutospacing="1"/>
              <w:jc w:val="right"/>
              <w:rPr>
                <w:rFonts w:cs="Calibri"/>
                <w:color w:val="000000" w:themeColor="text1"/>
              </w:rPr>
            </w:pPr>
            <w:r w:rsidRPr="3E8155F1">
              <w:rPr>
                <w:rFonts w:ascii="Aptos" w:eastAsia="Aptos" w:hAnsi="Aptos" w:cs="Aptos"/>
              </w:rPr>
              <w:t>63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B93EE23" w14:textId="41EEAC66" w:rsidR="3E8155F1" w:rsidRDefault="3E8155F1" w:rsidP="3E8155F1">
            <w:pPr>
              <w:spacing w:beforeAutospacing="1" w:afterAutospacing="1"/>
              <w:jc w:val="right"/>
              <w:rPr>
                <w:rFonts w:cs="Calibri"/>
                <w:color w:val="000000" w:themeColor="text1"/>
              </w:rPr>
            </w:pPr>
            <w:r w:rsidRPr="3E8155F1">
              <w:rPr>
                <w:rFonts w:cs="Calibri"/>
                <w:color w:val="000000" w:themeColor="text1"/>
              </w:rPr>
              <w:t>61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8ED6E1F" w14:textId="0B110537" w:rsidR="3E8155F1" w:rsidRDefault="3E8155F1" w:rsidP="3E8155F1">
            <w:pPr>
              <w:spacing w:beforeAutospacing="1" w:afterAutospacing="1"/>
              <w:jc w:val="right"/>
            </w:pPr>
            <w:r w:rsidRPr="3E8155F1">
              <w:rPr>
                <w:rFonts w:cs="Calibri"/>
                <w:color w:val="000000" w:themeColor="text1"/>
              </w:rPr>
              <w:t>62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CD3E6B1" w14:textId="0163B50F" w:rsidR="3E8155F1" w:rsidRDefault="3E8155F1" w:rsidP="3E8155F1">
            <w:pPr>
              <w:spacing w:beforeAutospacing="1" w:afterAutospacing="1"/>
              <w:jc w:val="right"/>
              <w:rPr>
                <w:rFonts w:cs="Calibri"/>
                <w:color w:val="000000" w:themeColor="text1"/>
              </w:rPr>
            </w:pPr>
            <w:r w:rsidRPr="3E8155F1">
              <w:rPr>
                <w:rFonts w:cs="Calibri"/>
                <w:color w:val="000000" w:themeColor="text1"/>
              </w:rPr>
              <w:t>19</w:t>
            </w:r>
          </w:p>
        </w:tc>
      </w:tr>
      <w:tr w:rsidR="009B0FCC" w14:paraId="55AA6D1A"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6CD5435D" w14:textId="77777777" w:rsidR="483E1E69" w:rsidRDefault="483E1E69" w:rsidP="483E1E69">
            <w:pPr>
              <w:spacing w:beforeAutospacing="1" w:afterAutospacing="1"/>
              <w:rPr>
                <w:rFonts w:cs="Calibri"/>
                <w:color w:val="000000" w:themeColor="text1"/>
              </w:rPr>
            </w:pPr>
            <w:r w:rsidRPr="483E1E69">
              <w:rPr>
                <w:rFonts w:cs="Calibri"/>
                <w:color w:val="000000" w:themeColor="text1"/>
              </w:rPr>
              <w:t>Persons in Households with Only Adults</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287C1E7"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281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6EAF536"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595</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4AC372C" w14:textId="02C76C7A" w:rsidR="3E8155F1" w:rsidRDefault="3E8155F1" w:rsidP="3E8155F1">
            <w:pPr>
              <w:spacing w:beforeAutospacing="1" w:afterAutospacing="1"/>
              <w:jc w:val="right"/>
              <w:rPr>
                <w:rFonts w:ascii="Aptos" w:eastAsia="Aptos" w:hAnsi="Aptos" w:cs="Aptos"/>
                <w:color w:val="000000" w:themeColor="text1"/>
              </w:rPr>
            </w:pPr>
            <w:r w:rsidRPr="3E8155F1">
              <w:rPr>
                <w:rFonts w:ascii="Aptos" w:eastAsia="Aptos" w:hAnsi="Aptos" w:cs="Aptos"/>
              </w:rPr>
              <w:t>2,560</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5904A3F" w14:textId="594E5094" w:rsidR="3E8155F1" w:rsidRDefault="3E8155F1" w:rsidP="3E8155F1">
            <w:pPr>
              <w:spacing w:beforeAutospacing="1" w:afterAutospacing="1"/>
              <w:jc w:val="right"/>
              <w:rPr>
                <w:rFonts w:cs="Calibri"/>
              </w:rPr>
            </w:pPr>
            <w:r w:rsidRPr="3E8155F1">
              <w:rPr>
                <w:rFonts w:ascii="Aptos" w:eastAsia="Aptos" w:hAnsi="Aptos" w:cs="Aptos"/>
              </w:rPr>
              <w:t>1,753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E12D0B9" w14:textId="3EDDBD55" w:rsidR="3E8155F1" w:rsidRDefault="3E8155F1" w:rsidP="3E8155F1">
            <w:pPr>
              <w:spacing w:beforeAutospacing="1" w:afterAutospacing="1"/>
              <w:jc w:val="right"/>
            </w:pPr>
            <w:r w:rsidRPr="3E8155F1">
              <w:rPr>
                <w:rFonts w:ascii="Aptos" w:eastAsia="Aptos" w:hAnsi="Aptos" w:cs="Aptos"/>
              </w:rPr>
              <w:t>1,656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101A694" w14:textId="5E7B195C" w:rsidR="3E8155F1" w:rsidRDefault="3E8155F1" w:rsidP="3E8155F1">
            <w:pPr>
              <w:spacing w:beforeAutospacing="1" w:afterAutospacing="1"/>
              <w:jc w:val="right"/>
              <w:rPr>
                <w:rFonts w:cs="Calibri"/>
                <w:color w:val="000000" w:themeColor="text1"/>
              </w:rPr>
            </w:pPr>
            <w:r w:rsidRPr="3E8155F1">
              <w:rPr>
                <w:rFonts w:cs="Calibri"/>
                <w:color w:val="000000" w:themeColor="text1"/>
              </w:rPr>
              <w:t>68.5</w:t>
            </w:r>
          </w:p>
        </w:tc>
      </w:tr>
      <w:tr w:rsidR="009B0FCC" w14:paraId="438E99EC"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08AE5713" w14:textId="77777777" w:rsidR="483E1E69" w:rsidRDefault="483E1E69" w:rsidP="483E1E69">
            <w:pPr>
              <w:spacing w:beforeAutospacing="1" w:afterAutospacing="1"/>
              <w:rPr>
                <w:rFonts w:cs="Calibri"/>
                <w:color w:val="000000" w:themeColor="text1"/>
              </w:rPr>
            </w:pPr>
            <w:r w:rsidRPr="483E1E69">
              <w:rPr>
                <w:rFonts w:cs="Calibri"/>
                <w:color w:val="000000" w:themeColor="text1"/>
              </w:rPr>
              <w:t>Chronically Homeless Individuals</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071A260"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33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E618447"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142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8E54B33" w14:textId="0CF953AD" w:rsidR="3E8155F1" w:rsidRDefault="3E8155F1" w:rsidP="3E8155F1">
            <w:pPr>
              <w:spacing w:beforeAutospacing="1" w:afterAutospacing="1"/>
              <w:jc w:val="right"/>
              <w:rPr>
                <w:rFonts w:cs="Calibri"/>
                <w:color w:val="000000" w:themeColor="text1"/>
              </w:rPr>
            </w:pPr>
            <w:r w:rsidRPr="3E8155F1">
              <w:rPr>
                <w:rFonts w:ascii="Aptos" w:eastAsia="Aptos" w:hAnsi="Aptos" w:cs="Aptos"/>
              </w:rPr>
              <w:t>385</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8C62D2B" w14:textId="7998E16D" w:rsidR="3E8155F1" w:rsidRDefault="3E8155F1" w:rsidP="3E8155F1">
            <w:pPr>
              <w:spacing w:beforeAutospacing="1" w:afterAutospacing="1"/>
              <w:jc w:val="right"/>
              <w:rPr>
                <w:rFonts w:cs="Calibri"/>
                <w:color w:val="000000" w:themeColor="text1"/>
              </w:rPr>
            </w:pPr>
            <w:r w:rsidRPr="3E8155F1">
              <w:rPr>
                <w:rFonts w:cs="Calibri"/>
                <w:color w:val="000000" w:themeColor="text1"/>
              </w:rPr>
              <w:t>156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21434F3" w14:textId="09108440" w:rsidR="3E8155F1" w:rsidRDefault="3E8155F1" w:rsidP="3E8155F1">
            <w:pPr>
              <w:spacing w:beforeAutospacing="1" w:afterAutospacing="1"/>
              <w:jc w:val="right"/>
              <w:rPr>
                <w:rFonts w:cs="Calibri"/>
                <w:color w:val="000000" w:themeColor="text1"/>
              </w:rPr>
            </w:pPr>
            <w:r w:rsidRPr="3E8155F1">
              <w:rPr>
                <w:rFonts w:cs="Calibri"/>
                <w:color w:val="000000" w:themeColor="text1"/>
              </w:rPr>
              <w:t>152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B77C1F5" w14:textId="6E013760" w:rsidR="3E8155F1" w:rsidRDefault="3E8155F1" w:rsidP="3E8155F1">
            <w:pPr>
              <w:spacing w:beforeAutospacing="1" w:afterAutospacing="1"/>
              <w:jc w:val="right"/>
              <w:rPr>
                <w:rFonts w:cs="Calibri"/>
                <w:color w:val="000000" w:themeColor="text1"/>
              </w:rPr>
            </w:pPr>
            <w:r w:rsidRPr="3E8155F1">
              <w:rPr>
                <w:rFonts w:cs="Calibri"/>
                <w:color w:val="000000" w:themeColor="text1"/>
              </w:rPr>
              <w:t>118</w:t>
            </w:r>
          </w:p>
        </w:tc>
      </w:tr>
      <w:tr w:rsidR="009B0FCC" w14:paraId="4965E4EC"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45006045" w14:textId="77777777" w:rsidR="483E1E69" w:rsidRDefault="483E1E69" w:rsidP="483E1E69">
            <w:pPr>
              <w:spacing w:beforeAutospacing="1" w:afterAutospacing="1"/>
              <w:rPr>
                <w:rFonts w:cs="Calibri"/>
                <w:color w:val="000000" w:themeColor="text1"/>
              </w:rPr>
            </w:pPr>
            <w:r w:rsidRPr="483E1E69">
              <w:rPr>
                <w:rFonts w:cs="Calibri"/>
                <w:color w:val="000000" w:themeColor="text1"/>
              </w:rPr>
              <w:t>Chronically Homeless Families</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B4E95E6"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15</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1FE02A13"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23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2723C21" w14:textId="779A6860" w:rsidR="3E8155F1" w:rsidRDefault="3E8155F1" w:rsidP="3E8155F1">
            <w:pPr>
              <w:spacing w:beforeAutospacing="1" w:afterAutospacing="1"/>
              <w:jc w:val="right"/>
              <w:rPr>
                <w:rFonts w:cs="Calibri"/>
                <w:color w:val="000000" w:themeColor="text1"/>
              </w:rPr>
            </w:pP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CCEC86B" w14:textId="46B47869" w:rsidR="3E8155F1" w:rsidRDefault="3E8155F1" w:rsidP="3E8155F1">
            <w:pPr>
              <w:spacing w:beforeAutospacing="1" w:afterAutospacing="1"/>
              <w:jc w:val="right"/>
              <w:rPr>
                <w:rFonts w:cs="Calibri"/>
                <w:color w:val="000000" w:themeColor="text1"/>
              </w:rPr>
            </w:pPr>
            <w:r w:rsidRPr="3E8155F1">
              <w:rPr>
                <w:rFonts w:cs="Calibri"/>
                <w:color w:val="000000" w:themeColor="text1"/>
              </w:rPr>
              <w:t>81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0EB619F" w14:textId="68C9FCF8" w:rsidR="3E8155F1" w:rsidRDefault="3E8155F1" w:rsidP="3E8155F1">
            <w:pPr>
              <w:spacing w:beforeAutospacing="1" w:afterAutospacing="1"/>
              <w:jc w:val="right"/>
              <w:rPr>
                <w:rFonts w:cs="Calibri"/>
                <w:color w:val="000000" w:themeColor="text1"/>
              </w:rPr>
            </w:pPr>
            <w:r w:rsidRPr="3E8155F1">
              <w:rPr>
                <w:rFonts w:cs="Calibri"/>
                <w:color w:val="000000" w:themeColor="text1"/>
              </w:rPr>
              <w:t>67</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171AAA6" w14:textId="33B149EE" w:rsidR="3E8155F1" w:rsidRDefault="3E8155F1" w:rsidP="3E8155F1">
            <w:pPr>
              <w:spacing w:beforeAutospacing="1" w:afterAutospacing="1"/>
              <w:jc w:val="right"/>
              <w:rPr>
                <w:rFonts w:cs="Calibri"/>
                <w:color w:val="000000" w:themeColor="text1"/>
              </w:rPr>
            </w:pPr>
            <w:r w:rsidRPr="3E8155F1">
              <w:rPr>
                <w:rFonts w:cs="Calibri"/>
                <w:color w:val="000000" w:themeColor="text1"/>
              </w:rPr>
              <w:t>149</w:t>
            </w:r>
          </w:p>
        </w:tc>
      </w:tr>
      <w:tr w:rsidR="009B0FCC" w14:paraId="1067ED78"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5482C6C4" w14:textId="77777777" w:rsidR="483E1E69" w:rsidRDefault="483E1E69" w:rsidP="483E1E69">
            <w:pPr>
              <w:spacing w:beforeAutospacing="1" w:afterAutospacing="1"/>
              <w:rPr>
                <w:rFonts w:cs="Calibri"/>
                <w:color w:val="000000" w:themeColor="text1"/>
              </w:rPr>
            </w:pPr>
            <w:r w:rsidRPr="483E1E69">
              <w:rPr>
                <w:rFonts w:cs="Calibri"/>
                <w:color w:val="000000" w:themeColor="text1"/>
              </w:rPr>
              <w:t>Veterans</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925AD7F"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22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9D7FF29"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51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C845BC2" w14:textId="5DC69299" w:rsidR="3E8155F1" w:rsidRDefault="3E8155F1" w:rsidP="3E8155F1">
            <w:pPr>
              <w:spacing w:beforeAutospacing="1" w:afterAutospacing="1"/>
              <w:jc w:val="right"/>
              <w:rPr>
                <w:rFonts w:cs="Calibri"/>
                <w:color w:val="000000" w:themeColor="text1"/>
              </w:rPr>
            </w:pPr>
            <w:r w:rsidRPr="3E8155F1">
              <w:rPr>
                <w:rFonts w:ascii="Aptos" w:eastAsia="Aptos" w:hAnsi="Aptos" w:cs="Aptos"/>
              </w:rPr>
              <w:t>166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08861D1D" w14:textId="21562D60" w:rsidR="3E8155F1" w:rsidRDefault="3E8155F1" w:rsidP="3E8155F1">
            <w:pPr>
              <w:spacing w:beforeAutospacing="1" w:afterAutospacing="1"/>
              <w:jc w:val="right"/>
              <w:rPr>
                <w:rFonts w:cs="Calibri"/>
                <w:color w:val="000000" w:themeColor="text1"/>
              </w:rPr>
            </w:pPr>
            <w:r w:rsidRPr="3E8155F1">
              <w:rPr>
                <w:rFonts w:cs="Calibri"/>
                <w:color w:val="000000" w:themeColor="text1"/>
              </w:rPr>
              <w:t>90</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358D5405" w14:textId="5F6D1470" w:rsidR="3E8155F1" w:rsidRDefault="3E8155F1" w:rsidP="3E8155F1">
            <w:pPr>
              <w:spacing w:beforeAutospacing="1" w:afterAutospacing="1"/>
              <w:jc w:val="right"/>
              <w:rPr>
                <w:rFonts w:cs="Calibri"/>
                <w:color w:val="000000" w:themeColor="text1"/>
              </w:rPr>
            </w:pPr>
            <w:r w:rsidRPr="3E8155F1">
              <w:rPr>
                <w:rFonts w:cs="Calibri"/>
                <w:color w:val="000000" w:themeColor="text1"/>
              </w:rPr>
              <w:t>84</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9B0828D" w14:textId="28E635D1" w:rsidR="3E8155F1" w:rsidRDefault="3E8155F1" w:rsidP="3E8155F1">
            <w:pPr>
              <w:spacing w:beforeAutospacing="1" w:afterAutospacing="1"/>
              <w:jc w:val="right"/>
              <w:rPr>
                <w:rFonts w:cs="Calibri"/>
                <w:color w:val="000000" w:themeColor="text1"/>
              </w:rPr>
            </w:pPr>
            <w:r w:rsidRPr="3E8155F1">
              <w:rPr>
                <w:rFonts w:cs="Calibri"/>
                <w:color w:val="000000" w:themeColor="text1"/>
              </w:rPr>
              <w:t>74</w:t>
            </w:r>
          </w:p>
        </w:tc>
      </w:tr>
      <w:tr w:rsidR="009B0FCC" w14:paraId="17FAF0DE"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333D4874" w14:textId="77777777" w:rsidR="483E1E69" w:rsidRDefault="483E1E69" w:rsidP="483E1E69">
            <w:pPr>
              <w:spacing w:beforeAutospacing="1" w:afterAutospacing="1"/>
              <w:rPr>
                <w:rFonts w:cs="Calibri"/>
                <w:color w:val="000000" w:themeColor="text1"/>
              </w:rPr>
            </w:pPr>
            <w:r w:rsidRPr="483E1E69">
              <w:rPr>
                <w:rFonts w:cs="Calibri"/>
                <w:color w:val="000000" w:themeColor="text1"/>
              </w:rPr>
              <w:t>Unaccompanied Child</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07E0909"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136282F"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0</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6914575" w14:textId="6259B07D" w:rsidR="3E8155F1" w:rsidRDefault="3E8155F1" w:rsidP="3E8155F1">
            <w:pPr>
              <w:spacing w:beforeAutospacing="1" w:afterAutospacing="1"/>
              <w:jc w:val="right"/>
              <w:rPr>
                <w:rFonts w:cs="Calibri"/>
                <w:color w:val="000000" w:themeColor="text1"/>
              </w:rPr>
            </w:pPr>
            <w:r w:rsidRPr="3E8155F1">
              <w:rPr>
                <w:rFonts w:cs="Calibri"/>
                <w:color w:val="000000" w:themeColor="text1"/>
              </w:rPr>
              <w:t>63</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3EAEDB2" w14:textId="39CC0CC0" w:rsidR="3E8155F1" w:rsidRDefault="3E8155F1" w:rsidP="3E8155F1">
            <w:pPr>
              <w:spacing w:beforeAutospacing="1" w:afterAutospacing="1"/>
              <w:jc w:val="right"/>
              <w:rPr>
                <w:rFonts w:cs="Calibri"/>
                <w:color w:val="000000" w:themeColor="text1"/>
              </w:rPr>
            </w:pPr>
            <w:r w:rsidRPr="3E8155F1">
              <w:rPr>
                <w:rFonts w:cs="Calibri"/>
                <w:color w:val="000000" w:themeColor="text1"/>
              </w:rPr>
              <w:t>61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5DCBF65" w14:textId="43EEC3D6" w:rsidR="3E8155F1" w:rsidRDefault="3E8155F1" w:rsidP="3E8155F1">
            <w:pPr>
              <w:spacing w:beforeAutospacing="1" w:afterAutospacing="1"/>
              <w:jc w:val="right"/>
              <w:rPr>
                <w:rFonts w:cs="Calibri"/>
                <w:color w:val="000000" w:themeColor="text1"/>
              </w:rPr>
            </w:pPr>
            <w:r w:rsidRPr="3E8155F1">
              <w:rPr>
                <w:rFonts w:cs="Calibri"/>
                <w:color w:val="000000" w:themeColor="text1"/>
              </w:rPr>
              <w:t>62</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C3D72D1" w14:textId="3456DEA5" w:rsidR="3E8155F1" w:rsidRDefault="3E8155F1" w:rsidP="3E8155F1">
            <w:pPr>
              <w:spacing w:beforeAutospacing="1" w:afterAutospacing="1"/>
              <w:jc w:val="right"/>
              <w:rPr>
                <w:rFonts w:cs="Calibri"/>
                <w:color w:val="000000" w:themeColor="text1"/>
              </w:rPr>
            </w:pPr>
            <w:r w:rsidRPr="3E8155F1">
              <w:rPr>
                <w:rFonts w:cs="Calibri"/>
                <w:color w:val="000000" w:themeColor="text1"/>
              </w:rPr>
              <w:t>19</w:t>
            </w:r>
          </w:p>
        </w:tc>
      </w:tr>
      <w:tr w:rsidR="009B0FCC" w14:paraId="48DF6885" w14:textId="77777777" w:rsidTr="3E8155F1">
        <w:trPr>
          <w:trHeight w:val="300"/>
        </w:trPr>
        <w:tc>
          <w:tcPr>
            <w:tcW w:w="1841" w:type="dxa"/>
            <w:tcBorders>
              <w:top w:val="single" w:sz="6" w:space="0" w:color="auto"/>
              <w:left w:val="single" w:sz="6" w:space="0" w:color="auto"/>
              <w:bottom w:val="single" w:sz="6" w:space="0" w:color="auto"/>
              <w:right w:val="single" w:sz="6" w:space="0" w:color="auto"/>
            </w:tcBorders>
            <w:tcMar>
              <w:left w:w="105" w:type="dxa"/>
              <w:right w:w="105" w:type="dxa"/>
            </w:tcMar>
          </w:tcPr>
          <w:p w14:paraId="458513C2" w14:textId="77777777" w:rsidR="483E1E69" w:rsidRDefault="483E1E69" w:rsidP="483E1E69">
            <w:pPr>
              <w:spacing w:beforeAutospacing="1" w:afterAutospacing="1"/>
              <w:rPr>
                <w:rFonts w:cs="Calibri"/>
                <w:color w:val="000000" w:themeColor="text1"/>
              </w:rPr>
            </w:pPr>
            <w:r w:rsidRPr="483E1E69">
              <w:rPr>
                <w:rFonts w:cs="Calibri"/>
                <w:color w:val="000000" w:themeColor="text1"/>
              </w:rPr>
              <w:t>Persons with HIV</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D8E6BB6"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20726BC7" w14:textId="77777777" w:rsidR="3E8155F1" w:rsidRDefault="3E8155F1" w:rsidP="3E8155F1">
            <w:pPr>
              <w:spacing w:beforeAutospacing="1" w:afterAutospacing="1"/>
              <w:jc w:val="right"/>
              <w:rPr>
                <w:rFonts w:cs="Calibri"/>
                <w:color w:val="000000" w:themeColor="text1"/>
              </w:rPr>
            </w:pPr>
            <w:r w:rsidRPr="3E8155F1">
              <w:rPr>
                <w:rFonts w:cs="Calibri"/>
                <w:color w:val="000000" w:themeColor="text1"/>
              </w:rPr>
              <w:t>1</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63B52640" w14:textId="6539FA80" w:rsidR="3E8155F1" w:rsidRDefault="3E8155F1" w:rsidP="3E8155F1">
            <w:pPr>
              <w:spacing w:beforeAutospacing="1" w:afterAutospacing="1"/>
              <w:jc w:val="right"/>
              <w:rPr>
                <w:rFonts w:ascii="Aptos Narrow" w:eastAsia="Aptos Narrow" w:hAnsi="Aptos Narrow" w:cs="Aptos Narrow"/>
                <w:color w:val="000000" w:themeColor="text1"/>
              </w:rPr>
            </w:pPr>
            <w:r w:rsidRPr="3E8155F1">
              <w:rPr>
                <w:rFonts w:ascii="Aptos Narrow" w:eastAsia="Aptos Narrow" w:hAnsi="Aptos Narrow" w:cs="Aptos Narrow"/>
                <w:color w:val="000000" w:themeColor="text1"/>
              </w:rPr>
              <w:t>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7DA07143" w14:textId="59BDEB54" w:rsidR="3E8155F1" w:rsidRDefault="3E8155F1" w:rsidP="3E8155F1">
            <w:pPr>
              <w:spacing w:beforeAutospacing="1" w:afterAutospacing="1"/>
              <w:jc w:val="right"/>
              <w:rPr>
                <w:rFonts w:cs="Calibri"/>
                <w:color w:val="000000" w:themeColor="text1"/>
              </w:rPr>
            </w:pPr>
            <w:r w:rsidRPr="3E8155F1">
              <w:rPr>
                <w:rFonts w:cs="Calibri"/>
                <w:color w:val="000000" w:themeColor="text1"/>
              </w:rPr>
              <w:t>6</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45FF61E7" w14:textId="706EA42B" w:rsidR="3E8155F1" w:rsidRDefault="3E8155F1" w:rsidP="3E8155F1">
            <w:pPr>
              <w:spacing w:beforeAutospacing="1" w:afterAutospacing="1"/>
              <w:jc w:val="right"/>
              <w:rPr>
                <w:rFonts w:cs="Calibri"/>
                <w:color w:val="000000" w:themeColor="text1"/>
              </w:rPr>
            </w:pPr>
            <w:r w:rsidRPr="3E8155F1">
              <w:rPr>
                <w:rFonts w:cs="Calibri"/>
                <w:color w:val="000000" w:themeColor="text1"/>
              </w:rPr>
              <w:t>5</w:t>
            </w:r>
          </w:p>
        </w:tc>
        <w:tc>
          <w:tcPr>
            <w:tcW w:w="1841" w:type="dxa"/>
            <w:tcBorders>
              <w:top w:val="single" w:sz="6" w:space="0" w:color="auto"/>
              <w:left w:val="single" w:sz="6" w:space="0" w:color="auto"/>
              <w:bottom w:val="single" w:sz="6" w:space="0" w:color="auto"/>
              <w:right w:val="single" w:sz="6" w:space="0" w:color="auto"/>
            </w:tcBorders>
            <w:tcMar>
              <w:left w:w="105" w:type="dxa"/>
              <w:right w:w="105" w:type="dxa"/>
            </w:tcMar>
            <w:vAlign w:val="bottom"/>
          </w:tcPr>
          <w:p w14:paraId="5103A135" w14:textId="08EF32BA" w:rsidR="3E8155F1" w:rsidRDefault="3E8155F1" w:rsidP="3E8155F1">
            <w:pPr>
              <w:spacing w:beforeAutospacing="1" w:afterAutospacing="1"/>
              <w:jc w:val="right"/>
              <w:rPr>
                <w:rFonts w:cs="Calibri"/>
                <w:color w:val="000000" w:themeColor="text1"/>
              </w:rPr>
            </w:pPr>
            <w:r w:rsidRPr="3E8155F1">
              <w:rPr>
                <w:rFonts w:cs="Calibri"/>
                <w:color w:val="000000" w:themeColor="text1"/>
              </w:rPr>
              <w:t>28</w:t>
            </w:r>
          </w:p>
        </w:tc>
      </w:tr>
    </w:tbl>
    <w:p w14:paraId="3DB99926" w14:textId="77777777" w:rsidR="009B0FCC" w:rsidRDefault="009B0FCC" w:rsidP="009B0FCC">
      <w:pPr>
        <w:pStyle w:val="Caption"/>
        <w:jc w:val="center"/>
        <w:rPr>
          <w:rFonts w:ascii="Calibri" w:hAnsi="Calibri" w:cs="Calibri"/>
          <w:color w:val="000000" w:themeColor="text1"/>
        </w:rPr>
      </w:pPr>
      <w:r w:rsidRPr="497B8E2D">
        <w:rPr>
          <w:rFonts w:ascii="Calibri" w:hAnsi="Calibri" w:cs="Calibri"/>
          <w:color w:val="000000" w:themeColor="text1"/>
        </w:rPr>
        <w:t xml:space="preserve">Table 27 - Homeless Needs Assessment  </w:t>
      </w:r>
    </w:p>
    <w:p w14:paraId="143510B0" w14:textId="77777777" w:rsidR="009B0FCC" w:rsidRDefault="009B0FCC" w:rsidP="009B0FCC">
      <w:pPr>
        <w:rPr>
          <w:b/>
          <w:bCs/>
          <w:sz w:val="24"/>
          <w:szCs w:val="24"/>
        </w:rPr>
      </w:pPr>
    </w:p>
    <w:p w14:paraId="52CDE729" w14:textId="77777777" w:rsidR="009B0FCC" w:rsidRDefault="009B0FCC" w:rsidP="009B0FCC">
      <w:pPr>
        <w:spacing w:after="0"/>
        <w:rPr>
          <w:b/>
          <w:sz w:val="24"/>
          <w:szCs w:val="24"/>
        </w:rPr>
        <w:sectPr w:rsidR="009B0FCC" w:rsidSect="009B0FCC">
          <w:pgSz w:w="15840" w:h="12240" w:orient="landscape"/>
          <w:pgMar w:top="1440" w:right="1440" w:bottom="1440" w:left="1440" w:header="720" w:footer="720" w:gutter="0"/>
          <w:cols w:space="720"/>
        </w:sectPr>
      </w:pPr>
    </w:p>
    <w:p w14:paraId="4029E4B7" w14:textId="77777777" w:rsidR="009B0FCC" w:rsidRDefault="009B0FCC" w:rsidP="009B0FCC">
      <w:pPr>
        <w:keepNext/>
        <w:widowControl w:val="0"/>
        <w:rPr>
          <w:b/>
          <w:sz w:val="24"/>
          <w:szCs w:val="24"/>
        </w:rPr>
      </w:pPr>
      <w:r w:rsidRPr="497B8E2D">
        <w:rPr>
          <w:b/>
          <w:bCs/>
          <w:sz w:val="24"/>
          <w:szCs w:val="24"/>
        </w:rPr>
        <w:lastRenderedPageBreak/>
        <w:t>Nature and Extent of Homelessness: (Optional)</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925"/>
        <w:gridCol w:w="3105"/>
        <w:gridCol w:w="3180"/>
      </w:tblGrid>
      <w:tr w:rsidR="009B0FCC" w14:paraId="58FE6775"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22380BA3" w14:textId="77777777" w:rsidR="009B0FCC" w:rsidRDefault="009B0FCC" w:rsidP="00721F16">
            <w:pPr>
              <w:keepNext/>
              <w:widowControl w:val="0"/>
              <w:rPr>
                <w:rFonts w:cs="Calibri"/>
                <w:sz w:val="24"/>
                <w:szCs w:val="24"/>
              </w:rPr>
            </w:pPr>
            <w:r w:rsidRPr="497B8E2D">
              <w:rPr>
                <w:rFonts w:cs="Calibri"/>
                <w:b/>
                <w:bCs/>
                <w:sz w:val="24"/>
                <w:szCs w:val="24"/>
              </w:rPr>
              <w:t>Race:</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5B2326CF" w14:textId="77777777" w:rsidR="009B0FCC" w:rsidRDefault="009B0FCC" w:rsidP="00721F16">
            <w:pPr>
              <w:keepNext/>
              <w:widowControl w:val="0"/>
              <w:rPr>
                <w:rFonts w:cs="Calibri"/>
                <w:sz w:val="24"/>
                <w:szCs w:val="24"/>
              </w:rPr>
            </w:pPr>
            <w:r w:rsidRPr="497B8E2D">
              <w:rPr>
                <w:rFonts w:cs="Calibri"/>
                <w:b/>
                <w:bCs/>
                <w:sz w:val="24"/>
                <w:szCs w:val="24"/>
              </w:rPr>
              <w:t>Sheltered:</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6E94AEAF" w14:textId="77777777" w:rsidR="009B0FCC" w:rsidRDefault="009B0FCC" w:rsidP="00721F16">
            <w:pPr>
              <w:keepNext/>
              <w:widowControl w:val="0"/>
              <w:rPr>
                <w:rFonts w:cs="Calibri"/>
                <w:sz w:val="24"/>
                <w:szCs w:val="24"/>
              </w:rPr>
            </w:pPr>
            <w:r w:rsidRPr="497B8E2D">
              <w:rPr>
                <w:rFonts w:cs="Calibri"/>
                <w:b/>
                <w:bCs/>
                <w:sz w:val="24"/>
                <w:szCs w:val="24"/>
              </w:rPr>
              <w:t>Unsheltered (optional)</w:t>
            </w:r>
          </w:p>
        </w:tc>
      </w:tr>
      <w:tr w:rsidR="009B0FCC" w14:paraId="4BA93F34"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32D3E552" w14:textId="77777777" w:rsidR="009B0FCC" w:rsidRDefault="009B0FCC" w:rsidP="00721F16">
            <w:pPr>
              <w:spacing w:beforeAutospacing="1" w:afterAutospacing="1"/>
              <w:rPr>
                <w:rFonts w:cs="Calibri"/>
                <w:color w:val="000000" w:themeColor="text1"/>
                <w:sz w:val="22"/>
                <w:szCs w:val="22"/>
              </w:rPr>
            </w:pPr>
            <w:r w:rsidRPr="497B8E2D">
              <w:rPr>
                <w:rFonts w:cs="Calibri"/>
                <w:color w:val="000000" w:themeColor="text1"/>
                <w:sz w:val="22"/>
                <w:szCs w:val="22"/>
              </w:rPr>
              <w:t>White</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06115143" w14:textId="77777777" w:rsidR="009B0FCC" w:rsidRDefault="009B0FCC" w:rsidP="00721F16">
            <w:pPr>
              <w:jc w:val="right"/>
              <w:rPr>
                <w:rFonts w:cs="Calibri"/>
                <w:sz w:val="24"/>
                <w:szCs w:val="24"/>
              </w:rPr>
            </w:pPr>
            <w:r w:rsidRPr="497B8E2D">
              <w:rPr>
                <w:rFonts w:cs="Calibri"/>
                <w:sz w:val="24"/>
                <w:szCs w:val="24"/>
              </w:rPr>
              <w:t>518</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61671BFA" w14:textId="77777777" w:rsidR="009B0FCC" w:rsidRDefault="009B0FCC" w:rsidP="00721F16">
            <w:pPr>
              <w:jc w:val="right"/>
              <w:rPr>
                <w:rFonts w:cs="Calibri"/>
                <w:sz w:val="24"/>
                <w:szCs w:val="24"/>
              </w:rPr>
            </w:pPr>
            <w:r w:rsidRPr="497B8E2D">
              <w:rPr>
                <w:rFonts w:cs="Calibri"/>
                <w:sz w:val="24"/>
                <w:szCs w:val="24"/>
              </w:rPr>
              <w:t>777</w:t>
            </w:r>
          </w:p>
        </w:tc>
      </w:tr>
      <w:tr w:rsidR="009B0FCC" w14:paraId="79465504"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36EA919F" w14:textId="77777777" w:rsidR="009B0FCC" w:rsidRDefault="009B0FCC" w:rsidP="00721F16">
            <w:pPr>
              <w:spacing w:beforeAutospacing="1" w:afterAutospacing="1"/>
              <w:rPr>
                <w:rFonts w:cs="Calibri"/>
                <w:color w:val="000000" w:themeColor="text1"/>
                <w:sz w:val="22"/>
                <w:szCs w:val="22"/>
              </w:rPr>
            </w:pPr>
            <w:r w:rsidRPr="497B8E2D">
              <w:rPr>
                <w:rFonts w:cs="Calibri"/>
                <w:color w:val="000000" w:themeColor="text1"/>
                <w:sz w:val="22"/>
                <w:szCs w:val="22"/>
              </w:rPr>
              <w:t>Black or African American</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5FE15188" w14:textId="77777777" w:rsidR="009B0FCC" w:rsidRDefault="009B0FCC" w:rsidP="00721F16">
            <w:pPr>
              <w:keepNext/>
              <w:widowControl w:val="0"/>
              <w:jc w:val="right"/>
              <w:rPr>
                <w:rFonts w:cs="Calibri"/>
                <w:sz w:val="24"/>
                <w:szCs w:val="24"/>
              </w:rPr>
            </w:pPr>
            <w:r w:rsidRPr="497B8E2D">
              <w:rPr>
                <w:rFonts w:cs="Calibri"/>
                <w:sz w:val="24"/>
                <w:szCs w:val="24"/>
              </w:rPr>
              <w:t>16</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6201C744" w14:textId="77777777" w:rsidR="009B0FCC" w:rsidRDefault="009B0FCC" w:rsidP="00721F16">
            <w:pPr>
              <w:keepNext/>
              <w:widowControl w:val="0"/>
              <w:jc w:val="right"/>
              <w:rPr>
                <w:rFonts w:cs="Calibri"/>
                <w:sz w:val="24"/>
                <w:szCs w:val="24"/>
              </w:rPr>
            </w:pPr>
            <w:r w:rsidRPr="497B8E2D">
              <w:rPr>
                <w:rFonts w:cs="Calibri"/>
                <w:sz w:val="24"/>
                <w:szCs w:val="24"/>
              </w:rPr>
              <w:t>5</w:t>
            </w:r>
          </w:p>
        </w:tc>
      </w:tr>
      <w:tr w:rsidR="009B0FCC" w14:paraId="2DEB987D"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1A386813" w14:textId="77777777" w:rsidR="009B0FCC" w:rsidRDefault="009B0FCC" w:rsidP="00721F16">
            <w:pPr>
              <w:spacing w:beforeAutospacing="1" w:afterAutospacing="1"/>
              <w:rPr>
                <w:rFonts w:cs="Calibri"/>
                <w:color w:val="000000" w:themeColor="text1"/>
                <w:sz w:val="22"/>
                <w:szCs w:val="22"/>
              </w:rPr>
            </w:pPr>
            <w:r w:rsidRPr="497B8E2D">
              <w:rPr>
                <w:rFonts w:cs="Calibri"/>
                <w:color w:val="000000" w:themeColor="text1"/>
                <w:sz w:val="22"/>
                <w:szCs w:val="22"/>
              </w:rPr>
              <w:t>Asian</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00FD70DB" w14:textId="77777777" w:rsidR="009B0FCC" w:rsidRDefault="009B0FCC" w:rsidP="00721F16">
            <w:pPr>
              <w:jc w:val="right"/>
              <w:rPr>
                <w:rFonts w:cs="Calibri"/>
                <w:sz w:val="24"/>
                <w:szCs w:val="24"/>
              </w:rPr>
            </w:pPr>
            <w:r w:rsidRPr="497B8E2D">
              <w:rPr>
                <w:rFonts w:cs="Calibri"/>
                <w:sz w:val="24"/>
                <w:szCs w:val="24"/>
              </w:rPr>
              <w:t>2</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15DF2DC5" w14:textId="77777777" w:rsidR="009B0FCC" w:rsidRDefault="009B0FCC" w:rsidP="00721F16">
            <w:pPr>
              <w:jc w:val="right"/>
              <w:rPr>
                <w:rFonts w:cs="Calibri"/>
                <w:sz w:val="24"/>
                <w:szCs w:val="24"/>
              </w:rPr>
            </w:pPr>
            <w:r w:rsidRPr="497B8E2D">
              <w:rPr>
                <w:rFonts w:cs="Calibri"/>
                <w:sz w:val="24"/>
                <w:szCs w:val="24"/>
              </w:rPr>
              <w:t>1</w:t>
            </w:r>
          </w:p>
        </w:tc>
      </w:tr>
      <w:tr w:rsidR="009B0FCC" w14:paraId="2894D779"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4245C20C" w14:textId="77777777" w:rsidR="009B0FCC" w:rsidRDefault="009B0FCC" w:rsidP="00721F16">
            <w:pPr>
              <w:spacing w:beforeAutospacing="1" w:afterAutospacing="1"/>
              <w:rPr>
                <w:rFonts w:cs="Calibri"/>
                <w:color w:val="000000" w:themeColor="text1"/>
                <w:sz w:val="22"/>
                <w:szCs w:val="22"/>
              </w:rPr>
            </w:pPr>
            <w:r w:rsidRPr="497B8E2D">
              <w:rPr>
                <w:rFonts w:cs="Calibri"/>
                <w:color w:val="000000" w:themeColor="text1"/>
                <w:sz w:val="22"/>
                <w:szCs w:val="22"/>
              </w:rPr>
              <w:t>American Indian or Alaska Native</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09322542" w14:textId="77777777" w:rsidR="009B0FCC" w:rsidRDefault="009B0FCC" w:rsidP="00721F16">
            <w:pPr>
              <w:jc w:val="right"/>
              <w:rPr>
                <w:rFonts w:cs="Calibri"/>
                <w:sz w:val="24"/>
                <w:szCs w:val="24"/>
              </w:rPr>
            </w:pPr>
            <w:r w:rsidRPr="497B8E2D">
              <w:rPr>
                <w:rFonts w:cs="Calibri"/>
                <w:sz w:val="24"/>
                <w:szCs w:val="24"/>
              </w:rPr>
              <w:t>28</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63CC1D81" w14:textId="77777777" w:rsidR="009B0FCC" w:rsidRDefault="009B0FCC" w:rsidP="00721F16">
            <w:pPr>
              <w:jc w:val="right"/>
              <w:rPr>
                <w:rFonts w:cs="Calibri"/>
                <w:sz w:val="24"/>
                <w:szCs w:val="24"/>
              </w:rPr>
            </w:pPr>
            <w:r w:rsidRPr="497B8E2D">
              <w:rPr>
                <w:rFonts w:cs="Calibri"/>
                <w:sz w:val="24"/>
                <w:szCs w:val="24"/>
              </w:rPr>
              <w:t>111</w:t>
            </w:r>
          </w:p>
        </w:tc>
      </w:tr>
      <w:tr w:rsidR="009B0FCC" w14:paraId="428F48FA"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711B0F3A" w14:textId="77777777" w:rsidR="009B0FCC" w:rsidRDefault="009B0FCC" w:rsidP="00721F16">
            <w:pPr>
              <w:spacing w:beforeAutospacing="1" w:afterAutospacing="1"/>
              <w:rPr>
                <w:rFonts w:cs="Calibri"/>
                <w:color w:val="000000" w:themeColor="text1"/>
                <w:sz w:val="22"/>
                <w:szCs w:val="22"/>
              </w:rPr>
            </w:pPr>
            <w:r w:rsidRPr="497B8E2D">
              <w:rPr>
                <w:rFonts w:cs="Calibri"/>
                <w:color w:val="000000" w:themeColor="text1"/>
                <w:sz w:val="22"/>
                <w:szCs w:val="22"/>
              </w:rPr>
              <w:t>Native Hawaiian or Other Pacific Islander</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36240ED8" w14:textId="77777777" w:rsidR="009B0FCC" w:rsidRDefault="009B0FCC" w:rsidP="00721F16">
            <w:pPr>
              <w:jc w:val="right"/>
              <w:rPr>
                <w:rFonts w:cs="Calibri"/>
                <w:sz w:val="24"/>
                <w:szCs w:val="24"/>
              </w:rPr>
            </w:pPr>
            <w:r w:rsidRPr="497B8E2D">
              <w:rPr>
                <w:rFonts w:cs="Calibri"/>
                <w:sz w:val="24"/>
                <w:szCs w:val="24"/>
              </w:rPr>
              <w:t>16</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205A482A" w14:textId="77777777" w:rsidR="009B0FCC" w:rsidRDefault="009B0FCC" w:rsidP="00721F16">
            <w:pPr>
              <w:jc w:val="right"/>
              <w:rPr>
                <w:rFonts w:cs="Calibri"/>
                <w:sz w:val="24"/>
                <w:szCs w:val="24"/>
              </w:rPr>
            </w:pPr>
            <w:r w:rsidRPr="497B8E2D">
              <w:rPr>
                <w:rFonts w:cs="Calibri"/>
                <w:sz w:val="24"/>
                <w:szCs w:val="24"/>
              </w:rPr>
              <w:t>1</w:t>
            </w:r>
          </w:p>
        </w:tc>
      </w:tr>
      <w:tr w:rsidR="009B0FCC" w14:paraId="3A6909D0"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0DEF70DF" w14:textId="77777777" w:rsidR="009B0FCC" w:rsidRDefault="009B0FCC" w:rsidP="00721F16">
            <w:pPr>
              <w:rPr>
                <w:rFonts w:cs="Calibri"/>
                <w:color w:val="000000" w:themeColor="text1"/>
                <w:sz w:val="22"/>
                <w:szCs w:val="22"/>
              </w:rPr>
            </w:pPr>
            <w:r w:rsidRPr="497B8E2D">
              <w:rPr>
                <w:rFonts w:cs="Calibri"/>
                <w:color w:val="000000" w:themeColor="text1"/>
                <w:sz w:val="22"/>
                <w:szCs w:val="22"/>
              </w:rPr>
              <w:t>Multiple Races</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35C9CA84" w14:textId="77777777" w:rsidR="009B0FCC" w:rsidRDefault="009B0FCC" w:rsidP="00721F16">
            <w:pPr>
              <w:jc w:val="right"/>
              <w:rPr>
                <w:rFonts w:cs="Calibri"/>
                <w:sz w:val="24"/>
                <w:szCs w:val="24"/>
              </w:rPr>
            </w:pPr>
            <w:r w:rsidRPr="497B8E2D">
              <w:rPr>
                <w:rFonts w:cs="Calibri"/>
                <w:sz w:val="24"/>
                <w:szCs w:val="24"/>
              </w:rPr>
              <w:t>88</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196B09F0" w14:textId="77777777" w:rsidR="009B0FCC" w:rsidRDefault="009B0FCC" w:rsidP="00721F16">
            <w:pPr>
              <w:jc w:val="right"/>
              <w:rPr>
                <w:rFonts w:cs="Calibri"/>
                <w:sz w:val="24"/>
                <w:szCs w:val="24"/>
              </w:rPr>
            </w:pPr>
            <w:r w:rsidRPr="497B8E2D">
              <w:rPr>
                <w:rFonts w:cs="Calibri"/>
                <w:sz w:val="24"/>
                <w:szCs w:val="24"/>
              </w:rPr>
              <w:t>48</w:t>
            </w:r>
          </w:p>
        </w:tc>
      </w:tr>
      <w:tr w:rsidR="009B0FCC" w14:paraId="4BF2FA44"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6AAA514B" w14:textId="77777777" w:rsidR="009B0FCC" w:rsidRDefault="009B0FCC" w:rsidP="00721F16">
            <w:pPr>
              <w:keepNext/>
              <w:widowControl w:val="0"/>
              <w:rPr>
                <w:rFonts w:cs="Calibri"/>
                <w:color w:val="000000" w:themeColor="text1"/>
                <w:sz w:val="24"/>
                <w:szCs w:val="24"/>
              </w:rPr>
            </w:pPr>
            <w:r w:rsidRPr="497B8E2D">
              <w:rPr>
                <w:rFonts w:cs="Calibri"/>
                <w:b/>
                <w:bCs/>
                <w:color w:val="000000" w:themeColor="text1"/>
                <w:sz w:val="24"/>
                <w:szCs w:val="24"/>
              </w:rPr>
              <w:t>Ethnicity:</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22FD9732" w14:textId="77777777" w:rsidR="009B0FCC" w:rsidRDefault="009B0FCC" w:rsidP="00721F16">
            <w:pPr>
              <w:keepNext/>
              <w:widowControl w:val="0"/>
              <w:rPr>
                <w:rFonts w:cs="Calibri"/>
                <w:color w:val="000000" w:themeColor="text1"/>
                <w:sz w:val="24"/>
                <w:szCs w:val="24"/>
              </w:rPr>
            </w:pPr>
            <w:r w:rsidRPr="497B8E2D">
              <w:rPr>
                <w:rFonts w:cs="Calibri"/>
                <w:b/>
                <w:bCs/>
                <w:color w:val="000000" w:themeColor="text1"/>
                <w:sz w:val="24"/>
                <w:szCs w:val="24"/>
              </w:rPr>
              <w:t>Sheltered:</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759E10AF" w14:textId="77777777" w:rsidR="009B0FCC" w:rsidRDefault="009B0FCC" w:rsidP="00721F16">
            <w:pPr>
              <w:keepNext/>
              <w:widowControl w:val="0"/>
              <w:rPr>
                <w:rFonts w:cs="Calibri"/>
                <w:color w:val="000000" w:themeColor="text1"/>
                <w:sz w:val="24"/>
                <w:szCs w:val="24"/>
              </w:rPr>
            </w:pPr>
            <w:r w:rsidRPr="497B8E2D">
              <w:rPr>
                <w:rFonts w:cs="Calibri"/>
                <w:b/>
                <w:bCs/>
                <w:color w:val="000000" w:themeColor="text1"/>
                <w:sz w:val="24"/>
                <w:szCs w:val="24"/>
              </w:rPr>
              <w:t>Unsheltered (optional)</w:t>
            </w:r>
          </w:p>
        </w:tc>
      </w:tr>
      <w:tr w:rsidR="009B0FCC" w14:paraId="530035C8"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4377E3BC" w14:textId="77777777" w:rsidR="009B0FCC" w:rsidRDefault="009B0FCC" w:rsidP="00721F16">
            <w:pPr>
              <w:spacing w:beforeAutospacing="1" w:afterAutospacing="1"/>
              <w:rPr>
                <w:rFonts w:cs="Calibri"/>
                <w:color w:val="000000" w:themeColor="text1"/>
                <w:sz w:val="22"/>
                <w:szCs w:val="22"/>
              </w:rPr>
            </w:pPr>
            <w:r w:rsidRPr="497B8E2D">
              <w:rPr>
                <w:rFonts w:cs="Calibri"/>
                <w:color w:val="000000" w:themeColor="text1"/>
                <w:sz w:val="22"/>
                <w:szCs w:val="22"/>
              </w:rPr>
              <w:t>Hispanic</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696885C0" w14:textId="77777777" w:rsidR="009B0FCC" w:rsidRDefault="009B0FCC" w:rsidP="00721F16">
            <w:pPr>
              <w:spacing w:beforeAutospacing="1" w:afterAutospacing="1"/>
              <w:jc w:val="right"/>
              <w:rPr>
                <w:rFonts w:cs="Calibri"/>
                <w:color w:val="000000" w:themeColor="text1"/>
                <w:sz w:val="22"/>
                <w:szCs w:val="22"/>
              </w:rPr>
            </w:pPr>
            <w:r w:rsidRPr="497B8E2D">
              <w:rPr>
                <w:rFonts w:cs="Calibri"/>
                <w:color w:val="000000" w:themeColor="text1"/>
                <w:sz w:val="22"/>
                <w:szCs w:val="22"/>
              </w:rPr>
              <w:t>202</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69E00A83" w14:textId="77777777" w:rsidR="009B0FCC" w:rsidRDefault="009B0FCC" w:rsidP="00721F16">
            <w:pPr>
              <w:spacing w:beforeAutospacing="1" w:afterAutospacing="1"/>
              <w:jc w:val="right"/>
              <w:rPr>
                <w:rFonts w:cs="Calibri"/>
                <w:color w:val="000000" w:themeColor="text1"/>
                <w:sz w:val="22"/>
                <w:szCs w:val="22"/>
              </w:rPr>
            </w:pPr>
            <w:r w:rsidRPr="497B8E2D">
              <w:rPr>
                <w:rFonts w:cs="Calibri"/>
                <w:color w:val="000000" w:themeColor="text1"/>
                <w:sz w:val="22"/>
                <w:szCs w:val="22"/>
              </w:rPr>
              <w:t>211</w:t>
            </w:r>
          </w:p>
        </w:tc>
      </w:tr>
      <w:tr w:rsidR="009B0FCC" w14:paraId="0E35026E" w14:textId="77777777" w:rsidTr="00721F16">
        <w:trPr>
          <w:trHeight w:val="300"/>
        </w:trPr>
        <w:tc>
          <w:tcPr>
            <w:tcW w:w="2925" w:type="dxa"/>
            <w:tcBorders>
              <w:top w:val="single" w:sz="6" w:space="0" w:color="auto"/>
              <w:left w:val="single" w:sz="6" w:space="0" w:color="auto"/>
              <w:bottom w:val="single" w:sz="6" w:space="0" w:color="auto"/>
              <w:right w:val="single" w:sz="6" w:space="0" w:color="auto"/>
            </w:tcBorders>
            <w:tcMar>
              <w:left w:w="90" w:type="dxa"/>
              <w:right w:w="90" w:type="dxa"/>
            </w:tcMar>
          </w:tcPr>
          <w:p w14:paraId="4A1C0C9A" w14:textId="77777777" w:rsidR="009B0FCC" w:rsidRDefault="009B0FCC" w:rsidP="00721F16">
            <w:pPr>
              <w:spacing w:beforeAutospacing="1" w:afterAutospacing="1"/>
              <w:rPr>
                <w:rFonts w:cs="Calibri"/>
                <w:color w:val="000000" w:themeColor="text1"/>
                <w:sz w:val="22"/>
                <w:szCs w:val="22"/>
              </w:rPr>
            </w:pPr>
            <w:r w:rsidRPr="497B8E2D">
              <w:rPr>
                <w:rFonts w:cs="Calibri"/>
                <w:color w:val="000000" w:themeColor="text1"/>
                <w:sz w:val="22"/>
                <w:szCs w:val="22"/>
              </w:rPr>
              <w:t>Not Hispanic</w:t>
            </w:r>
          </w:p>
        </w:tc>
        <w:tc>
          <w:tcPr>
            <w:tcW w:w="3105" w:type="dxa"/>
            <w:tcBorders>
              <w:top w:val="single" w:sz="6" w:space="0" w:color="auto"/>
              <w:left w:val="single" w:sz="6" w:space="0" w:color="auto"/>
              <w:bottom w:val="single" w:sz="6" w:space="0" w:color="auto"/>
              <w:right w:val="single" w:sz="6" w:space="0" w:color="auto"/>
            </w:tcBorders>
            <w:tcMar>
              <w:left w:w="90" w:type="dxa"/>
              <w:right w:w="90" w:type="dxa"/>
            </w:tcMar>
          </w:tcPr>
          <w:p w14:paraId="311C4CB5" w14:textId="77777777" w:rsidR="009B0FCC" w:rsidRDefault="009B0FCC" w:rsidP="00721F16">
            <w:pPr>
              <w:spacing w:beforeAutospacing="1" w:afterAutospacing="1"/>
              <w:jc w:val="right"/>
              <w:rPr>
                <w:rFonts w:cs="Calibri"/>
                <w:color w:val="000000" w:themeColor="text1"/>
                <w:sz w:val="22"/>
                <w:szCs w:val="22"/>
              </w:rPr>
            </w:pPr>
            <w:r w:rsidRPr="497B8E2D">
              <w:rPr>
                <w:rFonts w:cs="Calibri"/>
                <w:color w:val="000000" w:themeColor="text1"/>
                <w:sz w:val="22"/>
                <w:szCs w:val="22"/>
              </w:rPr>
              <w:t>466</w:t>
            </w:r>
          </w:p>
        </w:tc>
        <w:tc>
          <w:tcPr>
            <w:tcW w:w="3180" w:type="dxa"/>
            <w:tcBorders>
              <w:top w:val="single" w:sz="6" w:space="0" w:color="auto"/>
              <w:left w:val="single" w:sz="6" w:space="0" w:color="auto"/>
              <w:bottom w:val="single" w:sz="6" w:space="0" w:color="auto"/>
              <w:right w:val="single" w:sz="6" w:space="0" w:color="auto"/>
            </w:tcBorders>
            <w:tcMar>
              <w:left w:w="90" w:type="dxa"/>
              <w:right w:w="90" w:type="dxa"/>
            </w:tcMar>
          </w:tcPr>
          <w:p w14:paraId="25B790A6" w14:textId="77777777" w:rsidR="009B0FCC" w:rsidRDefault="009B0FCC" w:rsidP="00721F16">
            <w:pPr>
              <w:spacing w:beforeAutospacing="1" w:afterAutospacing="1"/>
              <w:jc w:val="right"/>
              <w:rPr>
                <w:rFonts w:cs="Calibri"/>
                <w:color w:val="000000" w:themeColor="text1"/>
                <w:sz w:val="22"/>
                <w:szCs w:val="22"/>
              </w:rPr>
            </w:pPr>
            <w:r w:rsidRPr="497B8E2D">
              <w:rPr>
                <w:rFonts w:cs="Calibri"/>
                <w:color w:val="000000" w:themeColor="text1"/>
                <w:sz w:val="22"/>
                <w:szCs w:val="22"/>
              </w:rPr>
              <w:t>732</w:t>
            </w:r>
          </w:p>
        </w:tc>
      </w:tr>
    </w:tbl>
    <w:p w14:paraId="22AAEC70" w14:textId="77777777" w:rsidR="009B0FCC" w:rsidRDefault="009B0FCC" w:rsidP="009B0FCC">
      <w:pPr>
        <w:keepNext/>
        <w:widowControl w:val="0"/>
        <w:spacing w:after="0" w:line="240" w:lineRule="auto"/>
        <w:jc w:val="center"/>
        <w:rPr>
          <w:rFonts w:cs="Calibri"/>
          <w:color w:val="000000" w:themeColor="text1"/>
          <w:sz w:val="20"/>
          <w:szCs w:val="20"/>
        </w:rPr>
      </w:pPr>
    </w:p>
    <w:p w14:paraId="123D3A30" w14:textId="77777777" w:rsidR="009B0FCC" w:rsidRDefault="009B0FCC" w:rsidP="009B0FCC">
      <w:pPr>
        <w:spacing w:after="0" w:line="240" w:lineRule="auto"/>
        <w:rPr>
          <w:b/>
          <w:bCs/>
          <w:sz w:val="16"/>
          <w:szCs w:val="16"/>
        </w:rPr>
      </w:pPr>
    </w:p>
    <w:p w14:paraId="51EE1170" w14:textId="77777777" w:rsidR="009B0FCC" w:rsidRDefault="009B0FCC" w:rsidP="009B0FCC">
      <w:pPr>
        <w:rPr>
          <w:b/>
          <w:bCs/>
          <w:sz w:val="24"/>
          <w:szCs w:val="24"/>
        </w:rPr>
      </w:pPr>
      <w:r w:rsidRPr="497B8E2D">
        <w:rPr>
          <w:b/>
          <w:bCs/>
          <w:sz w:val="24"/>
          <w:szCs w:val="24"/>
        </w:rPr>
        <w:t>Estimate the number and type of families in need of housing assistance for families with children and the families of veterans.</w:t>
      </w:r>
    </w:p>
    <w:p w14:paraId="113F4C2B" w14:textId="63BF46CE" w:rsidR="00E77981" w:rsidRPr="000312CD" w:rsidRDefault="00E77981" w:rsidP="00C83593">
      <w:pPr>
        <w:jc w:val="both"/>
        <w:rPr>
          <w:rFonts w:cs="Calibri"/>
          <w:color w:val="000000" w:themeColor="text1"/>
          <w:sz w:val="24"/>
          <w:szCs w:val="24"/>
        </w:rPr>
      </w:pPr>
      <w:r w:rsidRPr="000312CD">
        <w:rPr>
          <w:rFonts w:cs="Calibri"/>
          <w:color w:val="000000" w:themeColor="text1"/>
          <w:sz w:val="24"/>
          <w:szCs w:val="24"/>
        </w:rPr>
        <w:t xml:space="preserve">Of the </w:t>
      </w:r>
      <w:r w:rsidR="17B83366" w:rsidRPr="000312CD">
        <w:rPr>
          <w:rFonts w:cs="Calibri"/>
          <w:color w:val="000000" w:themeColor="text1"/>
          <w:sz w:val="24"/>
          <w:szCs w:val="24"/>
        </w:rPr>
        <w:t>fifteen (15)</w:t>
      </w:r>
      <w:r w:rsidRPr="000312CD">
        <w:rPr>
          <w:rFonts w:cs="Calibri"/>
          <w:color w:val="000000" w:themeColor="text1"/>
          <w:sz w:val="24"/>
          <w:szCs w:val="24"/>
        </w:rPr>
        <w:t xml:space="preserve"> chronically homeless families with children, more than half (55%) were unsheltered. Of </w:t>
      </w:r>
      <w:r w:rsidRPr="000312CD">
        <w:rPr>
          <w:rFonts w:cs="Calibri"/>
          <w:i/>
          <w:iCs/>
          <w:color w:val="000000" w:themeColor="text1"/>
          <w:sz w:val="24"/>
          <w:szCs w:val="24"/>
        </w:rPr>
        <w:t>all</w:t>
      </w:r>
      <w:r w:rsidRPr="000312CD">
        <w:rPr>
          <w:rFonts w:cs="Calibri"/>
          <w:color w:val="000000" w:themeColor="text1"/>
          <w:sz w:val="24"/>
          <w:szCs w:val="24"/>
        </w:rPr>
        <w:t xml:space="preserve"> homeless households with children, 51% were unsheltered. Those families that are not chronically homeless are more likely to be sheltered. Of the 734 persons in households with adults and children, 47% were unsheltered. Of the 38 persons in chronically homeless households with adults and children, nearly 61% were unsheltered. </w:t>
      </w:r>
    </w:p>
    <w:p w14:paraId="4459C2D2" w14:textId="77777777" w:rsidR="00E77981" w:rsidRPr="000312CD" w:rsidRDefault="00E77981" w:rsidP="00C83593">
      <w:pPr>
        <w:jc w:val="both"/>
        <w:rPr>
          <w:rFonts w:cs="Calibri"/>
          <w:color w:val="000000" w:themeColor="text1"/>
          <w:sz w:val="24"/>
          <w:szCs w:val="24"/>
        </w:rPr>
      </w:pPr>
      <w:r w:rsidRPr="787E070B">
        <w:rPr>
          <w:rFonts w:cs="Calibri"/>
          <w:color w:val="000000" w:themeColor="text1"/>
          <w:sz w:val="24"/>
          <w:szCs w:val="24"/>
        </w:rPr>
        <w:t>There were approximately 73 veterans experiencing homelessness on a single night. Most veterans, nearly 70%, were unsheltered. </w:t>
      </w:r>
    </w:p>
    <w:p w14:paraId="631EC5F3" w14:textId="77777777" w:rsidR="009B0FCC" w:rsidRPr="000312CD" w:rsidRDefault="009B0FCC" w:rsidP="009B0FCC">
      <w:pPr>
        <w:rPr>
          <w:b/>
          <w:sz w:val="24"/>
          <w:szCs w:val="24"/>
        </w:rPr>
      </w:pPr>
      <w:r w:rsidRPr="000312CD">
        <w:rPr>
          <w:b/>
          <w:bCs/>
          <w:sz w:val="24"/>
          <w:szCs w:val="24"/>
        </w:rPr>
        <w:t>Describe the Nature and Extent of Homelessness by Racial and Ethnic Group.</w:t>
      </w:r>
    </w:p>
    <w:p w14:paraId="0B096E59" w14:textId="5A10D9AA" w:rsidR="00E77981" w:rsidRPr="000312CD" w:rsidRDefault="00E77981" w:rsidP="00C83593">
      <w:pPr>
        <w:spacing w:beforeAutospacing="1" w:afterAutospacing="1"/>
        <w:jc w:val="both"/>
        <w:rPr>
          <w:rFonts w:cs="Calibri"/>
          <w:color w:val="000000" w:themeColor="text1"/>
          <w:sz w:val="24"/>
          <w:szCs w:val="24"/>
        </w:rPr>
      </w:pPr>
      <w:proofErr w:type="gramStart"/>
      <w:r w:rsidRPr="787E070B">
        <w:rPr>
          <w:rFonts w:cs="Calibri"/>
          <w:color w:val="000000" w:themeColor="text1"/>
          <w:sz w:val="24"/>
          <w:szCs w:val="24"/>
        </w:rPr>
        <w:t>The majority of</w:t>
      </w:r>
      <w:proofErr w:type="gramEnd"/>
      <w:r w:rsidRPr="787E070B">
        <w:rPr>
          <w:rFonts w:cs="Calibri"/>
          <w:color w:val="000000" w:themeColor="text1"/>
          <w:sz w:val="24"/>
          <w:szCs w:val="24"/>
        </w:rPr>
        <w:t xml:space="preserve"> individuals and families experiencing homelessness are White (~80%), which is reflective of Idaho’s demographic makeup. The American Indian or Alaskan Native population experience homelessness at the second highest rate (9%). The American Indian or Alaskan Native population experiences unsheltered homelessness at a higher rate </w:t>
      </w:r>
      <w:r w:rsidR="3066A69E" w:rsidRPr="098FA5AC">
        <w:rPr>
          <w:rFonts w:cs="Calibri"/>
          <w:color w:val="000000" w:themeColor="text1"/>
          <w:sz w:val="24"/>
          <w:szCs w:val="24"/>
        </w:rPr>
        <w:t>than other populations</w:t>
      </w:r>
      <w:r w:rsidR="00606EAF">
        <w:rPr>
          <w:rFonts w:cs="Calibri"/>
          <w:color w:val="000000" w:themeColor="text1"/>
          <w:sz w:val="24"/>
          <w:szCs w:val="24"/>
        </w:rPr>
        <w:t xml:space="preserve"> – 71.9% of the American Indian or Alaska Native population experienced unsheltered homelessness compared to 46% of the overall population. </w:t>
      </w:r>
    </w:p>
    <w:p w14:paraId="76F1FBC6" w14:textId="77777777" w:rsidR="009B0FCC" w:rsidRPr="000312CD" w:rsidRDefault="009B0FCC" w:rsidP="009B0FCC">
      <w:pPr>
        <w:rPr>
          <w:b/>
          <w:sz w:val="24"/>
          <w:szCs w:val="24"/>
        </w:rPr>
      </w:pPr>
      <w:r w:rsidRPr="000312CD">
        <w:rPr>
          <w:b/>
          <w:sz w:val="24"/>
          <w:szCs w:val="24"/>
        </w:rPr>
        <w:lastRenderedPageBreak/>
        <w:t>Describe the Nature and Extent of Unsheltered and Sheltered Homelessness.</w:t>
      </w:r>
    </w:p>
    <w:p w14:paraId="4D449F6B" w14:textId="77777777" w:rsidR="00E77981" w:rsidRPr="000312CD" w:rsidRDefault="00E77981" w:rsidP="00C83593">
      <w:pPr>
        <w:spacing w:beforeAutospacing="1" w:afterAutospacing="1"/>
        <w:jc w:val="both"/>
        <w:rPr>
          <w:rFonts w:cs="Calibri"/>
          <w:sz w:val="24"/>
          <w:szCs w:val="24"/>
        </w:rPr>
      </w:pPr>
      <w:r w:rsidRPr="000312CD">
        <w:rPr>
          <w:rFonts w:cs="Calibri"/>
          <w:color w:val="000000" w:themeColor="text1"/>
          <w:sz w:val="24"/>
          <w:szCs w:val="24"/>
        </w:rPr>
        <w:t>The Point in Time count summary for January 25, 2023, indicated that</w:t>
      </w:r>
      <w:r w:rsidRPr="000312CD">
        <w:rPr>
          <w:rFonts w:cs="Calibri"/>
          <w:sz w:val="24"/>
          <w:szCs w:val="24"/>
        </w:rPr>
        <w:t xml:space="preserve"> </w:t>
      </w:r>
      <w:r w:rsidRPr="000312CD">
        <w:rPr>
          <w:rFonts w:cs="Calibri"/>
          <w:color w:val="000000" w:themeColor="text1"/>
          <w:sz w:val="24"/>
          <w:szCs w:val="24"/>
        </w:rPr>
        <w:t xml:space="preserve">58.5% of all persons experiencing homelessness are unsheltered, while 80% of all American Indian or Alaska Native persons experiencing homelessness are in an unsheltered situation. </w:t>
      </w:r>
      <w:r w:rsidRPr="000312CD">
        <w:rPr>
          <w:rFonts w:cs="Calibri"/>
          <w:sz w:val="24"/>
          <w:szCs w:val="24"/>
        </w:rPr>
        <w:t xml:space="preserve">Of the 943 individuals that were unsheltered, 191 (20%) were children under the age of 18. </w:t>
      </w:r>
    </w:p>
    <w:p w14:paraId="3C54C361" w14:textId="77777777" w:rsidR="009B0FCC" w:rsidRPr="000312CD" w:rsidRDefault="009B0FCC" w:rsidP="00C83593">
      <w:pPr>
        <w:spacing w:line="204" w:lineRule="auto"/>
        <w:jc w:val="both"/>
        <w:rPr>
          <w:b/>
          <w:sz w:val="24"/>
          <w:szCs w:val="24"/>
        </w:rPr>
      </w:pPr>
      <w:r w:rsidRPr="000312CD">
        <w:rPr>
          <w:b/>
          <w:sz w:val="24"/>
          <w:szCs w:val="24"/>
        </w:rPr>
        <w:t>Discussion:</w:t>
      </w:r>
    </w:p>
    <w:p w14:paraId="224A01FE" w14:textId="601E9024" w:rsidR="00E77981" w:rsidRPr="000312CD" w:rsidRDefault="77961653" w:rsidP="00C83593">
      <w:pPr>
        <w:spacing w:beforeAutospacing="1" w:afterAutospacing="1"/>
        <w:jc w:val="both"/>
        <w:rPr>
          <w:rFonts w:cs="Calibri"/>
          <w:sz w:val="24"/>
          <w:szCs w:val="24"/>
        </w:rPr>
      </w:pPr>
      <w:r w:rsidRPr="000312CD">
        <w:rPr>
          <w:rFonts w:cs="Calibri"/>
          <w:color w:val="000000" w:themeColor="text1"/>
          <w:sz w:val="24"/>
          <w:szCs w:val="24"/>
        </w:rPr>
        <w:t xml:space="preserve">Based on the Point </w:t>
      </w:r>
      <w:r w:rsidR="1CAF5647" w:rsidRPr="098FA5AC">
        <w:rPr>
          <w:rFonts w:cs="Calibri"/>
          <w:color w:val="000000" w:themeColor="text1"/>
          <w:sz w:val="24"/>
          <w:szCs w:val="24"/>
        </w:rPr>
        <w:t>i</w:t>
      </w:r>
      <w:r w:rsidR="60C408AD" w:rsidRPr="098FA5AC">
        <w:rPr>
          <w:rFonts w:cs="Calibri"/>
          <w:color w:val="000000" w:themeColor="text1"/>
          <w:sz w:val="24"/>
          <w:szCs w:val="24"/>
        </w:rPr>
        <w:t>n</w:t>
      </w:r>
      <w:r w:rsidRPr="000312CD">
        <w:rPr>
          <w:rFonts w:cs="Calibri"/>
          <w:color w:val="000000" w:themeColor="text1"/>
          <w:sz w:val="24"/>
          <w:szCs w:val="24"/>
        </w:rPr>
        <w:t xml:space="preserve"> Time Count data, h</w:t>
      </w:r>
      <w:r w:rsidR="00E77981" w:rsidRPr="000312CD">
        <w:rPr>
          <w:rFonts w:cs="Calibri"/>
          <w:color w:val="000000" w:themeColor="text1"/>
          <w:sz w:val="24"/>
          <w:szCs w:val="24"/>
        </w:rPr>
        <w:t>omelessness in the Idaho Balance of State CoC has shown an increase of 28% over the past 5 years (2018- 2023) including an increase in unsheltered homelessness by nearly 57%. This is happening despite the increased number of individuals utilizing emergency shelters, which rose by more than 22% in the same period. Affordable housing is the biggest barrier to achieving stability.</w:t>
      </w:r>
    </w:p>
    <w:p w14:paraId="2CE6835B" w14:textId="77777777" w:rsidR="00E77981" w:rsidRDefault="00E77981" w:rsidP="009B0FCC">
      <w:pPr>
        <w:spacing w:line="204" w:lineRule="auto"/>
        <w:rPr>
          <w:b/>
          <w:sz w:val="24"/>
          <w:szCs w:val="24"/>
        </w:rPr>
      </w:pPr>
    </w:p>
    <w:p w14:paraId="1AD8422C" w14:textId="77777777" w:rsidR="009B0FCC" w:rsidRDefault="009B0FCC" w:rsidP="009B0FCC">
      <w:pPr>
        <w:pStyle w:val="Heading2"/>
        <w:pageBreakBefore/>
        <w:rPr>
          <w:rFonts w:ascii="Calibri" w:hAnsi="Calibri"/>
          <w:i/>
          <w:iCs/>
        </w:rPr>
      </w:pPr>
      <w:bookmarkStart w:id="26" w:name="_Toc194673843"/>
      <w:r w:rsidRPr="497B8E2D">
        <w:rPr>
          <w:rFonts w:ascii="Calibri" w:hAnsi="Calibri"/>
        </w:rPr>
        <w:lastRenderedPageBreak/>
        <w:t>NA-45 Non-Homeless Special Needs Assessment – 91.305 (</w:t>
      </w:r>
      <w:proofErr w:type="spellStart"/>
      <w:proofErr w:type="gramStart"/>
      <w:r w:rsidRPr="497B8E2D">
        <w:rPr>
          <w:rFonts w:ascii="Calibri" w:hAnsi="Calibri"/>
        </w:rPr>
        <w:t>b,d</w:t>
      </w:r>
      <w:proofErr w:type="spellEnd"/>
      <w:proofErr w:type="gramEnd"/>
      <w:r w:rsidRPr="497B8E2D">
        <w:rPr>
          <w:rFonts w:ascii="Calibri" w:hAnsi="Calibri"/>
        </w:rPr>
        <w:t>)</w:t>
      </w:r>
      <w:bookmarkEnd w:id="26"/>
    </w:p>
    <w:p w14:paraId="756F54F8" w14:textId="77777777" w:rsidR="009B0FCC" w:rsidRPr="00B67668" w:rsidRDefault="009B0FCC" w:rsidP="00C83593">
      <w:pPr>
        <w:jc w:val="both"/>
        <w:rPr>
          <w:b/>
          <w:sz w:val="24"/>
          <w:szCs w:val="24"/>
        </w:rPr>
      </w:pPr>
      <w:r w:rsidRPr="00B67668">
        <w:rPr>
          <w:b/>
          <w:sz w:val="24"/>
          <w:szCs w:val="24"/>
        </w:rPr>
        <w:t>Introduction</w:t>
      </w:r>
    </w:p>
    <w:p w14:paraId="4B1B96C5" w14:textId="6C9704DE" w:rsidR="009B0FCC" w:rsidRPr="00C83593" w:rsidRDefault="009B0FCC" w:rsidP="00C83593">
      <w:pPr>
        <w:keepNext/>
        <w:widowControl w:val="0"/>
        <w:spacing w:after="0"/>
        <w:jc w:val="both"/>
        <w:rPr>
          <w:b/>
          <w:vanish/>
          <w:sz w:val="24"/>
          <w:szCs w:val="24"/>
        </w:rPr>
      </w:pPr>
    </w:p>
    <w:p w14:paraId="029780C1" w14:textId="731665C1" w:rsidR="009B0FCC" w:rsidRPr="00C83593" w:rsidRDefault="3611BBEB" w:rsidP="00C83593">
      <w:pPr>
        <w:keepNext/>
        <w:widowControl w:val="0"/>
        <w:spacing w:after="0"/>
        <w:jc w:val="both"/>
        <w:rPr>
          <w:b/>
          <w:bCs/>
          <w:vanish/>
          <w:sz w:val="24"/>
          <w:szCs w:val="24"/>
        </w:rPr>
      </w:pPr>
      <w:r w:rsidRPr="00C83593">
        <w:rPr>
          <w:rFonts w:cs="Calibri"/>
          <w:color w:val="000000" w:themeColor="text1"/>
          <w:sz w:val="24"/>
          <w:szCs w:val="24"/>
        </w:rPr>
        <w:t xml:space="preserve">The non-homeless special needs assessment includes the elderly, developmentally disabled, persons with disabilities, persons with HIV/AIDS, and persons with drug and alcohol addictions. Services for these populations are critical in the prevention of homelessness. Common special needs populations identified in the </w:t>
      </w:r>
      <w:r w:rsidR="5496E604" w:rsidRPr="00C83593">
        <w:rPr>
          <w:rFonts w:cs="Calibri"/>
          <w:color w:val="000000" w:themeColor="text1"/>
          <w:sz w:val="24"/>
          <w:szCs w:val="24"/>
        </w:rPr>
        <w:t>State’s community meetings and targeted stakeholder interviews inclu</w:t>
      </w:r>
      <w:r w:rsidR="57D98990" w:rsidRPr="00C83593">
        <w:rPr>
          <w:rFonts w:cs="Calibri"/>
          <w:color w:val="000000" w:themeColor="text1"/>
          <w:sz w:val="24"/>
          <w:szCs w:val="24"/>
        </w:rPr>
        <w:t>ded accessible housing for those living with d</w:t>
      </w:r>
      <w:r w:rsidR="305FBDCE" w:rsidRPr="00C83593">
        <w:rPr>
          <w:rFonts w:cs="Calibri"/>
          <w:color w:val="000000" w:themeColor="text1"/>
          <w:sz w:val="24"/>
          <w:szCs w:val="24"/>
        </w:rPr>
        <w:t xml:space="preserve">isabilities, services to help seniors or those on fixed incomes, </w:t>
      </w:r>
      <w:r w:rsidR="3D645426" w:rsidRPr="00C83593">
        <w:rPr>
          <w:rFonts w:cs="Calibri"/>
          <w:color w:val="000000" w:themeColor="text1"/>
          <w:sz w:val="24"/>
          <w:szCs w:val="24"/>
        </w:rPr>
        <w:t xml:space="preserve">services and housing for those exiting incarceration, and affordable and accessible childcare for those working non-traditional hours. </w:t>
      </w:r>
    </w:p>
    <w:p w14:paraId="09330D4F" w14:textId="77777777" w:rsidR="009B0FCC" w:rsidRPr="00C83593" w:rsidRDefault="009B0FCC" w:rsidP="00C83593">
      <w:pPr>
        <w:jc w:val="both"/>
        <w:rPr>
          <w:rFonts w:cs="Arial"/>
          <w:sz w:val="24"/>
          <w:szCs w:val="24"/>
        </w:rPr>
      </w:pPr>
    </w:p>
    <w:p w14:paraId="7A81C325" w14:textId="77777777" w:rsidR="009B0FCC" w:rsidRPr="00B67668" w:rsidRDefault="009B0FCC" w:rsidP="00C83593">
      <w:pPr>
        <w:jc w:val="both"/>
        <w:rPr>
          <w:b/>
          <w:sz w:val="24"/>
          <w:szCs w:val="24"/>
        </w:rPr>
      </w:pPr>
      <w:r w:rsidRPr="00B67668">
        <w:rPr>
          <w:b/>
          <w:sz w:val="24"/>
          <w:szCs w:val="24"/>
        </w:rPr>
        <w:t>Describe the characteristics of special needs populations in your community:</w:t>
      </w:r>
    </w:p>
    <w:p w14:paraId="2765C3B2" w14:textId="048A1938" w:rsidR="00326597" w:rsidRPr="00C83593" w:rsidRDefault="00326597" w:rsidP="00C83593">
      <w:pPr>
        <w:spacing w:beforeAutospacing="1" w:afterAutospacing="1"/>
        <w:jc w:val="both"/>
        <w:rPr>
          <w:rFonts w:cs="Arial"/>
          <w:sz w:val="24"/>
          <w:szCs w:val="24"/>
        </w:rPr>
      </w:pPr>
      <w:r w:rsidRPr="00C83593">
        <w:rPr>
          <w:rFonts w:cs="Arial"/>
          <w:sz w:val="24"/>
          <w:szCs w:val="24"/>
        </w:rPr>
        <w:t>Many persons with such special needs also have very low incomes. Therefore, their needs may have already been considered in estimating the housing needs of persons with very low incomes. However, for some people, supportive housing – housing with supportive services – is needed as they are unable to undertake the activities of daily living (ADL) without assistance. </w:t>
      </w:r>
    </w:p>
    <w:p w14:paraId="73DD4CAE" w14:textId="40B793BA" w:rsidR="4AA5B5EA" w:rsidRPr="00B67668" w:rsidRDefault="00E56E38" w:rsidP="00C83593">
      <w:pPr>
        <w:spacing w:beforeAutospacing="1" w:afterAutospacing="1"/>
        <w:jc w:val="both"/>
        <w:rPr>
          <w:rFonts w:cs="Calibri"/>
          <w:color w:val="000000" w:themeColor="text1"/>
          <w:sz w:val="24"/>
          <w:szCs w:val="24"/>
        </w:rPr>
      </w:pPr>
      <w:r>
        <w:rPr>
          <w:rFonts w:cs="Arial"/>
          <w:b/>
          <w:bCs/>
          <w:sz w:val="24"/>
          <w:szCs w:val="24"/>
        </w:rPr>
        <w:t>S</w:t>
      </w:r>
      <w:r w:rsidR="4AA5B5EA" w:rsidRPr="00B67668">
        <w:rPr>
          <w:rFonts w:cs="Arial"/>
          <w:b/>
          <w:bCs/>
          <w:sz w:val="24"/>
          <w:szCs w:val="24"/>
        </w:rPr>
        <w:t>eniors</w:t>
      </w:r>
      <w:r w:rsidR="7C4501CD" w:rsidRPr="00B67668">
        <w:rPr>
          <w:rFonts w:cs="Arial"/>
          <w:sz w:val="24"/>
          <w:szCs w:val="24"/>
        </w:rPr>
        <w:t xml:space="preserve">: </w:t>
      </w:r>
      <w:r w:rsidR="7F6EA059" w:rsidRPr="00B67668">
        <w:rPr>
          <w:rStyle w:val="normaltextrun"/>
          <w:rFonts w:ascii="Calibri" w:eastAsia="Calibri" w:hAnsi="Calibri" w:cs="Calibri"/>
          <w:color w:val="000000" w:themeColor="text1"/>
        </w:rPr>
        <w:t xml:space="preserve">According to 2018-2022 Census Data, a little </w:t>
      </w:r>
      <w:r w:rsidR="05634807" w:rsidRPr="00B67668">
        <w:rPr>
          <w:rStyle w:val="normaltextrun"/>
          <w:rFonts w:ascii="Calibri" w:eastAsia="Calibri" w:hAnsi="Calibri" w:cs="Calibri"/>
          <w:color w:val="000000" w:themeColor="text1"/>
        </w:rPr>
        <w:t xml:space="preserve">over 16% </w:t>
      </w:r>
      <w:r w:rsidR="7F6EA059" w:rsidRPr="00B67668">
        <w:rPr>
          <w:rStyle w:val="normaltextrun"/>
          <w:rFonts w:ascii="Calibri" w:eastAsia="Calibri" w:hAnsi="Calibri" w:cs="Calibri"/>
          <w:color w:val="000000" w:themeColor="text1"/>
        </w:rPr>
        <w:t xml:space="preserve">of the </w:t>
      </w:r>
      <w:r w:rsidR="57A7E57D" w:rsidRPr="00B67668">
        <w:rPr>
          <w:rStyle w:val="normaltextrun"/>
          <w:rFonts w:ascii="Calibri" w:eastAsia="Calibri" w:hAnsi="Calibri" w:cs="Calibri"/>
          <w:color w:val="000000" w:themeColor="text1"/>
        </w:rPr>
        <w:t>State</w:t>
      </w:r>
      <w:r w:rsidR="7F6EA059" w:rsidRPr="00B67668">
        <w:rPr>
          <w:rStyle w:val="normaltextrun"/>
          <w:rFonts w:ascii="Calibri" w:eastAsia="Calibri" w:hAnsi="Calibri" w:cs="Calibri"/>
          <w:color w:val="000000" w:themeColor="text1"/>
        </w:rPr>
        <w:t xml:space="preserve">’s population was aged 65 or older. Seniors are considered a special needs group because of their typically limited incomes, mobility limitations, and need for health care and other supportive services. </w:t>
      </w:r>
      <w:r w:rsidR="5155A3AF" w:rsidRPr="00B67668">
        <w:rPr>
          <w:rStyle w:val="normaltextrun"/>
          <w:rFonts w:ascii="Calibri" w:eastAsia="Calibri" w:hAnsi="Calibri" w:cs="Calibri"/>
          <w:color w:val="000000" w:themeColor="text1"/>
        </w:rPr>
        <w:t>M</w:t>
      </w:r>
      <w:r w:rsidR="5155A3AF" w:rsidRPr="00B67668">
        <w:rPr>
          <w:rFonts w:cs="Calibri"/>
          <w:color w:val="000000" w:themeColor="text1"/>
          <w:sz w:val="24"/>
          <w:szCs w:val="24"/>
        </w:rPr>
        <w:t>any seniors live on fixed incomes and/or have disabilities, creating financial pressures that can reduce independence, especially as costs rise.</w:t>
      </w:r>
    </w:p>
    <w:p w14:paraId="095FF964" w14:textId="11EDDB95" w:rsidR="6D2C4508" w:rsidRPr="00B67668" w:rsidRDefault="5155A3AF" w:rsidP="00C83593">
      <w:pPr>
        <w:spacing w:beforeAutospacing="1" w:afterAutospacing="1"/>
        <w:jc w:val="both"/>
        <w:rPr>
          <w:rStyle w:val="normaltextrun"/>
          <w:rFonts w:ascii="Calibri" w:eastAsia="Calibri" w:hAnsi="Calibri" w:cs="Calibri"/>
          <w:color w:val="000000" w:themeColor="text1"/>
        </w:rPr>
      </w:pPr>
      <w:r w:rsidRPr="00B67668">
        <w:rPr>
          <w:rFonts w:cs="Calibri"/>
          <w:b/>
          <w:bCs/>
          <w:color w:val="000000" w:themeColor="text1"/>
          <w:sz w:val="24"/>
          <w:szCs w:val="24"/>
        </w:rPr>
        <w:t xml:space="preserve">Persons with disabilities: </w:t>
      </w:r>
      <w:r w:rsidR="60AC37B3" w:rsidRPr="00B67668">
        <w:rPr>
          <w:rFonts w:cs="Calibri"/>
          <w:b/>
          <w:bCs/>
          <w:color w:val="000000" w:themeColor="text1"/>
          <w:sz w:val="24"/>
          <w:szCs w:val="24"/>
        </w:rPr>
        <w:t xml:space="preserve"> </w:t>
      </w:r>
      <w:r w:rsidRPr="00B67668">
        <w:rPr>
          <w:rStyle w:val="normaltextrun"/>
          <w:rFonts w:ascii="Calibri" w:eastAsia="Calibri" w:hAnsi="Calibri" w:cs="Calibri"/>
          <w:color w:val="000000" w:themeColor="text1"/>
        </w:rPr>
        <w:t xml:space="preserve">According to the 2018-2022 Census data, nearly </w:t>
      </w:r>
      <w:r w:rsidR="5F5A7950" w:rsidRPr="00B67668">
        <w:rPr>
          <w:rStyle w:val="normaltextrun"/>
          <w:rFonts w:ascii="Calibri" w:eastAsia="Calibri" w:hAnsi="Calibri" w:cs="Calibri"/>
          <w:color w:val="000000" w:themeColor="text1"/>
        </w:rPr>
        <w:t>17%</w:t>
      </w:r>
      <w:r w:rsidRPr="00B67668">
        <w:rPr>
          <w:rStyle w:val="normaltextrun"/>
          <w:rFonts w:ascii="Calibri" w:eastAsia="Calibri" w:hAnsi="Calibri" w:cs="Calibri"/>
          <w:color w:val="000000" w:themeColor="text1"/>
        </w:rPr>
        <w:t xml:space="preserve"> of the </w:t>
      </w:r>
      <w:r w:rsidR="6B854620" w:rsidRPr="00B67668">
        <w:rPr>
          <w:rStyle w:val="normaltextrun"/>
          <w:rFonts w:ascii="Calibri" w:eastAsia="Calibri" w:hAnsi="Calibri" w:cs="Calibri"/>
          <w:color w:val="000000" w:themeColor="text1"/>
        </w:rPr>
        <w:t>State’s</w:t>
      </w:r>
      <w:r w:rsidRPr="00B67668">
        <w:rPr>
          <w:rStyle w:val="normaltextrun"/>
          <w:rFonts w:ascii="Calibri" w:eastAsia="Calibri" w:hAnsi="Calibri" w:cs="Calibri"/>
          <w:color w:val="000000" w:themeColor="text1"/>
        </w:rPr>
        <w:t xml:space="preserve"> population was living with one or more disabilities. </w:t>
      </w:r>
      <w:r w:rsidR="6D5DD955" w:rsidRPr="00B67668">
        <w:rPr>
          <w:rStyle w:val="normaltextrun"/>
          <w:rFonts w:ascii="Calibri" w:eastAsia="Calibri" w:hAnsi="Calibri" w:cs="Calibri"/>
          <w:color w:val="000000" w:themeColor="text1"/>
        </w:rPr>
        <w:t>Nearly 35% of those aged 65 or older in Idaho were</w:t>
      </w:r>
      <w:r w:rsidRPr="00B67668">
        <w:rPr>
          <w:rStyle w:val="normaltextrun"/>
          <w:rFonts w:ascii="Calibri" w:eastAsia="Calibri" w:hAnsi="Calibri" w:cs="Calibri"/>
          <w:color w:val="000000" w:themeColor="text1"/>
        </w:rPr>
        <w:t xml:space="preserve"> living with a disability. Ambulatory disabilities are the highest disability types f</w:t>
      </w:r>
      <w:r w:rsidR="012FCEA8" w:rsidRPr="00B67668">
        <w:rPr>
          <w:rStyle w:val="normaltextrun"/>
          <w:rFonts w:ascii="Calibri" w:eastAsia="Calibri" w:hAnsi="Calibri" w:cs="Calibri"/>
          <w:color w:val="000000" w:themeColor="text1"/>
        </w:rPr>
        <w:t>or those aged 65 or older, followed by</w:t>
      </w:r>
      <w:r w:rsidRPr="00B67668">
        <w:rPr>
          <w:rStyle w:val="normaltextrun"/>
          <w:rFonts w:ascii="Calibri" w:eastAsia="Calibri" w:hAnsi="Calibri" w:cs="Calibri"/>
          <w:color w:val="000000" w:themeColor="text1"/>
        </w:rPr>
        <w:t xml:space="preserve"> </w:t>
      </w:r>
      <w:r w:rsidR="2CD90D5B" w:rsidRPr="00B67668">
        <w:rPr>
          <w:rStyle w:val="normaltextrun"/>
          <w:rFonts w:ascii="Calibri" w:eastAsia="Calibri" w:hAnsi="Calibri" w:cs="Calibri"/>
          <w:color w:val="000000" w:themeColor="text1"/>
        </w:rPr>
        <w:t>i</w:t>
      </w:r>
      <w:r w:rsidRPr="00B67668">
        <w:rPr>
          <w:rStyle w:val="normaltextrun"/>
          <w:rFonts w:ascii="Calibri" w:eastAsia="Calibri" w:hAnsi="Calibri" w:cs="Calibri"/>
          <w:color w:val="000000" w:themeColor="text1"/>
        </w:rPr>
        <w:t>ndependent living difficulties (because of a physical, mental, or emotional problem, having difficulty doing errands alone such as visiting a doctor’s office or shopping)</w:t>
      </w:r>
      <w:r w:rsidR="3E366E87" w:rsidRPr="00B67668">
        <w:rPr>
          <w:rStyle w:val="normaltextrun"/>
          <w:rFonts w:ascii="Calibri" w:eastAsia="Calibri" w:hAnsi="Calibri" w:cs="Calibri"/>
          <w:color w:val="000000" w:themeColor="text1"/>
        </w:rPr>
        <w:t>.</w:t>
      </w:r>
      <w:r w:rsidRPr="00B67668">
        <w:rPr>
          <w:rStyle w:val="normaltextrun"/>
          <w:rFonts w:ascii="Calibri" w:eastAsia="Calibri" w:hAnsi="Calibri" w:cs="Calibri"/>
          <w:color w:val="000000" w:themeColor="text1"/>
        </w:rPr>
        <w:t xml:space="preserve"> There is a need for more housing assistance for those living with disabilities, especially the elderly population.</w:t>
      </w:r>
    </w:p>
    <w:p w14:paraId="031169AD" w14:textId="6D0DA01E" w:rsidR="6D2C4508" w:rsidRPr="00B67668" w:rsidRDefault="4D3EE16B" w:rsidP="00C83593">
      <w:pPr>
        <w:spacing w:beforeAutospacing="1" w:afterAutospacing="1"/>
        <w:jc w:val="both"/>
        <w:rPr>
          <w:rFonts w:cs="Calibri"/>
          <w:color w:val="000000" w:themeColor="text1"/>
          <w:sz w:val="24"/>
          <w:szCs w:val="24"/>
        </w:rPr>
      </w:pPr>
      <w:r w:rsidRPr="00B67668">
        <w:rPr>
          <w:rStyle w:val="normaltextrun"/>
          <w:rFonts w:ascii="Calibri" w:eastAsia="Calibri" w:hAnsi="Calibri" w:cs="Calibri"/>
          <w:b/>
          <w:bCs/>
          <w:color w:val="000000" w:themeColor="text1"/>
        </w:rPr>
        <w:t xml:space="preserve">Persons with drug/alcohol addictions: </w:t>
      </w:r>
      <w:r w:rsidR="630BFD15" w:rsidRPr="00B67668">
        <w:rPr>
          <w:rFonts w:cs="Calibri"/>
          <w:color w:val="000000" w:themeColor="text1"/>
          <w:sz w:val="24"/>
          <w:szCs w:val="24"/>
        </w:rPr>
        <w:t>People with substance use disorders typically have unique needs, including mental health support, housing stability, and long-term recovery programs.</w:t>
      </w:r>
    </w:p>
    <w:p w14:paraId="10FBCFF6" w14:textId="1743C3C4" w:rsidR="00326597" w:rsidRPr="00B67668" w:rsidRDefault="03C527D3" w:rsidP="00C83593">
      <w:pPr>
        <w:spacing w:beforeAutospacing="1" w:afterAutospacing="1"/>
        <w:jc w:val="both"/>
        <w:rPr>
          <w:b/>
          <w:sz w:val="24"/>
          <w:szCs w:val="24"/>
        </w:rPr>
      </w:pPr>
      <w:r w:rsidRPr="00B67668">
        <w:rPr>
          <w:rFonts w:cs="Calibri"/>
          <w:b/>
          <w:bCs/>
          <w:color w:val="000000" w:themeColor="text1"/>
          <w:sz w:val="24"/>
          <w:szCs w:val="24"/>
        </w:rPr>
        <w:t xml:space="preserve">HIV/AIDS: </w:t>
      </w:r>
      <w:r w:rsidRPr="00B67668">
        <w:rPr>
          <w:rFonts w:cs="Calibri"/>
          <w:color w:val="000000" w:themeColor="text1"/>
          <w:sz w:val="24"/>
          <w:szCs w:val="24"/>
        </w:rPr>
        <w:t>Please see discussion below.</w:t>
      </w:r>
    </w:p>
    <w:p w14:paraId="5F2852E8" w14:textId="650F2498" w:rsidR="009B0FCC" w:rsidRDefault="009B0FCC" w:rsidP="00C83593">
      <w:pPr>
        <w:jc w:val="both"/>
        <w:rPr>
          <w:b/>
          <w:sz w:val="24"/>
          <w:szCs w:val="24"/>
        </w:rPr>
      </w:pPr>
      <w:r w:rsidRPr="6D2C4508">
        <w:rPr>
          <w:b/>
          <w:bCs/>
          <w:sz w:val="24"/>
          <w:szCs w:val="24"/>
        </w:rPr>
        <w:t xml:space="preserve">What are the housing and supportive service needs of these populations and how are these needs determined?   </w:t>
      </w:r>
    </w:p>
    <w:p w14:paraId="72AC5366" w14:textId="41A5BF5B" w:rsidR="352D806F" w:rsidRPr="000312CD" w:rsidRDefault="352D806F" w:rsidP="00C83593">
      <w:pPr>
        <w:spacing w:beforeAutospacing="1" w:afterAutospacing="1"/>
        <w:jc w:val="both"/>
        <w:rPr>
          <w:rFonts w:cs="Arial"/>
          <w:sz w:val="24"/>
          <w:szCs w:val="24"/>
        </w:rPr>
      </w:pPr>
      <w:r w:rsidRPr="000312CD">
        <w:rPr>
          <w:rFonts w:cs="Arial"/>
          <w:b/>
          <w:bCs/>
          <w:sz w:val="24"/>
          <w:szCs w:val="24"/>
        </w:rPr>
        <w:lastRenderedPageBreak/>
        <w:t xml:space="preserve">Seniors: </w:t>
      </w:r>
      <w:r w:rsidRPr="000312CD">
        <w:rPr>
          <w:rFonts w:cs="Calibri"/>
          <w:color w:val="000000" w:themeColor="text1"/>
          <w:sz w:val="24"/>
          <w:szCs w:val="24"/>
        </w:rPr>
        <w:t xml:space="preserve">Housing options for the elderly range from independent living to assisted living, nursing homes, and support facilities like adult day care. Key considerations include location, affordability, proximity to healthcare and essential services, and ease of upkeep. As health issues become more common with age, elderly individuals benefit from access to healthcare and assistance with daily activities such as shopping and housekeeping. Proximity to essential services and reliable transportation is critical as mobility decreases, and safety becomes a growing concern for those living alone. </w:t>
      </w:r>
      <w:r w:rsidRPr="000312CD">
        <w:rPr>
          <w:rFonts w:cs="Arial"/>
          <w:sz w:val="24"/>
          <w:szCs w:val="24"/>
        </w:rPr>
        <w:t>The 2018-2022 ACS estimates that over 9% of seniors over 65 years old in Idaho lived below the poverty level. These seniors may need housing assistance, ranging from repairs on homes they own to subsidized rental assistance.</w:t>
      </w:r>
    </w:p>
    <w:p w14:paraId="6B0D3808" w14:textId="7DDBB736" w:rsidR="00326597" w:rsidRPr="000312CD" w:rsidRDefault="352D806F" w:rsidP="00C83593">
      <w:pPr>
        <w:spacing w:beforeAutospacing="1" w:afterAutospacing="1"/>
        <w:jc w:val="both"/>
        <w:rPr>
          <w:rFonts w:cs="Calibri"/>
          <w:color w:val="000000" w:themeColor="text1"/>
          <w:sz w:val="24"/>
          <w:szCs w:val="24"/>
        </w:rPr>
      </w:pPr>
      <w:r w:rsidRPr="000312CD">
        <w:rPr>
          <w:rFonts w:cs="Arial"/>
          <w:b/>
          <w:bCs/>
          <w:sz w:val="24"/>
          <w:szCs w:val="24"/>
        </w:rPr>
        <w:t xml:space="preserve">Persons with disabilities: </w:t>
      </w:r>
      <w:r w:rsidR="00326597" w:rsidRPr="000312CD">
        <w:rPr>
          <w:rFonts w:cs="Arial"/>
          <w:sz w:val="24"/>
          <w:szCs w:val="24"/>
        </w:rPr>
        <w:t>According</w:t>
      </w:r>
      <w:r w:rsidR="000479EF" w:rsidRPr="000312CD">
        <w:rPr>
          <w:rFonts w:cs="Arial"/>
          <w:sz w:val="24"/>
          <w:szCs w:val="24"/>
        </w:rPr>
        <w:t xml:space="preserve"> to the Center for Disease Control, current estimates of disability prevalence in the United States from different data sources range from 8% to over 30% of the population, depending on how disability is defined. </w:t>
      </w:r>
      <w:r w:rsidR="00326597" w:rsidRPr="000312CD">
        <w:rPr>
          <w:rFonts w:cs="Arial"/>
          <w:sz w:val="24"/>
          <w:szCs w:val="24"/>
        </w:rPr>
        <w:t xml:space="preserve"> </w:t>
      </w:r>
      <w:r w:rsidR="000479EF" w:rsidRPr="000312CD">
        <w:rPr>
          <w:rFonts w:cs="Arial"/>
          <w:sz w:val="24"/>
          <w:szCs w:val="24"/>
        </w:rPr>
        <w:t xml:space="preserve">In the </w:t>
      </w:r>
      <w:r w:rsidR="00326597" w:rsidRPr="000312CD">
        <w:rPr>
          <w:rFonts w:cs="Arial"/>
          <w:sz w:val="24"/>
          <w:szCs w:val="24"/>
        </w:rPr>
        <w:t xml:space="preserve">2018-2022 ACS data, </w:t>
      </w:r>
      <w:r w:rsidR="000479EF" w:rsidRPr="000312CD">
        <w:rPr>
          <w:rFonts w:cs="Arial"/>
          <w:sz w:val="24"/>
          <w:szCs w:val="24"/>
        </w:rPr>
        <w:t>12.9%</w:t>
      </w:r>
      <w:r w:rsidR="00326597" w:rsidRPr="000312CD">
        <w:rPr>
          <w:rFonts w:cs="Arial"/>
          <w:sz w:val="24"/>
          <w:szCs w:val="24"/>
        </w:rPr>
        <w:t xml:space="preserve"> of adults in the U.S. have some type of disability, compared to </w:t>
      </w:r>
      <w:r w:rsidR="000479EF" w:rsidRPr="000312CD">
        <w:rPr>
          <w:rFonts w:cs="Arial"/>
          <w:sz w:val="24"/>
          <w:szCs w:val="24"/>
        </w:rPr>
        <w:t>13.7%</w:t>
      </w:r>
      <w:r w:rsidR="00326597" w:rsidRPr="000312CD">
        <w:rPr>
          <w:rFonts w:cs="Arial"/>
          <w:sz w:val="24"/>
          <w:szCs w:val="24"/>
        </w:rPr>
        <w:t xml:space="preserve"> in Idaho.  </w:t>
      </w:r>
      <w:r w:rsidR="000479EF" w:rsidRPr="000312CD">
        <w:rPr>
          <w:rFonts w:cs="Arial"/>
          <w:sz w:val="24"/>
          <w:szCs w:val="24"/>
        </w:rPr>
        <w:t>AC</w:t>
      </w:r>
      <w:r w:rsidR="5697A1FE" w:rsidRPr="000312CD">
        <w:rPr>
          <w:rFonts w:cs="Arial"/>
          <w:sz w:val="24"/>
          <w:szCs w:val="24"/>
        </w:rPr>
        <w:t>S</w:t>
      </w:r>
      <w:r w:rsidR="000479EF" w:rsidRPr="000312CD">
        <w:rPr>
          <w:rFonts w:cs="Arial"/>
          <w:sz w:val="24"/>
          <w:szCs w:val="24"/>
        </w:rPr>
        <w:t xml:space="preserve"> data also shows that people who are </w:t>
      </w:r>
      <w:r w:rsidR="00326597" w:rsidRPr="000312CD">
        <w:rPr>
          <w:rFonts w:cs="Arial"/>
          <w:sz w:val="24"/>
          <w:szCs w:val="24"/>
        </w:rPr>
        <w:t>physically disabled</w:t>
      </w:r>
      <w:r w:rsidR="000479EF" w:rsidRPr="000312CD">
        <w:rPr>
          <w:rFonts w:cs="Arial"/>
          <w:sz w:val="24"/>
          <w:szCs w:val="24"/>
        </w:rPr>
        <w:t xml:space="preserve"> are more likely to be living in poverty and therefore more in need of </w:t>
      </w:r>
      <w:r w:rsidR="00326597" w:rsidRPr="000312CD">
        <w:rPr>
          <w:rFonts w:cs="Arial"/>
          <w:sz w:val="24"/>
          <w:szCs w:val="24"/>
        </w:rPr>
        <w:t>both housing and supportive service needs.</w:t>
      </w:r>
      <w:r w:rsidR="000479EF" w:rsidRPr="000312CD">
        <w:rPr>
          <w:rFonts w:cs="Arial"/>
          <w:sz w:val="24"/>
          <w:szCs w:val="24"/>
        </w:rPr>
        <w:t xml:space="preserve"> Of those over 16 with a physical disability, 15.9% of people live in poverty as compared to 8.4% of those who do not have a disability.</w:t>
      </w:r>
      <w:r w:rsidR="5E9368CC" w:rsidRPr="000312CD">
        <w:rPr>
          <w:rFonts w:cs="Arial"/>
          <w:sz w:val="24"/>
          <w:szCs w:val="24"/>
        </w:rPr>
        <w:t xml:space="preserve"> </w:t>
      </w:r>
      <w:r w:rsidR="5E9368CC" w:rsidRPr="000312CD">
        <w:rPr>
          <w:rFonts w:cs="Calibri"/>
          <w:color w:val="000000" w:themeColor="text1"/>
          <w:sz w:val="24"/>
          <w:szCs w:val="24"/>
        </w:rPr>
        <w:t>Many individuals with disabilities rely on a fixed income, limiting their housing options.</w:t>
      </w:r>
      <w:r w:rsidR="6BE494F9" w:rsidRPr="000312CD">
        <w:rPr>
          <w:rFonts w:cs="Calibri"/>
          <w:color w:val="000000" w:themeColor="text1"/>
          <w:sz w:val="24"/>
          <w:szCs w:val="24"/>
        </w:rPr>
        <w:t xml:space="preserve"> There is a need for more affordable, accessible housing units for those living with disabilities.</w:t>
      </w:r>
    </w:p>
    <w:p w14:paraId="3B209DE4" w14:textId="3396C54A" w:rsidR="6D2C4508" w:rsidRPr="000312CD" w:rsidRDefault="6D2C4508" w:rsidP="00C83593">
      <w:pPr>
        <w:spacing w:beforeAutospacing="1" w:afterAutospacing="1"/>
        <w:jc w:val="both"/>
        <w:rPr>
          <w:rFonts w:cs="Arial"/>
          <w:sz w:val="24"/>
          <w:szCs w:val="24"/>
        </w:rPr>
      </w:pPr>
    </w:p>
    <w:p w14:paraId="6E8E888F" w14:textId="77777777" w:rsidR="00817AAC" w:rsidRDefault="416C7760" w:rsidP="00C83593">
      <w:pPr>
        <w:spacing w:beforeAutospacing="1" w:afterAutospacing="1"/>
        <w:jc w:val="both"/>
        <w:rPr>
          <w:rFonts w:cs="Arial"/>
          <w:b/>
          <w:bCs/>
          <w:sz w:val="24"/>
          <w:szCs w:val="24"/>
        </w:rPr>
      </w:pPr>
      <w:r w:rsidRPr="000312CD">
        <w:rPr>
          <w:rFonts w:cs="Arial"/>
          <w:b/>
          <w:bCs/>
          <w:sz w:val="24"/>
          <w:szCs w:val="24"/>
        </w:rPr>
        <w:t xml:space="preserve">Persons with drug/alcohol addiction: </w:t>
      </w:r>
    </w:p>
    <w:p w14:paraId="5744E387" w14:textId="1F997FD8" w:rsidR="00817AAC" w:rsidRPr="00817AAC" w:rsidRDefault="00817AAC" w:rsidP="00C83593">
      <w:pPr>
        <w:spacing w:beforeAutospacing="1" w:afterAutospacing="1"/>
        <w:jc w:val="both"/>
        <w:rPr>
          <w:rFonts w:cs="Arial"/>
          <w:sz w:val="24"/>
          <w:szCs w:val="24"/>
        </w:rPr>
      </w:pPr>
      <w:r w:rsidRPr="00817AAC">
        <w:rPr>
          <w:rFonts w:cs="Arial"/>
          <w:b/>
          <w:bCs/>
          <w:i/>
          <w:iCs/>
          <w:sz w:val="24"/>
          <w:szCs w:val="24"/>
        </w:rPr>
        <w:t xml:space="preserve">Overdoses: </w:t>
      </w:r>
      <w:r>
        <w:rPr>
          <w:rFonts w:cs="Arial"/>
          <w:b/>
          <w:bCs/>
          <w:sz w:val="24"/>
          <w:szCs w:val="24"/>
        </w:rPr>
        <w:t xml:space="preserve"> </w:t>
      </w:r>
      <w:r w:rsidRPr="00817AAC">
        <w:rPr>
          <w:rFonts w:cs="Arial"/>
          <w:sz w:val="24"/>
          <w:szCs w:val="24"/>
        </w:rPr>
        <w:t>Th</w:t>
      </w:r>
      <w:r>
        <w:rPr>
          <w:rFonts w:cs="Arial"/>
          <w:sz w:val="24"/>
          <w:szCs w:val="24"/>
        </w:rPr>
        <w:t>e</w:t>
      </w:r>
      <w:r w:rsidRPr="00817AAC">
        <w:rPr>
          <w:rFonts w:cs="Arial"/>
          <w:sz w:val="24"/>
          <w:szCs w:val="24"/>
        </w:rPr>
        <w:t xml:space="preserve"> Idaho Division of Public Health publishes the </w:t>
      </w:r>
      <w:r w:rsidR="5FDD6C4D" w:rsidRPr="098FA5AC">
        <w:rPr>
          <w:rFonts w:cs="Arial"/>
          <w:sz w:val="24"/>
          <w:szCs w:val="24"/>
        </w:rPr>
        <w:t>D</w:t>
      </w:r>
      <w:r w:rsidR="688A489F" w:rsidRPr="098FA5AC">
        <w:rPr>
          <w:rFonts w:cs="Arial"/>
          <w:sz w:val="24"/>
          <w:szCs w:val="24"/>
        </w:rPr>
        <w:t>ru</w:t>
      </w:r>
      <w:r w:rsidR="5FDD6C4D" w:rsidRPr="098FA5AC">
        <w:rPr>
          <w:rFonts w:cs="Arial"/>
          <w:sz w:val="24"/>
          <w:szCs w:val="24"/>
        </w:rPr>
        <w:t>g Overdo</w:t>
      </w:r>
      <w:r w:rsidR="0B30C084" w:rsidRPr="098FA5AC">
        <w:rPr>
          <w:rFonts w:cs="Arial"/>
          <w:sz w:val="24"/>
          <w:szCs w:val="24"/>
        </w:rPr>
        <w:t>se</w:t>
      </w:r>
      <w:r w:rsidRPr="00817AAC">
        <w:rPr>
          <w:rFonts w:cs="Arial"/>
          <w:sz w:val="24"/>
          <w:szCs w:val="24"/>
        </w:rPr>
        <w:t xml:space="preserve"> Prevention Program dashboard that summarizes information on overdoses and death related to controlled substances. </w:t>
      </w:r>
      <w:r>
        <w:rPr>
          <w:rFonts w:cs="Arial"/>
          <w:sz w:val="24"/>
          <w:szCs w:val="24"/>
        </w:rPr>
        <w:t xml:space="preserve">In 2023, 386 deaths linked to drug overdose with 264 related to opioids and 197 related to Fentanyl.  Emergency department visits related to drug use totaled 3,896 and 569 of those were related to opioid overdose.  </w:t>
      </w:r>
    </w:p>
    <w:p w14:paraId="36AE03F9" w14:textId="09317E13" w:rsidR="00817AAC" w:rsidRPr="00817AAC" w:rsidRDefault="00817AAC" w:rsidP="00C83593">
      <w:pPr>
        <w:spacing w:beforeAutospacing="1" w:afterAutospacing="1"/>
        <w:jc w:val="both"/>
        <w:rPr>
          <w:rFonts w:cs="Arial"/>
          <w:sz w:val="24"/>
          <w:szCs w:val="24"/>
        </w:rPr>
      </w:pPr>
      <w:r w:rsidRPr="00817AAC">
        <w:rPr>
          <w:rFonts w:cs="Arial"/>
          <w:b/>
          <w:bCs/>
          <w:i/>
          <w:iCs/>
          <w:sz w:val="24"/>
          <w:szCs w:val="24"/>
        </w:rPr>
        <w:t xml:space="preserve">Youth: </w:t>
      </w:r>
      <w:r w:rsidRPr="00817AAC">
        <w:rPr>
          <w:rFonts w:cs="Arial"/>
          <w:sz w:val="24"/>
          <w:szCs w:val="24"/>
        </w:rPr>
        <w:t>The Idaho Healthy Youth Survey (IHYS) is a bi-annual, statewide survey of 6th, 8th, 10th, and 12th graders facilitated by the Idaho Office of Drug Policy (ODP). The Survey is designed to measure the perceptions, opinions, attitudes, and behaviors of Idaho youth related to the use and misuse of alcohol, tobacco, e-cigarettes/vaping, marijuana, prescription medication, and other drugs.</w:t>
      </w:r>
    </w:p>
    <w:p w14:paraId="4CDB3D40" w14:textId="77777777" w:rsidR="00817AAC" w:rsidRPr="00817AAC" w:rsidRDefault="00817AAC" w:rsidP="00C83593">
      <w:pPr>
        <w:spacing w:beforeAutospacing="1" w:afterAutospacing="1"/>
        <w:jc w:val="both"/>
        <w:rPr>
          <w:rFonts w:cs="Arial"/>
          <w:sz w:val="24"/>
          <w:szCs w:val="24"/>
        </w:rPr>
      </w:pPr>
      <w:r w:rsidRPr="00817AAC">
        <w:rPr>
          <w:rFonts w:cs="Arial"/>
          <w:sz w:val="24"/>
          <w:szCs w:val="24"/>
        </w:rPr>
        <w:t>The 2021 IHYS was administered to nearly </w:t>
      </w:r>
      <w:r w:rsidRPr="00817AAC">
        <w:rPr>
          <w:rFonts w:cs="Arial"/>
          <w:b/>
          <w:bCs/>
          <w:sz w:val="24"/>
          <w:szCs w:val="24"/>
        </w:rPr>
        <w:t>10,000 Idaho students</w:t>
      </w:r>
      <w:r w:rsidRPr="00817AAC">
        <w:rPr>
          <w:rFonts w:cs="Arial"/>
          <w:sz w:val="24"/>
          <w:szCs w:val="24"/>
        </w:rPr>
        <w:t> at </w:t>
      </w:r>
      <w:r w:rsidRPr="00817AAC">
        <w:rPr>
          <w:rFonts w:cs="Arial"/>
          <w:b/>
          <w:bCs/>
          <w:sz w:val="24"/>
          <w:szCs w:val="24"/>
        </w:rPr>
        <w:t>54 schools</w:t>
      </w:r>
      <w:r w:rsidRPr="00817AAC">
        <w:rPr>
          <w:rFonts w:cs="Arial"/>
          <w:sz w:val="24"/>
          <w:szCs w:val="24"/>
        </w:rPr>
        <w:t> in </w:t>
      </w:r>
      <w:r w:rsidRPr="00817AAC">
        <w:rPr>
          <w:rFonts w:cs="Arial"/>
          <w:b/>
          <w:bCs/>
          <w:sz w:val="24"/>
          <w:szCs w:val="24"/>
        </w:rPr>
        <w:t>24 Districts</w:t>
      </w:r>
      <w:r w:rsidRPr="00817AAC">
        <w:rPr>
          <w:rFonts w:cs="Arial"/>
          <w:sz w:val="24"/>
          <w:szCs w:val="24"/>
        </w:rPr>
        <w:t>.</w:t>
      </w:r>
    </w:p>
    <w:p w14:paraId="11C99945" w14:textId="77777777" w:rsidR="00817AAC" w:rsidRPr="00817AAC" w:rsidRDefault="00817AAC" w:rsidP="00C83593">
      <w:pPr>
        <w:spacing w:beforeAutospacing="1" w:afterAutospacing="1"/>
        <w:jc w:val="both"/>
        <w:rPr>
          <w:rFonts w:cs="Arial"/>
          <w:sz w:val="24"/>
          <w:szCs w:val="24"/>
        </w:rPr>
      </w:pPr>
      <w:r w:rsidRPr="00817AAC">
        <w:rPr>
          <w:rFonts w:cs="Arial"/>
          <w:b/>
          <w:bCs/>
          <w:sz w:val="24"/>
          <w:szCs w:val="24"/>
        </w:rPr>
        <w:t>Statewide results of Idaho 12th graders found that in the past month:</w:t>
      </w:r>
    </w:p>
    <w:p w14:paraId="7E099772" w14:textId="77777777" w:rsidR="00817AAC" w:rsidRPr="00817AAC" w:rsidRDefault="00817AAC" w:rsidP="00C83593">
      <w:pPr>
        <w:numPr>
          <w:ilvl w:val="0"/>
          <w:numId w:val="21"/>
        </w:numPr>
        <w:spacing w:beforeAutospacing="1" w:afterAutospacing="1"/>
        <w:jc w:val="both"/>
        <w:rPr>
          <w:rFonts w:cs="Arial"/>
          <w:sz w:val="24"/>
          <w:szCs w:val="24"/>
        </w:rPr>
      </w:pPr>
      <w:r w:rsidRPr="00817AAC">
        <w:rPr>
          <w:rFonts w:cs="Arial"/>
          <w:sz w:val="24"/>
          <w:szCs w:val="24"/>
        </w:rPr>
        <w:lastRenderedPageBreak/>
        <w:t>1 in 5 drank alcohol</w:t>
      </w:r>
    </w:p>
    <w:p w14:paraId="5103F722" w14:textId="77777777" w:rsidR="00817AAC" w:rsidRPr="00817AAC" w:rsidRDefault="00817AAC" w:rsidP="00C83593">
      <w:pPr>
        <w:numPr>
          <w:ilvl w:val="0"/>
          <w:numId w:val="21"/>
        </w:numPr>
        <w:spacing w:beforeAutospacing="1" w:afterAutospacing="1"/>
        <w:jc w:val="both"/>
        <w:rPr>
          <w:rFonts w:cs="Arial"/>
          <w:sz w:val="24"/>
          <w:szCs w:val="24"/>
        </w:rPr>
      </w:pPr>
      <w:r w:rsidRPr="00817AAC">
        <w:rPr>
          <w:rFonts w:cs="Arial"/>
          <w:sz w:val="24"/>
          <w:szCs w:val="24"/>
        </w:rPr>
        <w:t>1 in 5 used a vape pen or e-cigarette</w:t>
      </w:r>
    </w:p>
    <w:p w14:paraId="202CC3F9" w14:textId="77777777" w:rsidR="00817AAC" w:rsidRPr="00817AAC" w:rsidRDefault="00817AAC" w:rsidP="00C83593">
      <w:pPr>
        <w:numPr>
          <w:ilvl w:val="0"/>
          <w:numId w:val="21"/>
        </w:numPr>
        <w:spacing w:beforeAutospacing="1" w:afterAutospacing="1"/>
        <w:jc w:val="both"/>
        <w:rPr>
          <w:rFonts w:cs="Arial"/>
          <w:sz w:val="24"/>
          <w:szCs w:val="24"/>
        </w:rPr>
      </w:pPr>
      <w:r w:rsidRPr="00817AAC">
        <w:rPr>
          <w:rFonts w:cs="Arial"/>
          <w:sz w:val="24"/>
          <w:szCs w:val="24"/>
        </w:rPr>
        <w:t xml:space="preserve">1 in 7 used </w:t>
      </w:r>
      <w:proofErr w:type="gramStart"/>
      <w:r w:rsidRPr="00817AAC">
        <w:rPr>
          <w:rFonts w:cs="Arial"/>
          <w:sz w:val="24"/>
          <w:szCs w:val="24"/>
        </w:rPr>
        <w:t>marijuana</w:t>
      </w:r>
      <w:proofErr w:type="gramEnd"/>
    </w:p>
    <w:p w14:paraId="7066DB28" w14:textId="77777777" w:rsidR="00817AAC" w:rsidRPr="00817AAC" w:rsidRDefault="00817AAC" w:rsidP="00C83593">
      <w:pPr>
        <w:spacing w:beforeAutospacing="1" w:afterAutospacing="1"/>
        <w:jc w:val="both"/>
        <w:rPr>
          <w:rFonts w:cs="Arial"/>
          <w:sz w:val="24"/>
          <w:szCs w:val="24"/>
        </w:rPr>
      </w:pPr>
      <w:r w:rsidRPr="00817AAC">
        <w:rPr>
          <w:rFonts w:cs="Arial"/>
          <w:b/>
          <w:bCs/>
          <w:sz w:val="24"/>
          <w:szCs w:val="24"/>
        </w:rPr>
        <w:t xml:space="preserve">Statewide results from students of all </w:t>
      </w:r>
      <w:proofErr w:type="gramStart"/>
      <w:r w:rsidRPr="00817AAC">
        <w:rPr>
          <w:rFonts w:cs="Arial"/>
          <w:b/>
          <w:bCs/>
          <w:sz w:val="24"/>
          <w:szCs w:val="24"/>
        </w:rPr>
        <w:t>6th</w:t>
      </w:r>
      <w:proofErr w:type="gramEnd"/>
      <w:r w:rsidRPr="00817AAC">
        <w:rPr>
          <w:rFonts w:cs="Arial"/>
          <w:b/>
          <w:bCs/>
          <w:sz w:val="24"/>
          <w:szCs w:val="24"/>
        </w:rPr>
        <w:t>, 8th, 10th, and 12th graders found that:</w:t>
      </w:r>
    </w:p>
    <w:p w14:paraId="34F2741C" w14:textId="77777777" w:rsidR="00817AAC" w:rsidRPr="00817AAC" w:rsidRDefault="00817AAC" w:rsidP="00C83593">
      <w:pPr>
        <w:numPr>
          <w:ilvl w:val="0"/>
          <w:numId w:val="22"/>
        </w:numPr>
        <w:spacing w:beforeAutospacing="1" w:afterAutospacing="1"/>
        <w:jc w:val="both"/>
        <w:rPr>
          <w:rFonts w:cs="Arial"/>
          <w:sz w:val="24"/>
          <w:szCs w:val="24"/>
        </w:rPr>
      </w:pPr>
      <w:r w:rsidRPr="00817AAC">
        <w:rPr>
          <w:rFonts w:cs="Arial"/>
          <w:sz w:val="24"/>
          <w:szCs w:val="24"/>
        </w:rPr>
        <w:t>34% said it is easy to get alcohol</w:t>
      </w:r>
    </w:p>
    <w:p w14:paraId="545D2346" w14:textId="77777777" w:rsidR="00817AAC" w:rsidRPr="00817AAC" w:rsidRDefault="00817AAC" w:rsidP="00C83593">
      <w:pPr>
        <w:numPr>
          <w:ilvl w:val="0"/>
          <w:numId w:val="22"/>
        </w:numPr>
        <w:spacing w:beforeAutospacing="1" w:afterAutospacing="1"/>
        <w:jc w:val="both"/>
        <w:rPr>
          <w:rFonts w:cs="Arial"/>
          <w:sz w:val="24"/>
          <w:szCs w:val="24"/>
        </w:rPr>
      </w:pPr>
      <w:r w:rsidRPr="00817AAC">
        <w:rPr>
          <w:rFonts w:cs="Arial"/>
          <w:sz w:val="24"/>
          <w:szCs w:val="24"/>
        </w:rPr>
        <w:t>24% said it is easy to get prescription drugs for the purpose of misuse</w:t>
      </w:r>
    </w:p>
    <w:p w14:paraId="0DCEFD76" w14:textId="77777777" w:rsidR="00817AAC" w:rsidRPr="00817AAC" w:rsidRDefault="00817AAC" w:rsidP="00C83593">
      <w:pPr>
        <w:numPr>
          <w:ilvl w:val="0"/>
          <w:numId w:val="22"/>
        </w:numPr>
        <w:spacing w:beforeAutospacing="1" w:afterAutospacing="1"/>
        <w:jc w:val="both"/>
        <w:rPr>
          <w:rFonts w:cs="Arial"/>
          <w:sz w:val="24"/>
          <w:szCs w:val="24"/>
        </w:rPr>
      </w:pPr>
      <w:r w:rsidRPr="00817AAC">
        <w:rPr>
          <w:rFonts w:cs="Arial"/>
          <w:sz w:val="24"/>
          <w:szCs w:val="24"/>
        </w:rPr>
        <w:t>17% said it is easy to get tobacco</w:t>
      </w:r>
    </w:p>
    <w:p w14:paraId="1BE783EA" w14:textId="7DFDD485" w:rsidR="00817AAC" w:rsidRPr="00817AAC" w:rsidRDefault="00817AAC" w:rsidP="00C83593">
      <w:pPr>
        <w:numPr>
          <w:ilvl w:val="0"/>
          <w:numId w:val="22"/>
        </w:numPr>
        <w:spacing w:beforeAutospacing="1" w:afterAutospacing="1"/>
        <w:jc w:val="both"/>
        <w:rPr>
          <w:rFonts w:cs="Arial"/>
          <w:sz w:val="24"/>
          <w:szCs w:val="24"/>
        </w:rPr>
      </w:pPr>
      <w:r w:rsidRPr="00817AAC">
        <w:rPr>
          <w:rFonts w:cs="Arial"/>
          <w:sz w:val="24"/>
          <w:szCs w:val="24"/>
        </w:rPr>
        <w:t>18% said it is easy to get marijuana</w:t>
      </w:r>
    </w:p>
    <w:p w14:paraId="6738CE34" w14:textId="3C2D4A3E" w:rsidR="00817AAC" w:rsidRPr="00104870" w:rsidRDefault="00817AAC" w:rsidP="00C83593">
      <w:pPr>
        <w:spacing w:beforeAutospacing="1" w:afterAutospacing="1"/>
        <w:jc w:val="both"/>
        <w:rPr>
          <w:rFonts w:cs="Arial"/>
          <w:b/>
          <w:sz w:val="24"/>
          <w:szCs w:val="24"/>
        </w:rPr>
      </w:pPr>
      <w:r w:rsidRPr="00817AAC">
        <w:rPr>
          <w:rFonts w:cs="Arial"/>
          <w:b/>
          <w:bCs/>
          <w:i/>
          <w:iCs/>
          <w:sz w:val="24"/>
          <w:szCs w:val="24"/>
        </w:rPr>
        <w:t>Resources:</w:t>
      </w:r>
      <w:r w:rsidRPr="00817AAC">
        <w:rPr>
          <w:rFonts w:cs="Arial"/>
          <w:sz w:val="24"/>
          <w:szCs w:val="24"/>
        </w:rPr>
        <w:t xml:space="preserve"> </w:t>
      </w:r>
      <w:r w:rsidR="000312CD" w:rsidRPr="00817AAC">
        <w:rPr>
          <w:rFonts w:cs="Arial"/>
          <w:sz w:val="24"/>
          <w:szCs w:val="24"/>
        </w:rPr>
        <w:t xml:space="preserve">The Idaho Office of Drug Policy (ODP) leads Idaho’s substance use and misuse policy and prevention </w:t>
      </w:r>
      <w:r w:rsidR="60FB2364" w:rsidRPr="098FA5AC">
        <w:rPr>
          <w:rFonts w:cs="Arial"/>
          <w:sz w:val="24"/>
          <w:szCs w:val="24"/>
        </w:rPr>
        <w:t>effor</w:t>
      </w:r>
      <w:r w:rsidR="043D1655" w:rsidRPr="098FA5AC">
        <w:rPr>
          <w:rFonts w:cs="Arial"/>
          <w:sz w:val="24"/>
          <w:szCs w:val="24"/>
        </w:rPr>
        <w:t>t</w:t>
      </w:r>
      <w:r w:rsidR="60FB2364" w:rsidRPr="098FA5AC">
        <w:rPr>
          <w:rFonts w:cs="Arial"/>
          <w:sz w:val="24"/>
          <w:szCs w:val="24"/>
        </w:rPr>
        <w:t>s</w:t>
      </w:r>
      <w:r w:rsidR="000312CD" w:rsidRPr="00817AAC">
        <w:rPr>
          <w:rFonts w:cs="Arial"/>
          <w:sz w:val="24"/>
          <w:szCs w:val="24"/>
        </w:rPr>
        <w:t xml:space="preserve"> by developing and implementing strategic action plan and collaborative partnerships to reduce alcohol and other </w:t>
      </w:r>
      <w:r w:rsidR="60FB2364" w:rsidRPr="098FA5AC">
        <w:rPr>
          <w:rFonts w:cs="Arial"/>
          <w:sz w:val="24"/>
          <w:szCs w:val="24"/>
        </w:rPr>
        <w:t>d</w:t>
      </w:r>
      <w:r w:rsidR="7CEA49F6" w:rsidRPr="098FA5AC">
        <w:rPr>
          <w:rFonts w:cs="Arial"/>
          <w:sz w:val="24"/>
          <w:szCs w:val="24"/>
        </w:rPr>
        <w:t>ru</w:t>
      </w:r>
      <w:r w:rsidR="60FB2364" w:rsidRPr="098FA5AC">
        <w:rPr>
          <w:rFonts w:cs="Arial"/>
          <w:sz w:val="24"/>
          <w:szCs w:val="24"/>
        </w:rPr>
        <w:t>g</w:t>
      </w:r>
      <w:r w:rsidR="000312CD" w:rsidRPr="00817AAC">
        <w:rPr>
          <w:rFonts w:cs="Arial"/>
          <w:sz w:val="24"/>
          <w:szCs w:val="24"/>
        </w:rPr>
        <w:t xml:space="preserve"> use and related consequences.  In Spring 2023, ODP partnered with WestEd’s </w:t>
      </w:r>
      <w:r w:rsidR="60FB2364" w:rsidRPr="098FA5AC">
        <w:rPr>
          <w:rFonts w:cs="Arial"/>
          <w:sz w:val="24"/>
          <w:szCs w:val="24"/>
        </w:rPr>
        <w:t>Justic</w:t>
      </w:r>
      <w:r w:rsidR="342C42CF" w:rsidRPr="098FA5AC">
        <w:rPr>
          <w:rFonts w:cs="Arial"/>
          <w:sz w:val="24"/>
          <w:szCs w:val="24"/>
        </w:rPr>
        <w:t>e</w:t>
      </w:r>
      <w:r w:rsidR="000312CD" w:rsidRPr="00817AAC">
        <w:rPr>
          <w:rFonts w:cs="Arial"/>
          <w:sz w:val="24"/>
          <w:szCs w:val="24"/>
        </w:rPr>
        <w:t xml:space="preserve"> &amp; Prevention Research Center to conduct the Prevention Services Resource Inventor to capture information on substance misuse prevention resources across the State. </w:t>
      </w:r>
    </w:p>
    <w:p w14:paraId="3A88CD25" w14:textId="77777777" w:rsidR="00817AAC" w:rsidRPr="00104870" w:rsidRDefault="00817AAC" w:rsidP="00C83593">
      <w:pPr>
        <w:spacing w:beforeAutospacing="1" w:afterAutospacing="1"/>
        <w:jc w:val="both"/>
        <w:rPr>
          <w:rFonts w:cs="Arial"/>
          <w:sz w:val="24"/>
          <w:szCs w:val="24"/>
        </w:rPr>
      </w:pPr>
    </w:p>
    <w:p w14:paraId="62F5C46B" w14:textId="6773D06D" w:rsidR="009B0FCC" w:rsidRDefault="009B0FCC" w:rsidP="00C83593">
      <w:pPr>
        <w:jc w:val="both"/>
        <w:rPr>
          <w:b/>
          <w:bCs/>
          <w:sz w:val="24"/>
          <w:szCs w:val="24"/>
        </w:rPr>
      </w:pPr>
      <w:bookmarkStart w:id="27" w:name="_Hlk193710286"/>
      <w:r w:rsidRPr="6D2C4508">
        <w:rPr>
          <w:b/>
          <w:bCs/>
          <w:sz w:val="24"/>
          <w:szCs w:val="24"/>
        </w:rPr>
        <w:t xml:space="preserve">Discuss the size and characteristics of the population with HIV/AIDS and their families within the Eligible Metropolitan Statistical Area: </w:t>
      </w:r>
    </w:p>
    <w:p w14:paraId="4EB8F001" w14:textId="572B3BD5" w:rsidR="4D8DF29D" w:rsidRPr="001770B0" w:rsidRDefault="009877D0" w:rsidP="001770B0">
      <w:r w:rsidRPr="001770B0">
        <w:rPr>
          <w:sz w:val="24"/>
          <w:szCs w:val="24"/>
        </w:rPr>
        <w:t xml:space="preserve">See </w:t>
      </w:r>
      <w:r w:rsidR="001770B0">
        <w:rPr>
          <w:sz w:val="24"/>
          <w:szCs w:val="24"/>
        </w:rPr>
        <w:t>U</w:t>
      </w:r>
      <w:r w:rsidRPr="001770B0">
        <w:rPr>
          <w:sz w:val="24"/>
          <w:szCs w:val="24"/>
        </w:rPr>
        <w:t xml:space="preserve">nique </w:t>
      </w:r>
      <w:r w:rsidR="001770B0">
        <w:rPr>
          <w:sz w:val="24"/>
          <w:szCs w:val="24"/>
        </w:rPr>
        <w:t>A</w:t>
      </w:r>
      <w:r w:rsidRPr="001770B0">
        <w:rPr>
          <w:sz w:val="24"/>
          <w:szCs w:val="24"/>
        </w:rPr>
        <w:t>ppendices</w:t>
      </w:r>
      <w:bookmarkEnd w:id="27"/>
      <w:r w:rsidR="001770B0">
        <w:rPr>
          <w:sz w:val="24"/>
          <w:szCs w:val="24"/>
        </w:rPr>
        <w:t>.</w:t>
      </w:r>
      <w:r w:rsidR="4D8DF29D" w:rsidRPr="001770B0">
        <w:br/>
      </w:r>
    </w:p>
    <w:p w14:paraId="0CD7176D" w14:textId="77777777" w:rsidR="00DC65EB" w:rsidRPr="00A15816" w:rsidRDefault="009B0FCC" w:rsidP="00C83593">
      <w:pPr>
        <w:spacing w:line="204" w:lineRule="auto"/>
        <w:jc w:val="both"/>
        <w:rPr>
          <w:sz w:val="24"/>
          <w:szCs w:val="24"/>
        </w:rPr>
      </w:pPr>
      <w:r>
        <w:rPr>
          <w:b/>
          <w:sz w:val="24"/>
          <w:szCs w:val="24"/>
        </w:rPr>
        <w:t>If the PJ will establish a preference for a HOME TBRA activity for persons with a specific category of disabilities (e.g., persons with HIV/AIDS or chronic mental illness), describe their unmet need for housing and services needed to narrow the gap in benefits and services received by such persons. (See 24 CFR 92.209(c)(2) (ii))</w:t>
      </w:r>
      <w:r w:rsidR="00DC65EB">
        <w:rPr>
          <w:b/>
          <w:sz w:val="24"/>
          <w:szCs w:val="24"/>
        </w:rPr>
        <w:br/>
      </w:r>
      <w:r w:rsidR="00DC65EB">
        <w:rPr>
          <w:b/>
          <w:sz w:val="24"/>
          <w:szCs w:val="24"/>
        </w:rPr>
        <w:br/>
      </w:r>
      <w:r w:rsidR="00DC65EB" w:rsidRPr="00B67668">
        <w:rPr>
          <w:rFonts w:cs="Arial"/>
          <w:sz w:val="24"/>
          <w:szCs w:val="24"/>
        </w:rPr>
        <w:t>IHFA during the five-year Consolidated Plan will develop a HOME TBRA program.  Eligible households will include those meeting a special needs population.  This will not be an activity until at least 2027, as IHFA will need to develop the program.</w:t>
      </w:r>
    </w:p>
    <w:p w14:paraId="02B3B023" w14:textId="668FF4DE" w:rsidR="009B0FCC" w:rsidRDefault="009B0FCC" w:rsidP="00C83593">
      <w:pPr>
        <w:spacing w:line="204" w:lineRule="auto"/>
        <w:jc w:val="both"/>
        <w:rPr>
          <w:b/>
          <w:bCs/>
          <w:sz w:val="24"/>
          <w:szCs w:val="24"/>
        </w:rPr>
      </w:pPr>
      <w:r w:rsidRPr="3E9B4CC2">
        <w:rPr>
          <w:b/>
          <w:bCs/>
          <w:sz w:val="24"/>
          <w:szCs w:val="24"/>
        </w:rPr>
        <w:t>Discussion:</w:t>
      </w:r>
    </w:p>
    <w:p w14:paraId="5179FF41" w14:textId="50367D6B" w:rsidR="49DD6AF6" w:rsidRPr="00C83593" w:rsidRDefault="00B67668" w:rsidP="00C83593">
      <w:pPr>
        <w:spacing w:line="204" w:lineRule="auto"/>
        <w:jc w:val="both"/>
        <w:rPr>
          <w:sz w:val="24"/>
          <w:szCs w:val="24"/>
        </w:rPr>
      </w:pPr>
      <w:r w:rsidRPr="00C83593">
        <w:rPr>
          <w:sz w:val="24"/>
          <w:szCs w:val="24"/>
        </w:rPr>
        <w:t>None</w:t>
      </w:r>
    </w:p>
    <w:p w14:paraId="4278DF1E" w14:textId="77777777" w:rsidR="009B0FCC" w:rsidRDefault="009B0FCC" w:rsidP="00C83593">
      <w:pPr>
        <w:pStyle w:val="Heading2"/>
        <w:pageBreakBefore/>
        <w:jc w:val="both"/>
        <w:rPr>
          <w:rFonts w:ascii="Calibri" w:hAnsi="Calibri"/>
          <w:i/>
          <w:iCs/>
        </w:rPr>
      </w:pPr>
      <w:bookmarkStart w:id="28" w:name="_Toc194673844"/>
      <w:r w:rsidRPr="6D2C4508">
        <w:rPr>
          <w:rFonts w:ascii="Calibri" w:hAnsi="Calibri"/>
        </w:rPr>
        <w:lastRenderedPageBreak/>
        <w:t>NA-50 Non-Housing Community Development Needs - 91.315 (f)</w:t>
      </w:r>
      <w:bookmarkEnd w:id="28"/>
    </w:p>
    <w:p w14:paraId="321468C7" w14:textId="77777777" w:rsidR="009B0FCC" w:rsidRDefault="009B0FCC" w:rsidP="00C83593">
      <w:pPr>
        <w:jc w:val="both"/>
        <w:rPr>
          <w:b/>
          <w:sz w:val="24"/>
          <w:szCs w:val="24"/>
        </w:rPr>
      </w:pPr>
      <w:r w:rsidRPr="6D2C4508">
        <w:rPr>
          <w:b/>
          <w:bCs/>
          <w:sz w:val="24"/>
          <w:szCs w:val="24"/>
        </w:rPr>
        <w:t>Describe the jurisdiction’s need for Public Facilities:</w:t>
      </w:r>
    </w:p>
    <w:p w14:paraId="7EF233EF" w14:textId="04AED864" w:rsidR="43E51C09" w:rsidRPr="00817AAC" w:rsidRDefault="00817AAC" w:rsidP="00C83593">
      <w:pPr>
        <w:spacing w:before="100" w:beforeAutospacing="1" w:after="100" w:afterAutospacing="1"/>
        <w:jc w:val="both"/>
        <w:rPr>
          <w:rFonts w:cs="Arial"/>
          <w:sz w:val="24"/>
          <w:szCs w:val="24"/>
        </w:rPr>
      </w:pPr>
      <w:r w:rsidRPr="787E070B">
        <w:rPr>
          <w:rFonts w:cs="Arial"/>
          <w:sz w:val="24"/>
          <w:szCs w:val="24"/>
        </w:rPr>
        <w:t xml:space="preserve">Over 86% </w:t>
      </w:r>
      <w:r w:rsidR="43E51C09" w:rsidRPr="787E070B">
        <w:rPr>
          <w:rFonts w:cs="Arial"/>
          <w:sz w:val="24"/>
          <w:szCs w:val="24"/>
        </w:rPr>
        <w:t>of the</w:t>
      </w:r>
      <w:r w:rsidR="26CD4308" w:rsidRPr="787E070B">
        <w:rPr>
          <w:rFonts w:cs="Arial"/>
          <w:sz w:val="24"/>
          <w:szCs w:val="24"/>
        </w:rPr>
        <w:t xml:space="preserve"> </w:t>
      </w:r>
      <w:r w:rsidR="0F7AD91D" w:rsidRPr="787E070B">
        <w:rPr>
          <w:rFonts w:cs="Arial"/>
          <w:sz w:val="24"/>
          <w:szCs w:val="24"/>
        </w:rPr>
        <w:t>CDBG non-housing community development needs survey</w:t>
      </w:r>
      <w:r w:rsidR="6AF85107" w:rsidRPr="787E070B">
        <w:rPr>
          <w:rFonts w:cs="Arial"/>
          <w:sz w:val="24"/>
          <w:szCs w:val="24"/>
        </w:rPr>
        <w:t xml:space="preserve"> </w:t>
      </w:r>
      <w:r w:rsidR="3F790147" w:rsidRPr="787E070B">
        <w:rPr>
          <w:rFonts w:cs="Arial"/>
          <w:sz w:val="24"/>
          <w:szCs w:val="24"/>
        </w:rPr>
        <w:t xml:space="preserve">responses indicated a high need for public facilities and infrastructure </w:t>
      </w:r>
      <w:r w:rsidR="13B6FCE0" w:rsidRPr="787E070B">
        <w:rPr>
          <w:rFonts w:cs="Arial"/>
          <w:sz w:val="24"/>
          <w:szCs w:val="24"/>
        </w:rPr>
        <w:t xml:space="preserve">funding set-asides. </w:t>
      </w:r>
    </w:p>
    <w:p w14:paraId="0BDD6991" w14:textId="3B4EA0CE" w:rsidR="3E9B4CC2" w:rsidRDefault="6A9DE788" w:rsidP="00C83593">
      <w:pPr>
        <w:jc w:val="both"/>
        <w:rPr>
          <w:rFonts w:cs="Arial"/>
        </w:rPr>
      </w:pPr>
      <w:r w:rsidRPr="00817AAC">
        <w:rPr>
          <w:rFonts w:cs="Calibri"/>
          <w:sz w:val="24"/>
          <w:szCs w:val="24"/>
        </w:rPr>
        <w:t xml:space="preserve">Based on the local government needs survey conducted by Commerce in July of 2024 (survey results attached) the top three public facility needs are for improvements of parks and recreation facilities, fire/EMT stations, and senior centers.  </w:t>
      </w:r>
    </w:p>
    <w:p w14:paraId="540473D5" w14:textId="77777777" w:rsidR="009B0FCC" w:rsidRDefault="009B0FCC" w:rsidP="00C83593">
      <w:pPr>
        <w:jc w:val="both"/>
        <w:rPr>
          <w:b/>
          <w:sz w:val="24"/>
          <w:szCs w:val="24"/>
        </w:rPr>
      </w:pPr>
      <w:r>
        <w:rPr>
          <w:b/>
          <w:sz w:val="24"/>
          <w:szCs w:val="24"/>
        </w:rPr>
        <w:t>How were these needs determined?</w:t>
      </w:r>
    </w:p>
    <w:p w14:paraId="08147FAF" w14:textId="434EB33F" w:rsidR="00A55C4A" w:rsidRPr="00A55C4A" w:rsidRDefault="00A55C4A" w:rsidP="00C83593">
      <w:pPr>
        <w:spacing w:beforeAutospacing="1" w:afterAutospacing="1"/>
        <w:jc w:val="both"/>
        <w:rPr>
          <w:rFonts w:cs="Arial"/>
          <w:sz w:val="24"/>
          <w:szCs w:val="24"/>
        </w:rPr>
      </w:pPr>
      <w:r w:rsidRPr="00A55C4A">
        <w:rPr>
          <w:rFonts w:cs="Arial"/>
          <w:sz w:val="24"/>
          <w:szCs w:val="24"/>
        </w:rPr>
        <w:t xml:space="preserve">The needs of the state CDBGs’ jurisdictions (cities and counties) for public facilities, public improvements (infrastructure), services, and economic development activities </w:t>
      </w:r>
      <w:proofErr w:type="gramStart"/>
      <w:r w:rsidRPr="00A55C4A">
        <w:rPr>
          <w:rFonts w:cs="Arial"/>
          <w:sz w:val="24"/>
          <w:szCs w:val="24"/>
        </w:rPr>
        <w:t>is</w:t>
      </w:r>
      <w:proofErr w:type="gramEnd"/>
      <w:r w:rsidRPr="00A55C4A">
        <w:rPr>
          <w:rFonts w:cs="Arial"/>
          <w:sz w:val="24"/>
          <w:szCs w:val="24"/>
        </w:rPr>
        <w:t xml:space="preserve"> based on </w:t>
      </w:r>
      <w:proofErr w:type="gramStart"/>
      <w:r w:rsidRPr="00A55C4A">
        <w:rPr>
          <w:rFonts w:cs="Arial"/>
          <w:sz w:val="24"/>
          <w:szCs w:val="24"/>
        </w:rPr>
        <w:t>a number of</w:t>
      </w:r>
      <w:proofErr w:type="gramEnd"/>
      <w:r w:rsidRPr="00A55C4A">
        <w:rPr>
          <w:rFonts w:cs="Arial"/>
          <w:sz w:val="24"/>
          <w:szCs w:val="24"/>
        </w:rPr>
        <w:t xml:space="preserve"> variables. These variables include geographic locations, economic variables, population, governance philosophies, and the existing services provided by the city or county. </w:t>
      </w:r>
      <w:r>
        <w:rPr>
          <w:rFonts w:cs="Arial"/>
          <w:sz w:val="24"/>
          <w:szCs w:val="24"/>
        </w:rPr>
        <w:t xml:space="preserve">The responses received from jurisdictions across the state assisted in determining need along with feedback at community meetings. </w:t>
      </w:r>
    </w:p>
    <w:p w14:paraId="2D552E02" w14:textId="77777777" w:rsidR="009B0FCC" w:rsidRDefault="009B0FCC" w:rsidP="00C83593">
      <w:pPr>
        <w:jc w:val="both"/>
        <w:rPr>
          <w:b/>
          <w:sz w:val="24"/>
          <w:szCs w:val="24"/>
        </w:rPr>
      </w:pPr>
      <w:bookmarkStart w:id="29" w:name="_Hlk193712154"/>
      <w:r>
        <w:rPr>
          <w:b/>
          <w:sz w:val="24"/>
          <w:szCs w:val="24"/>
        </w:rPr>
        <w:t>Describe the jurisdiction’s need for Public Improvements:</w:t>
      </w:r>
    </w:p>
    <w:p w14:paraId="4C129C1D" w14:textId="22AAFBFE" w:rsidR="004432B8" w:rsidRPr="004432B8" w:rsidRDefault="008F698B" w:rsidP="00C83593">
      <w:pPr>
        <w:spacing w:beforeAutospacing="1" w:afterAutospacing="1"/>
        <w:jc w:val="both"/>
        <w:rPr>
          <w:rFonts w:cs="Arial"/>
          <w:b/>
          <w:bCs/>
        </w:rPr>
      </w:pPr>
      <w:r w:rsidRPr="00A55C4A">
        <w:rPr>
          <w:rFonts w:cs="Arial"/>
          <w:sz w:val="24"/>
          <w:szCs w:val="24"/>
        </w:rPr>
        <w:t>Based on the local government needs survey, the top needs are water, sewer, streets, and sidewalk systems.</w:t>
      </w:r>
      <w:r w:rsidR="00A55C4A">
        <w:rPr>
          <w:rFonts w:cs="Arial"/>
          <w:sz w:val="24"/>
          <w:szCs w:val="24"/>
        </w:rPr>
        <w:t xml:space="preserve"> These results were supported by feedback at community meetings.</w:t>
      </w:r>
    </w:p>
    <w:p w14:paraId="37D2CF74" w14:textId="77777777" w:rsidR="009B0FCC" w:rsidRDefault="009B0FCC" w:rsidP="00C83593">
      <w:pPr>
        <w:jc w:val="both"/>
        <w:rPr>
          <w:b/>
          <w:bCs/>
          <w:sz w:val="24"/>
          <w:szCs w:val="24"/>
        </w:rPr>
      </w:pPr>
      <w:r w:rsidRPr="00A55C4A">
        <w:rPr>
          <w:b/>
          <w:bCs/>
          <w:sz w:val="24"/>
          <w:szCs w:val="24"/>
        </w:rPr>
        <w:t>How were these needs determined?</w:t>
      </w:r>
    </w:p>
    <w:bookmarkEnd w:id="29"/>
    <w:p w14:paraId="1E0A888B" w14:textId="52853AE6" w:rsidR="00065FC0" w:rsidRPr="001770B0" w:rsidRDefault="00065FC0" w:rsidP="00C83593">
      <w:pPr>
        <w:jc w:val="both"/>
        <w:rPr>
          <w:sz w:val="24"/>
          <w:szCs w:val="24"/>
        </w:rPr>
      </w:pPr>
      <w:r w:rsidRPr="001770B0">
        <w:rPr>
          <w:sz w:val="24"/>
          <w:szCs w:val="24"/>
        </w:rPr>
        <w:t xml:space="preserve">See </w:t>
      </w:r>
      <w:r w:rsidR="001770B0">
        <w:rPr>
          <w:sz w:val="24"/>
          <w:szCs w:val="24"/>
        </w:rPr>
        <w:t>U</w:t>
      </w:r>
      <w:r w:rsidRPr="001770B0">
        <w:rPr>
          <w:sz w:val="24"/>
          <w:szCs w:val="24"/>
        </w:rPr>
        <w:t xml:space="preserve">nique </w:t>
      </w:r>
      <w:r w:rsidR="001770B0">
        <w:rPr>
          <w:sz w:val="24"/>
          <w:szCs w:val="24"/>
        </w:rPr>
        <w:t>A</w:t>
      </w:r>
      <w:r w:rsidRPr="001770B0">
        <w:rPr>
          <w:sz w:val="24"/>
          <w:szCs w:val="24"/>
        </w:rPr>
        <w:t>ppendices</w:t>
      </w:r>
      <w:r w:rsidR="001770B0">
        <w:rPr>
          <w:sz w:val="24"/>
          <w:szCs w:val="24"/>
        </w:rPr>
        <w:t>.</w:t>
      </w:r>
    </w:p>
    <w:p w14:paraId="5A4764DB" w14:textId="77777777" w:rsidR="009B0FCC" w:rsidRPr="00A55C4A" w:rsidRDefault="009B0FCC" w:rsidP="00C83593">
      <w:pPr>
        <w:jc w:val="both"/>
        <w:rPr>
          <w:b/>
          <w:sz w:val="24"/>
          <w:szCs w:val="24"/>
        </w:rPr>
      </w:pPr>
      <w:r w:rsidRPr="00A55C4A">
        <w:rPr>
          <w:b/>
          <w:sz w:val="24"/>
          <w:szCs w:val="24"/>
        </w:rPr>
        <w:t>Describe the jurisdiction’s need for Public Services:</w:t>
      </w:r>
    </w:p>
    <w:p w14:paraId="6020753B" w14:textId="5B290F7C" w:rsidR="008F698B" w:rsidRPr="00A55C4A" w:rsidRDefault="00A55C4A" w:rsidP="00C83593">
      <w:pPr>
        <w:jc w:val="both"/>
        <w:rPr>
          <w:rFonts w:cs="Calibri"/>
          <w:sz w:val="24"/>
          <w:szCs w:val="24"/>
        </w:rPr>
      </w:pPr>
      <w:r w:rsidRPr="787E070B">
        <w:rPr>
          <w:rFonts w:cs="Arial"/>
          <w:sz w:val="24"/>
          <w:szCs w:val="24"/>
        </w:rPr>
        <w:t xml:space="preserve">Based on community consultation, the top service needs in the community relate to services for children, especially daycare services, services for seniors, and assistance to address mental health and substance misuse.  </w:t>
      </w:r>
    </w:p>
    <w:p w14:paraId="7FF4FEF2" w14:textId="77777777" w:rsidR="009B0FCC" w:rsidRDefault="009B0FCC" w:rsidP="00C83593">
      <w:pPr>
        <w:jc w:val="both"/>
        <w:rPr>
          <w:b/>
          <w:sz w:val="24"/>
          <w:szCs w:val="24"/>
        </w:rPr>
      </w:pPr>
      <w:r w:rsidRPr="00A55C4A">
        <w:rPr>
          <w:b/>
          <w:sz w:val="24"/>
          <w:szCs w:val="24"/>
        </w:rPr>
        <w:t>How were these needs determined?</w:t>
      </w:r>
    </w:p>
    <w:p w14:paraId="499BB0F6" w14:textId="77777777" w:rsidR="00AF6280" w:rsidRPr="00A55C4A" w:rsidRDefault="00AF6280" w:rsidP="00C83593">
      <w:pPr>
        <w:jc w:val="both"/>
        <w:rPr>
          <w:rFonts w:cs="Arial"/>
          <w:sz w:val="24"/>
          <w:szCs w:val="24"/>
        </w:rPr>
      </w:pPr>
      <w:r>
        <w:rPr>
          <w:rFonts w:cs="Arial"/>
          <w:sz w:val="24"/>
          <w:szCs w:val="24"/>
        </w:rPr>
        <w:t xml:space="preserve">These needs were determined based on community consultation with residents as meetings across the state as well as with stakeholders through one-on-one interviews. </w:t>
      </w:r>
    </w:p>
    <w:p w14:paraId="64591C33" w14:textId="77777777" w:rsidR="00AF6280" w:rsidRPr="00A55C4A" w:rsidRDefault="00AF6280" w:rsidP="00C83593">
      <w:pPr>
        <w:jc w:val="both"/>
        <w:rPr>
          <w:b/>
          <w:sz w:val="24"/>
          <w:szCs w:val="24"/>
        </w:rPr>
      </w:pPr>
    </w:p>
    <w:p w14:paraId="2332E69E" w14:textId="65EA719D" w:rsidR="009B0FCC" w:rsidRDefault="009B0FCC" w:rsidP="00C83593">
      <w:pPr>
        <w:pStyle w:val="Heading1"/>
        <w:pageBreakBefore/>
        <w:jc w:val="both"/>
        <w:rPr>
          <w:rFonts w:ascii="Calibri" w:hAnsi="Calibri"/>
          <w:color w:val="auto"/>
          <w:sz w:val="32"/>
          <w:szCs w:val="32"/>
        </w:rPr>
      </w:pPr>
      <w:bookmarkStart w:id="30" w:name="_Toc194673845"/>
      <w:r>
        <w:rPr>
          <w:rFonts w:ascii="Calibri" w:hAnsi="Calibri"/>
          <w:color w:val="auto"/>
          <w:sz w:val="32"/>
          <w:szCs w:val="32"/>
        </w:rPr>
        <w:lastRenderedPageBreak/>
        <w:t>Housing Market Analysis</w:t>
      </w:r>
      <w:bookmarkEnd w:id="30"/>
    </w:p>
    <w:p w14:paraId="72C60773" w14:textId="77777777" w:rsidR="009B0FCC" w:rsidRDefault="009B0FCC" w:rsidP="00C83593">
      <w:pPr>
        <w:pStyle w:val="Heading2"/>
        <w:jc w:val="both"/>
        <w:rPr>
          <w:rFonts w:ascii="Calibri" w:hAnsi="Calibri"/>
          <w:i/>
        </w:rPr>
      </w:pPr>
      <w:bookmarkStart w:id="31" w:name="_Toc194673846"/>
      <w:r>
        <w:rPr>
          <w:rFonts w:ascii="Calibri" w:hAnsi="Calibri"/>
        </w:rPr>
        <w:t>MA-05 Overview</w:t>
      </w:r>
      <w:bookmarkEnd w:id="31"/>
    </w:p>
    <w:p w14:paraId="3218AEA1" w14:textId="77777777" w:rsidR="009B0FCC" w:rsidRDefault="009B0FCC" w:rsidP="00C83593">
      <w:pPr>
        <w:jc w:val="both"/>
        <w:rPr>
          <w:b/>
          <w:bCs/>
          <w:sz w:val="24"/>
          <w:szCs w:val="24"/>
        </w:rPr>
      </w:pPr>
      <w:r w:rsidRPr="497B8E2D">
        <w:rPr>
          <w:b/>
          <w:bCs/>
          <w:sz w:val="24"/>
          <w:szCs w:val="24"/>
        </w:rPr>
        <w:t>Housing Market Analysis Overview:</w:t>
      </w:r>
    </w:p>
    <w:p w14:paraId="7F84F04E" w14:textId="5DAB1A57" w:rsidR="6B2CD0C3" w:rsidRPr="00DA2F97" w:rsidRDefault="64311D7F" w:rsidP="00C83593">
      <w:pPr>
        <w:jc w:val="both"/>
        <w:rPr>
          <w:rFonts w:cs="Calibri"/>
        </w:rPr>
      </w:pPr>
      <w:r w:rsidRPr="00DA2F97">
        <w:rPr>
          <w:rFonts w:cs="Calibri"/>
        </w:rPr>
        <w:t xml:space="preserve">In Idaho, single-family homes account for </w:t>
      </w:r>
      <w:proofErr w:type="gramStart"/>
      <w:r w:rsidRPr="00DA2F97">
        <w:rPr>
          <w:rFonts w:cs="Calibri"/>
        </w:rPr>
        <w:t>the majority of</w:t>
      </w:r>
      <w:proofErr w:type="gramEnd"/>
      <w:r w:rsidRPr="00DA2F97">
        <w:rPr>
          <w:rFonts w:cs="Calibri"/>
        </w:rPr>
        <w:t xml:space="preserve"> homes throughout the State. According to 2018-2022 Census data, about 70% of occupied households are owners and 30% are renters. The median home value increased by a staggering 87.6% between 2017 and 2022 and almost 20% of homeowners were cost burdened in 2022. The median gross rent increased by about 34% statewide between 2017 and 2022, and 42% of renters were cost burdened in 2022. As housing costs continue to rise, more households are experiencing cost burden and other housing problems.</w:t>
      </w:r>
    </w:p>
    <w:p w14:paraId="7148DCB7" w14:textId="55278470" w:rsidR="64311D7F" w:rsidRPr="00DA2F97" w:rsidRDefault="64311D7F" w:rsidP="00C83593">
      <w:pPr>
        <w:jc w:val="both"/>
        <w:rPr>
          <w:rFonts w:cs="Calibri"/>
        </w:rPr>
      </w:pPr>
      <w:r w:rsidRPr="00DA2F97">
        <w:rPr>
          <w:rFonts w:cs="Calibri"/>
        </w:rPr>
        <w:t>About 41% of the State’s housing stock was built prior to 1980. Older housing units may be in need or rehabilitation or critical repairs. About 47% of the City’s renter-occupied housing stock was constructed prior to 1980 and 42% of owner-occupied housing stock was built before 1980. Overall, renters are almost twice as likely to have a housing problem than homeowners – 48.4% of renter households experience one or more housing conditions and only 21.2% of homeowner households experience one or more housing conditions.</w:t>
      </w:r>
    </w:p>
    <w:p w14:paraId="1B07F7E4" w14:textId="6069E392" w:rsidR="098FA5AC" w:rsidRDefault="098FA5AC" w:rsidP="00C83593">
      <w:pPr>
        <w:jc w:val="both"/>
        <w:rPr>
          <w:sz w:val="24"/>
          <w:szCs w:val="24"/>
        </w:rPr>
      </w:pPr>
    </w:p>
    <w:p w14:paraId="77F02708" w14:textId="77777777" w:rsidR="009B0FCC" w:rsidRDefault="009B0FCC" w:rsidP="00C83593">
      <w:pPr>
        <w:jc w:val="both"/>
        <w:rPr>
          <w:rFonts w:cs="Arial"/>
        </w:rPr>
      </w:pPr>
    </w:p>
    <w:p w14:paraId="53166839" w14:textId="77777777" w:rsidR="009B0FCC" w:rsidRDefault="009B0FCC" w:rsidP="00C83593">
      <w:pPr>
        <w:jc w:val="both"/>
        <w:rPr>
          <w:rFonts w:cs="Arial"/>
        </w:rPr>
      </w:pPr>
    </w:p>
    <w:p w14:paraId="1DA93889" w14:textId="77777777" w:rsidR="009B0FCC" w:rsidRDefault="009B0FCC" w:rsidP="00C83593">
      <w:pPr>
        <w:pStyle w:val="Heading2"/>
        <w:pageBreakBefore/>
        <w:jc w:val="both"/>
        <w:rPr>
          <w:rFonts w:ascii="Calibri" w:hAnsi="Calibri"/>
          <w:i/>
        </w:rPr>
      </w:pPr>
      <w:bookmarkStart w:id="32" w:name="_Toc194673847"/>
      <w:r>
        <w:rPr>
          <w:rFonts w:ascii="Calibri" w:hAnsi="Calibri"/>
        </w:rPr>
        <w:lastRenderedPageBreak/>
        <w:t>MA-10 Number of Housing Units – 91.310(a)</w:t>
      </w:r>
      <w:bookmarkEnd w:id="32"/>
    </w:p>
    <w:p w14:paraId="7FEAB3D6" w14:textId="77777777" w:rsidR="009B0FCC" w:rsidRDefault="009B0FCC" w:rsidP="00C83593">
      <w:pPr>
        <w:spacing w:line="204" w:lineRule="auto"/>
        <w:jc w:val="both"/>
        <w:rPr>
          <w:b/>
          <w:sz w:val="24"/>
          <w:szCs w:val="24"/>
        </w:rPr>
      </w:pPr>
      <w:r w:rsidRPr="497B8E2D">
        <w:rPr>
          <w:b/>
          <w:bCs/>
          <w:sz w:val="24"/>
          <w:szCs w:val="24"/>
        </w:rPr>
        <w:t>Introduction</w:t>
      </w:r>
    </w:p>
    <w:p w14:paraId="6A02114D" w14:textId="2FBA508C" w:rsidR="009B0FCC" w:rsidRPr="00C00F48" w:rsidRDefault="00A55C4A" w:rsidP="00C83593">
      <w:pPr>
        <w:spacing w:beforeAutospacing="1" w:afterAutospacing="1"/>
        <w:jc w:val="both"/>
        <w:rPr>
          <w:rFonts w:cs="Calibri"/>
          <w:color w:val="000000" w:themeColor="text1"/>
          <w:sz w:val="24"/>
          <w:szCs w:val="24"/>
        </w:rPr>
      </w:pPr>
      <w:r>
        <w:rPr>
          <w:rFonts w:cs="Calibri"/>
          <w:color w:val="000000" w:themeColor="text1"/>
          <w:sz w:val="24"/>
          <w:szCs w:val="24"/>
        </w:rPr>
        <w:t xml:space="preserve">Data provided from the </w:t>
      </w:r>
      <w:r w:rsidR="009B0FCC" w:rsidRPr="00C00F48">
        <w:rPr>
          <w:rFonts w:cs="Calibri"/>
          <w:color w:val="000000" w:themeColor="text1"/>
          <w:sz w:val="24"/>
          <w:szCs w:val="24"/>
        </w:rPr>
        <w:t xml:space="preserve">2016-2020 ACS estimated that the State of Idaho had 701,196 housing units, of which 77% are single-family homes. 15% of housing units are duplexes, quadruplexes, or smaller multifamily buildings (less than 20 units), 3% are larger multifamily buildings (20+ units), and 8% are mobile homes, boats, RV’s, vans, or other (as shown in Table 30). </w:t>
      </w:r>
    </w:p>
    <w:p w14:paraId="04677BE9" w14:textId="77777777" w:rsidR="009B0FCC" w:rsidRPr="00C00F48" w:rsidRDefault="009B0FCC" w:rsidP="00C83593">
      <w:pPr>
        <w:spacing w:beforeAutospacing="1" w:afterAutospacing="1"/>
        <w:jc w:val="both"/>
        <w:rPr>
          <w:rFonts w:cs="Calibri"/>
          <w:color w:val="000000" w:themeColor="text1"/>
          <w:sz w:val="24"/>
          <w:szCs w:val="24"/>
        </w:rPr>
      </w:pPr>
      <w:r w:rsidRPr="00C00F48">
        <w:rPr>
          <w:rFonts w:cs="Calibri"/>
          <w:color w:val="000000" w:themeColor="text1"/>
          <w:sz w:val="24"/>
          <w:szCs w:val="24"/>
        </w:rPr>
        <w:t xml:space="preserve">Among occupied households, 421,439 are homeowners and approximately 187,685 are renters. 82% of homeowner households have 3 or more bedrooms, while only 43% of renter units have 3 or more bedrooms. 38% of renter households have 2 bedrooms, 15% have 1 bedroom, and 4% have no bedrooms (as shown in Table 31). </w:t>
      </w:r>
    </w:p>
    <w:p w14:paraId="2A8A8AD6" w14:textId="77777777" w:rsidR="009B0FCC" w:rsidRDefault="009B0FCC" w:rsidP="009B0FCC">
      <w:pPr>
        <w:keepNext/>
        <w:widowControl w:val="0"/>
        <w:rPr>
          <w:b/>
          <w:sz w:val="24"/>
          <w:szCs w:val="24"/>
        </w:rPr>
      </w:pPr>
      <w:r>
        <w:rPr>
          <w:b/>
          <w:sz w:val="24"/>
          <w:szCs w:val="24"/>
        </w:rPr>
        <w:t>All residential properties by number of units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8"/>
        <w:gridCol w:w="3332"/>
        <w:gridCol w:w="2620"/>
      </w:tblGrid>
      <w:tr w:rsidR="009B0FCC" w14:paraId="6E96C229" w14:textId="77777777" w:rsidTr="00721F16">
        <w:trPr>
          <w:cantSplit/>
          <w:tblHeader/>
        </w:trPr>
        <w:tc>
          <w:tcPr>
            <w:tcW w:w="3028" w:type="dxa"/>
          </w:tcPr>
          <w:p w14:paraId="1FFCF3F5" w14:textId="77777777" w:rsidR="009B0FCC" w:rsidRDefault="009B0FCC" w:rsidP="00721F16">
            <w:pPr>
              <w:keepNext/>
              <w:widowControl w:val="0"/>
              <w:spacing w:after="0" w:line="240" w:lineRule="auto"/>
              <w:rPr>
                <w:b/>
                <w:bCs/>
              </w:rPr>
            </w:pPr>
            <w:r>
              <w:rPr>
                <w:b/>
                <w:bCs/>
              </w:rPr>
              <w:t>Property Type</w:t>
            </w:r>
          </w:p>
        </w:tc>
        <w:tc>
          <w:tcPr>
            <w:tcW w:w="3045" w:type="dxa"/>
          </w:tcPr>
          <w:p w14:paraId="4627CB08" w14:textId="77777777" w:rsidR="009B0FCC" w:rsidRDefault="009B0FCC" w:rsidP="00721F16">
            <w:pPr>
              <w:keepNext/>
              <w:widowControl w:val="0"/>
              <w:spacing w:after="0" w:line="240" w:lineRule="auto"/>
              <w:jc w:val="center"/>
              <w:rPr>
                <w:b/>
                <w:bCs/>
              </w:rPr>
            </w:pPr>
            <w:r>
              <w:rPr>
                <w:b/>
                <w:bCs/>
              </w:rPr>
              <w:t>Number</w:t>
            </w:r>
          </w:p>
        </w:tc>
        <w:tc>
          <w:tcPr>
            <w:tcW w:w="2394" w:type="dxa"/>
          </w:tcPr>
          <w:p w14:paraId="7FA4C140" w14:textId="77777777" w:rsidR="009B0FCC" w:rsidRDefault="009B0FCC" w:rsidP="00721F16">
            <w:pPr>
              <w:keepNext/>
              <w:widowControl w:val="0"/>
              <w:spacing w:after="0" w:line="240" w:lineRule="auto"/>
              <w:jc w:val="center"/>
              <w:rPr>
                <w:b/>
                <w:bCs/>
              </w:rPr>
            </w:pPr>
            <w:r>
              <w:rPr>
                <w:b/>
                <w:bCs/>
              </w:rPr>
              <w:t>%</w:t>
            </w:r>
          </w:p>
        </w:tc>
      </w:tr>
      <w:tr w:rsidR="009B0FCC" w14:paraId="66514C39" w14:textId="77777777" w:rsidTr="00721F16">
        <w:trPr>
          <w:cantSplit/>
        </w:trPr>
        <w:tc>
          <w:tcPr>
            <w:tcW w:w="0" w:type="auto"/>
          </w:tcPr>
          <w:p w14:paraId="28A3A04C" w14:textId="77777777" w:rsidR="009B0FCC" w:rsidRDefault="009B0FCC" w:rsidP="00721F16">
            <w:pPr>
              <w:spacing w:beforeAutospacing="1" w:afterAutospacing="1"/>
            </w:pPr>
            <w:r>
              <w:rPr>
                <w:color w:val="000000"/>
              </w:rPr>
              <w:t>1-unit detached structure</w:t>
            </w:r>
          </w:p>
        </w:tc>
        <w:tc>
          <w:tcPr>
            <w:tcW w:w="0" w:type="auto"/>
            <w:vAlign w:val="bottom"/>
          </w:tcPr>
          <w:p w14:paraId="284951C3" w14:textId="77777777" w:rsidR="009B0FCC" w:rsidRDefault="009B0FCC" w:rsidP="00721F16">
            <w:pPr>
              <w:spacing w:beforeAutospacing="1" w:afterAutospacing="1"/>
              <w:jc w:val="right"/>
            </w:pPr>
            <w:r>
              <w:rPr>
                <w:color w:val="000000"/>
              </w:rPr>
              <w:t>515,886</w:t>
            </w:r>
          </w:p>
        </w:tc>
        <w:tc>
          <w:tcPr>
            <w:tcW w:w="0" w:type="auto"/>
            <w:vAlign w:val="bottom"/>
          </w:tcPr>
          <w:p w14:paraId="1FD26AA0" w14:textId="77777777" w:rsidR="009B0FCC" w:rsidRDefault="009B0FCC" w:rsidP="00721F16">
            <w:pPr>
              <w:spacing w:beforeAutospacing="1" w:afterAutospacing="1"/>
              <w:jc w:val="right"/>
            </w:pPr>
            <w:r>
              <w:rPr>
                <w:color w:val="000000"/>
              </w:rPr>
              <w:t>74%</w:t>
            </w:r>
          </w:p>
        </w:tc>
      </w:tr>
      <w:tr w:rsidR="009B0FCC" w14:paraId="67048061" w14:textId="77777777" w:rsidTr="00721F16">
        <w:trPr>
          <w:cantSplit/>
        </w:trPr>
        <w:tc>
          <w:tcPr>
            <w:tcW w:w="0" w:type="auto"/>
          </w:tcPr>
          <w:p w14:paraId="57E60737" w14:textId="77777777" w:rsidR="009B0FCC" w:rsidRDefault="009B0FCC" w:rsidP="00721F16">
            <w:pPr>
              <w:spacing w:beforeAutospacing="1" w:afterAutospacing="1"/>
            </w:pPr>
            <w:r>
              <w:rPr>
                <w:color w:val="000000"/>
              </w:rPr>
              <w:t>1-unit, attached structure</w:t>
            </w:r>
          </w:p>
        </w:tc>
        <w:tc>
          <w:tcPr>
            <w:tcW w:w="0" w:type="auto"/>
            <w:vAlign w:val="bottom"/>
          </w:tcPr>
          <w:p w14:paraId="2EAFA106" w14:textId="77777777" w:rsidR="009B0FCC" w:rsidRDefault="009B0FCC" w:rsidP="00721F16">
            <w:pPr>
              <w:spacing w:beforeAutospacing="1" w:afterAutospacing="1"/>
              <w:jc w:val="right"/>
            </w:pPr>
            <w:r>
              <w:rPr>
                <w:color w:val="000000"/>
              </w:rPr>
              <w:t>20,420</w:t>
            </w:r>
          </w:p>
        </w:tc>
        <w:tc>
          <w:tcPr>
            <w:tcW w:w="0" w:type="auto"/>
            <w:vAlign w:val="bottom"/>
          </w:tcPr>
          <w:p w14:paraId="22C12711" w14:textId="77777777" w:rsidR="009B0FCC" w:rsidRDefault="009B0FCC" w:rsidP="00721F16">
            <w:pPr>
              <w:spacing w:beforeAutospacing="1" w:afterAutospacing="1"/>
              <w:jc w:val="right"/>
            </w:pPr>
            <w:r>
              <w:rPr>
                <w:color w:val="000000"/>
              </w:rPr>
              <w:t>3%</w:t>
            </w:r>
          </w:p>
        </w:tc>
      </w:tr>
      <w:tr w:rsidR="009B0FCC" w14:paraId="546C8B0C" w14:textId="77777777" w:rsidTr="00721F16">
        <w:trPr>
          <w:cantSplit/>
        </w:trPr>
        <w:tc>
          <w:tcPr>
            <w:tcW w:w="0" w:type="auto"/>
          </w:tcPr>
          <w:p w14:paraId="32BDF4D6" w14:textId="77777777" w:rsidR="009B0FCC" w:rsidRDefault="009B0FCC" w:rsidP="00721F16">
            <w:pPr>
              <w:spacing w:beforeAutospacing="1" w:afterAutospacing="1"/>
            </w:pPr>
            <w:r>
              <w:rPr>
                <w:color w:val="000000"/>
              </w:rPr>
              <w:t>2-4 units</w:t>
            </w:r>
          </w:p>
        </w:tc>
        <w:tc>
          <w:tcPr>
            <w:tcW w:w="0" w:type="auto"/>
            <w:vAlign w:val="bottom"/>
          </w:tcPr>
          <w:p w14:paraId="3C66894A" w14:textId="77777777" w:rsidR="009B0FCC" w:rsidRDefault="009B0FCC" w:rsidP="00721F16">
            <w:pPr>
              <w:spacing w:beforeAutospacing="1" w:afterAutospacing="1"/>
              <w:jc w:val="right"/>
            </w:pPr>
            <w:r>
              <w:rPr>
                <w:color w:val="000000"/>
              </w:rPr>
              <w:t>46,829</w:t>
            </w:r>
          </w:p>
        </w:tc>
        <w:tc>
          <w:tcPr>
            <w:tcW w:w="0" w:type="auto"/>
            <w:vAlign w:val="bottom"/>
          </w:tcPr>
          <w:p w14:paraId="44ADA3AA" w14:textId="77777777" w:rsidR="009B0FCC" w:rsidRDefault="009B0FCC" w:rsidP="00721F16">
            <w:pPr>
              <w:spacing w:beforeAutospacing="1" w:afterAutospacing="1"/>
              <w:jc w:val="right"/>
            </w:pPr>
            <w:r>
              <w:rPr>
                <w:color w:val="000000"/>
              </w:rPr>
              <w:t>7%</w:t>
            </w:r>
          </w:p>
        </w:tc>
      </w:tr>
      <w:tr w:rsidR="009B0FCC" w14:paraId="581A10D2" w14:textId="77777777" w:rsidTr="00721F16">
        <w:trPr>
          <w:cantSplit/>
        </w:trPr>
        <w:tc>
          <w:tcPr>
            <w:tcW w:w="0" w:type="auto"/>
          </w:tcPr>
          <w:p w14:paraId="631F207A" w14:textId="77777777" w:rsidR="009B0FCC" w:rsidRDefault="009B0FCC" w:rsidP="00721F16">
            <w:pPr>
              <w:spacing w:beforeAutospacing="1" w:afterAutospacing="1"/>
            </w:pPr>
            <w:r>
              <w:rPr>
                <w:color w:val="000000"/>
              </w:rPr>
              <w:t>5-19 units</w:t>
            </w:r>
          </w:p>
        </w:tc>
        <w:tc>
          <w:tcPr>
            <w:tcW w:w="0" w:type="auto"/>
            <w:vAlign w:val="bottom"/>
          </w:tcPr>
          <w:p w14:paraId="3C2DCF59" w14:textId="77777777" w:rsidR="009B0FCC" w:rsidRDefault="009B0FCC" w:rsidP="00721F16">
            <w:pPr>
              <w:spacing w:beforeAutospacing="1" w:afterAutospacing="1"/>
              <w:jc w:val="right"/>
            </w:pPr>
            <w:r>
              <w:rPr>
                <w:color w:val="000000"/>
              </w:rPr>
              <w:t>34,328</w:t>
            </w:r>
          </w:p>
        </w:tc>
        <w:tc>
          <w:tcPr>
            <w:tcW w:w="0" w:type="auto"/>
            <w:vAlign w:val="bottom"/>
          </w:tcPr>
          <w:p w14:paraId="447859CE" w14:textId="77777777" w:rsidR="009B0FCC" w:rsidRDefault="009B0FCC" w:rsidP="00721F16">
            <w:pPr>
              <w:spacing w:beforeAutospacing="1" w:afterAutospacing="1"/>
              <w:jc w:val="right"/>
            </w:pPr>
            <w:r>
              <w:rPr>
                <w:color w:val="000000"/>
              </w:rPr>
              <w:t>5%</w:t>
            </w:r>
          </w:p>
        </w:tc>
      </w:tr>
      <w:tr w:rsidR="009B0FCC" w14:paraId="63A04961" w14:textId="77777777" w:rsidTr="00721F16">
        <w:trPr>
          <w:cantSplit/>
        </w:trPr>
        <w:tc>
          <w:tcPr>
            <w:tcW w:w="0" w:type="auto"/>
          </w:tcPr>
          <w:p w14:paraId="7B043216" w14:textId="77777777" w:rsidR="009B0FCC" w:rsidRDefault="009B0FCC" w:rsidP="00721F16">
            <w:pPr>
              <w:spacing w:beforeAutospacing="1" w:afterAutospacing="1"/>
            </w:pPr>
            <w:r>
              <w:rPr>
                <w:color w:val="000000"/>
              </w:rPr>
              <w:t>20 or more units</w:t>
            </w:r>
          </w:p>
        </w:tc>
        <w:tc>
          <w:tcPr>
            <w:tcW w:w="0" w:type="auto"/>
            <w:vAlign w:val="bottom"/>
          </w:tcPr>
          <w:p w14:paraId="6B02621D" w14:textId="77777777" w:rsidR="009B0FCC" w:rsidRDefault="009B0FCC" w:rsidP="00721F16">
            <w:pPr>
              <w:spacing w:beforeAutospacing="1" w:afterAutospacing="1"/>
              <w:jc w:val="right"/>
            </w:pPr>
            <w:r>
              <w:rPr>
                <w:color w:val="000000"/>
              </w:rPr>
              <w:t>24,316</w:t>
            </w:r>
          </w:p>
        </w:tc>
        <w:tc>
          <w:tcPr>
            <w:tcW w:w="0" w:type="auto"/>
            <w:vAlign w:val="bottom"/>
          </w:tcPr>
          <w:p w14:paraId="557AD092" w14:textId="77777777" w:rsidR="009B0FCC" w:rsidRDefault="009B0FCC" w:rsidP="00721F16">
            <w:pPr>
              <w:spacing w:beforeAutospacing="1" w:afterAutospacing="1"/>
              <w:jc w:val="right"/>
            </w:pPr>
            <w:r>
              <w:rPr>
                <w:color w:val="000000"/>
              </w:rPr>
              <w:t>3%</w:t>
            </w:r>
          </w:p>
        </w:tc>
      </w:tr>
      <w:tr w:rsidR="009B0FCC" w14:paraId="54612402" w14:textId="77777777" w:rsidTr="00721F16">
        <w:trPr>
          <w:cantSplit/>
        </w:trPr>
        <w:tc>
          <w:tcPr>
            <w:tcW w:w="0" w:type="auto"/>
          </w:tcPr>
          <w:p w14:paraId="172BEE00" w14:textId="77777777" w:rsidR="009B0FCC" w:rsidRDefault="009B0FCC" w:rsidP="00721F16">
            <w:pPr>
              <w:spacing w:beforeAutospacing="1" w:afterAutospacing="1"/>
            </w:pPr>
            <w:r>
              <w:rPr>
                <w:color w:val="000000"/>
              </w:rPr>
              <w:t xml:space="preserve">Mobile Home, boat, RV, van, </w:t>
            </w:r>
            <w:proofErr w:type="spellStart"/>
            <w:r>
              <w:rPr>
                <w:color w:val="000000"/>
              </w:rPr>
              <w:t>etc</w:t>
            </w:r>
            <w:proofErr w:type="spellEnd"/>
          </w:p>
        </w:tc>
        <w:tc>
          <w:tcPr>
            <w:tcW w:w="0" w:type="auto"/>
            <w:vAlign w:val="bottom"/>
          </w:tcPr>
          <w:p w14:paraId="0B562EB9" w14:textId="77777777" w:rsidR="009B0FCC" w:rsidRDefault="009B0FCC" w:rsidP="00721F16">
            <w:pPr>
              <w:spacing w:beforeAutospacing="1" w:afterAutospacing="1"/>
              <w:jc w:val="right"/>
            </w:pPr>
            <w:r>
              <w:rPr>
                <w:color w:val="000000"/>
              </w:rPr>
              <w:t>59,417</w:t>
            </w:r>
          </w:p>
        </w:tc>
        <w:tc>
          <w:tcPr>
            <w:tcW w:w="0" w:type="auto"/>
            <w:vAlign w:val="bottom"/>
          </w:tcPr>
          <w:p w14:paraId="044B35F1" w14:textId="77777777" w:rsidR="009B0FCC" w:rsidRDefault="009B0FCC" w:rsidP="00721F16">
            <w:pPr>
              <w:spacing w:beforeAutospacing="1" w:afterAutospacing="1"/>
              <w:jc w:val="right"/>
            </w:pPr>
            <w:r>
              <w:rPr>
                <w:color w:val="000000"/>
              </w:rPr>
              <w:t>8%</w:t>
            </w:r>
          </w:p>
        </w:tc>
      </w:tr>
      <w:tr w:rsidR="009B0FCC" w14:paraId="34FEBFF9" w14:textId="77777777" w:rsidTr="00721F16">
        <w:trPr>
          <w:cantSplit/>
        </w:trPr>
        <w:tc>
          <w:tcPr>
            <w:tcW w:w="0" w:type="auto"/>
          </w:tcPr>
          <w:p w14:paraId="2DAF492E" w14:textId="77777777" w:rsidR="009B0FCC" w:rsidRDefault="009B0FCC" w:rsidP="00721F16">
            <w:pPr>
              <w:spacing w:beforeAutospacing="1" w:afterAutospacing="1"/>
            </w:pPr>
            <w:r>
              <w:rPr>
                <w:rFonts w:ascii="Verdana" w:hAnsi="Verdana"/>
                <w:b/>
                <w:i/>
                <w:color w:val="000000"/>
                <w:sz w:val="16"/>
              </w:rPr>
              <w:t>Total</w:t>
            </w:r>
          </w:p>
        </w:tc>
        <w:tc>
          <w:tcPr>
            <w:tcW w:w="0" w:type="auto"/>
          </w:tcPr>
          <w:p w14:paraId="38972521" w14:textId="77777777" w:rsidR="009B0FCC" w:rsidRDefault="009B0FCC" w:rsidP="00721F16">
            <w:pPr>
              <w:spacing w:beforeAutospacing="1" w:afterAutospacing="1"/>
              <w:jc w:val="right"/>
            </w:pPr>
            <w:r>
              <w:rPr>
                <w:rFonts w:ascii="Verdana" w:hAnsi="Verdana"/>
                <w:b/>
                <w:i/>
                <w:color w:val="000000"/>
                <w:sz w:val="16"/>
              </w:rPr>
              <w:t>701,196</w:t>
            </w:r>
          </w:p>
        </w:tc>
        <w:tc>
          <w:tcPr>
            <w:tcW w:w="0" w:type="auto"/>
          </w:tcPr>
          <w:p w14:paraId="19783E67" w14:textId="77777777" w:rsidR="009B0FCC" w:rsidRDefault="009B0FCC" w:rsidP="00721F16">
            <w:pPr>
              <w:spacing w:beforeAutospacing="1" w:afterAutospacing="1"/>
              <w:jc w:val="right"/>
            </w:pPr>
            <w:r>
              <w:rPr>
                <w:rFonts w:ascii="Verdana" w:hAnsi="Verdana"/>
                <w:b/>
                <w:i/>
                <w:color w:val="000000"/>
                <w:sz w:val="16"/>
              </w:rPr>
              <w:t>100%</w:t>
            </w:r>
          </w:p>
        </w:tc>
      </w:tr>
    </w:tbl>
    <w:p w14:paraId="2C178308"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30</w:t>
      </w:r>
      <w:r>
        <w:rPr>
          <w:rFonts w:asciiTheme="minorHAnsi" w:hAnsiTheme="minorHAnsi"/>
        </w:rPr>
        <w:fldChar w:fldCharType="end"/>
      </w:r>
      <w:r>
        <w:rPr>
          <w:rFonts w:asciiTheme="minorHAnsi" w:hAnsiTheme="minorHAnsi"/>
        </w:rPr>
        <w:t xml:space="preserve"> – Residential Properties by Unit Number</w:t>
      </w:r>
    </w:p>
    <w:tbl>
      <w:tblPr>
        <w:tblW w:w="5000" w:type="pct"/>
        <w:tblInd w:w="115" w:type="dxa"/>
        <w:tblLook w:val="01E0" w:firstRow="1" w:lastRow="1" w:firstColumn="1" w:lastColumn="1" w:noHBand="0" w:noVBand="0"/>
      </w:tblPr>
      <w:tblGrid>
        <w:gridCol w:w="1064"/>
        <w:gridCol w:w="8296"/>
      </w:tblGrid>
      <w:tr w:rsidR="009B0FCC" w14:paraId="5AD3724E" w14:textId="77777777" w:rsidTr="00721F16">
        <w:trPr>
          <w:cantSplit/>
        </w:trPr>
        <w:tc>
          <w:tcPr>
            <w:tcW w:w="1073" w:type="dxa"/>
          </w:tcPr>
          <w:p w14:paraId="1D0AA000"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3BA8EE87"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7CD4FC30" w14:textId="77777777" w:rsidR="009B0FCC" w:rsidRDefault="009B0FCC" w:rsidP="009B0FCC">
      <w:pPr>
        <w:spacing w:after="0" w:line="240" w:lineRule="auto"/>
        <w:rPr>
          <w:vanish/>
        </w:rPr>
      </w:pPr>
    </w:p>
    <w:p w14:paraId="11DBC62F" w14:textId="77777777" w:rsidR="009B0FCC" w:rsidRDefault="009B0FCC" w:rsidP="009B0FCC">
      <w:pPr>
        <w:rPr>
          <w:b/>
          <w:bCs/>
          <w:vanish/>
          <w:sz w:val="16"/>
          <w:szCs w:val="16"/>
        </w:rPr>
      </w:pPr>
    </w:p>
    <w:p w14:paraId="374EBF95" w14:textId="77777777" w:rsidR="009B0FCC" w:rsidRDefault="009B0FCC" w:rsidP="009B0FCC"/>
    <w:p w14:paraId="63188E0B" w14:textId="77777777" w:rsidR="009B0FCC" w:rsidRDefault="009B0FCC" w:rsidP="009B0FCC">
      <w:pPr>
        <w:keepNext/>
        <w:widowControl w:val="0"/>
        <w:rPr>
          <w:b/>
          <w:sz w:val="24"/>
          <w:szCs w:val="24"/>
        </w:rPr>
      </w:pPr>
      <w:r>
        <w:rPr>
          <w:b/>
          <w:sz w:val="24"/>
          <w:szCs w:val="24"/>
        </w:rPr>
        <w:t>Unit Size by Tenure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761"/>
        <w:gridCol w:w="1523"/>
        <w:gridCol w:w="1724"/>
        <w:gridCol w:w="1678"/>
      </w:tblGrid>
      <w:tr w:rsidR="009B0FCC" w14:paraId="4235A1DA" w14:textId="77777777" w:rsidTr="00721F16">
        <w:trPr>
          <w:cantSplit/>
          <w:tblHeader/>
        </w:trPr>
        <w:tc>
          <w:tcPr>
            <w:tcW w:w="2736" w:type="dxa"/>
            <w:vMerge w:val="restart"/>
          </w:tcPr>
          <w:p w14:paraId="400E30CF" w14:textId="77777777" w:rsidR="009B0FCC" w:rsidRDefault="009B0FCC" w:rsidP="00721F16">
            <w:pPr>
              <w:keepNext/>
              <w:widowControl w:val="0"/>
              <w:spacing w:after="0" w:line="240" w:lineRule="auto"/>
              <w:rPr>
                <w:b/>
                <w:bCs/>
              </w:rPr>
            </w:pPr>
          </w:p>
        </w:tc>
        <w:tc>
          <w:tcPr>
            <w:tcW w:w="3361" w:type="dxa"/>
            <w:gridSpan w:val="2"/>
          </w:tcPr>
          <w:p w14:paraId="7B7355DA" w14:textId="77777777" w:rsidR="009B0FCC" w:rsidRDefault="009B0FCC" w:rsidP="00721F16">
            <w:pPr>
              <w:keepNext/>
              <w:widowControl w:val="0"/>
              <w:spacing w:after="0" w:line="240" w:lineRule="auto"/>
              <w:jc w:val="center"/>
              <w:rPr>
                <w:b/>
                <w:bCs/>
              </w:rPr>
            </w:pPr>
            <w:r>
              <w:rPr>
                <w:b/>
                <w:bCs/>
              </w:rPr>
              <w:t>Owners</w:t>
            </w:r>
          </w:p>
        </w:tc>
        <w:tc>
          <w:tcPr>
            <w:tcW w:w="3479" w:type="dxa"/>
            <w:gridSpan w:val="2"/>
          </w:tcPr>
          <w:p w14:paraId="12B1988A" w14:textId="77777777" w:rsidR="009B0FCC" w:rsidRDefault="009B0FCC" w:rsidP="00721F16">
            <w:pPr>
              <w:keepNext/>
              <w:widowControl w:val="0"/>
              <w:spacing w:after="0" w:line="240" w:lineRule="auto"/>
              <w:jc w:val="center"/>
              <w:rPr>
                <w:b/>
                <w:bCs/>
              </w:rPr>
            </w:pPr>
            <w:r>
              <w:rPr>
                <w:b/>
                <w:bCs/>
              </w:rPr>
              <w:t>Renters</w:t>
            </w:r>
          </w:p>
        </w:tc>
      </w:tr>
      <w:tr w:rsidR="009B0FCC" w14:paraId="0D612D41" w14:textId="77777777" w:rsidTr="00721F16">
        <w:trPr>
          <w:cantSplit/>
          <w:tblHeader/>
        </w:trPr>
        <w:tc>
          <w:tcPr>
            <w:tcW w:w="2736" w:type="dxa"/>
            <w:vMerge/>
          </w:tcPr>
          <w:p w14:paraId="1E8EF91F" w14:textId="77777777" w:rsidR="009B0FCC" w:rsidRDefault="009B0FCC" w:rsidP="00721F16">
            <w:pPr>
              <w:keepNext/>
              <w:widowControl w:val="0"/>
              <w:spacing w:after="0" w:line="240" w:lineRule="auto"/>
              <w:rPr>
                <w:b/>
                <w:bCs/>
              </w:rPr>
            </w:pPr>
          </w:p>
        </w:tc>
        <w:tc>
          <w:tcPr>
            <w:tcW w:w="1798" w:type="dxa"/>
          </w:tcPr>
          <w:p w14:paraId="6DF7D454" w14:textId="77777777" w:rsidR="009B0FCC" w:rsidRDefault="009B0FCC" w:rsidP="00721F16">
            <w:pPr>
              <w:keepNext/>
              <w:widowControl w:val="0"/>
              <w:spacing w:after="0" w:line="240" w:lineRule="auto"/>
              <w:jc w:val="center"/>
              <w:rPr>
                <w:b/>
                <w:bCs/>
              </w:rPr>
            </w:pPr>
            <w:r>
              <w:rPr>
                <w:b/>
                <w:bCs/>
              </w:rPr>
              <w:t>Number</w:t>
            </w:r>
          </w:p>
        </w:tc>
        <w:tc>
          <w:tcPr>
            <w:tcW w:w="1563" w:type="dxa"/>
          </w:tcPr>
          <w:p w14:paraId="579991F3" w14:textId="77777777" w:rsidR="009B0FCC" w:rsidRDefault="009B0FCC" w:rsidP="00721F16">
            <w:pPr>
              <w:keepNext/>
              <w:widowControl w:val="0"/>
              <w:spacing w:after="0" w:line="240" w:lineRule="auto"/>
              <w:jc w:val="center"/>
              <w:rPr>
                <w:b/>
                <w:bCs/>
              </w:rPr>
            </w:pPr>
            <w:r>
              <w:rPr>
                <w:b/>
                <w:bCs/>
              </w:rPr>
              <w:t>%</w:t>
            </w:r>
          </w:p>
        </w:tc>
        <w:tc>
          <w:tcPr>
            <w:tcW w:w="1759" w:type="dxa"/>
          </w:tcPr>
          <w:p w14:paraId="398105CC" w14:textId="77777777" w:rsidR="009B0FCC" w:rsidRDefault="009B0FCC" w:rsidP="00721F16">
            <w:pPr>
              <w:keepNext/>
              <w:widowControl w:val="0"/>
              <w:spacing w:after="0" w:line="240" w:lineRule="auto"/>
              <w:jc w:val="center"/>
              <w:rPr>
                <w:b/>
                <w:bCs/>
              </w:rPr>
            </w:pPr>
            <w:r>
              <w:rPr>
                <w:b/>
                <w:bCs/>
              </w:rPr>
              <w:t>Number</w:t>
            </w:r>
          </w:p>
        </w:tc>
        <w:tc>
          <w:tcPr>
            <w:tcW w:w="1720" w:type="dxa"/>
          </w:tcPr>
          <w:p w14:paraId="25C839E1" w14:textId="77777777" w:rsidR="009B0FCC" w:rsidRDefault="009B0FCC" w:rsidP="00721F16">
            <w:pPr>
              <w:keepNext/>
              <w:widowControl w:val="0"/>
              <w:spacing w:after="0" w:line="240" w:lineRule="auto"/>
              <w:jc w:val="center"/>
              <w:rPr>
                <w:b/>
                <w:bCs/>
              </w:rPr>
            </w:pPr>
            <w:r>
              <w:rPr>
                <w:b/>
                <w:bCs/>
              </w:rPr>
              <w:t>%</w:t>
            </w:r>
          </w:p>
        </w:tc>
      </w:tr>
      <w:tr w:rsidR="009B0FCC" w14:paraId="1D29787F" w14:textId="77777777" w:rsidTr="00721F16">
        <w:trPr>
          <w:cantSplit/>
        </w:trPr>
        <w:tc>
          <w:tcPr>
            <w:tcW w:w="0" w:type="auto"/>
          </w:tcPr>
          <w:p w14:paraId="6411D926" w14:textId="77777777" w:rsidR="009B0FCC" w:rsidRDefault="009B0FCC" w:rsidP="00721F16">
            <w:pPr>
              <w:spacing w:beforeAutospacing="1" w:afterAutospacing="1"/>
            </w:pPr>
            <w:r>
              <w:rPr>
                <w:color w:val="000000"/>
              </w:rPr>
              <w:t>No bedroom</w:t>
            </w:r>
          </w:p>
        </w:tc>
        <w:tc>
          <w:tcPr>
            <w:tcW w:w="0" w:type="auto"/>
            <w:vAlign w:val="bottom"/>
          </w:tcPr>
          <w:p w14:paraId="1BC46C09" w14:textId="77777777" w:rsidR="009B0FCC" w:rsidRDefault="009B0FCC" w:rsidP="00721F16">
            <w:pPr>
              <w:spacing w:beforeAutospacing="1" w:afterAutospacing="1"/>
              <w:jc w:val="right"/>
            </w:pPr>
            <w:r>
              <w:rPr>
                <w:color w:val="000000"/>
              </w:rPr>
              <w:t>1,530</w:t>
            </w:r>
          </w:p>
        </w:tc>
        <w:tc>
          <w:tcPr>
            <w:tcW w:w="0" w:type="auto"/>
            <w:vAlign w:val="bottom"/>
          </w:tcPr>
          <w:p w14:paraId="597157F4" w14:textId="77777777" w:rsidR="009B0FCC" w:rsidRDefault="009B0FCC" w:rsidP="00721F16">
            <w:pPr>
              <w:spacing w:beforeAutospacing="1" w:afterAutospacing="1"/>
              <w:jc w:val="right"/>
            </w:pPr>
            <w:r>
              <w:rPr>
                <w:color w:val="000000"/>
              </w:rPr>
              <w:t>0%</w:t>
            </w:r>
          </w:p>
        </w:tc>
        <w:tc>
          <w:tcPr>
            <w:tcW w:w="0" w:type="auto"/>
            <w:vAlign w:val="bottom"/>
          </w:tcPr>
          <w:p w14:paraId="6C481ECE" w14:textId="77777777" w:rsidR="009B0FCC" w:rsidRDefault="009B0FCC" w:rsidP="00721F16">
            <w:pPr>
              <w:spacing w:beforeAutospacing="1" w:afterAutospacing="1"/>
              <w:jc w:val="right"/>
            </w:pPr>
            <w:r>
              <w:rPr>
                <w:color w:val="000000"/>
              </w:rPr>
              <w:t>7,669</w:t>
            </w:r>
          </w:p>
        </w:tc>
        <w:tc>
          <w:tcPr>
            <w:tcW w:w="0" w:type="auto"/>
            <w:vAlign w:val="bottom"/>
          </w:tcPr>
          <w:p w14:paraId="25D2A5A5" w14:textId="77777777" w:rsidR="009B0FCC" w:rsidRDefault="009B0FCC" w:rsidP="00721F16">
            <w:pPr>
              <w:spacing w:beforeAutospacing="1" w:afterAutospacing="1"/>
              <w:jc w:val="right"/>
            </w:pPr>
            <w:r>
              <w:rPr>
                <w:color w:val="000000"/>
              </w:rPr>
              <w:t>4%</w:t>
            </w:r>
          </w:p>
        </w:tc>
      </w:tr>
      <w:tr w:rsidR="009B0FCC" w14:paraId="43606672" w14:textId="77777777" w:rsidTr="00721F16">
        <w:trPr>
          <w:cantSplit/>
        </w:trPr>
        <w:tc>
          <w:tcPr>
            <w:tcW w:w="0" w:type="auto"/>
          </w:tcPr>
          <w:p w14:paraId="5B005389" w14:textId="77777777" w:rsidR="009B0FCC" w:rsidRDefault="009B0FCC" w:rsidP="00721F16">
            <w:pPr>
              <w:spacing w:beforeAutospacing="1" w:afterAutospacing="1"/>
            </w:pPr>
            <w:r>
              <w:rPr>
                <w:color w:val="000000"/>
              </w:rPr>
              <w:t>1 bedroom</w:t>
            </w:r>
          </w:p>
        </w:tc>
        <w:tc>
          <w:tcPr>
            <w:tcW w:w="0" w:type="auto"/>
            <w:vAlign w:val="bottom"/>
          </w:tcPr>
          <w:p w14:paraId="36919FD6" w14:textId="77777777" w:rsidR="009B0FCC" w:rsidRDefault="009B0FCC" w:rsidP="00721F16">
            <w:pPr>
              <w:spacing w:beforeAutospacing="1" w:afterAutospacing="1"/>
              <w:jc w:val="right"/>
            </w:pPr>
            <w:r>
              <w:rPr>
                <w:color w:val="000000"/>
              </w:rPr>
              <w:t>8,915</w:t>
            </w:r>
          </w:p>
        </w:tc>
        <w:tc>
          <w:tcPr>
            <w:tcW w:w="0" w:type="auto"/>
            <w:vAlign w:val="bottom"/>
          </w:tcPr>
          <w:p w14:paraId="0BADB242" w14:textId="77777777" w:rsidR="009B0FCC" w:rsidRDefault="009B0FCC" w:rsidP="00721F16">
            <w:pPr>
              <w:spacing w:beforeAutospacing="1" w:afterAutospacing="1"/>
              <w:jc w:val="right"/>
            </w:pPr>
            <w:r>
              <w:rPr>
                <w:color w:val="000000"/>
              </w:rPr>
              <w:t>2%</w:t>
            </w:r>
          </w:p>
        </w:tc>
        <w:tc>
          <w:tcPr>
            <w:tcW w:w="0" w:type="auto"/>
            <w:vAlign w:val="bottom"/>
          </w:tcPr>
          <w:p w14:paraId="219C3577" w14:textId="77777777" w:rsidR="009B0FCC" w:rsidRDefault="009B0FCC" w:rsidP="00721F16">
            <w:pPr>
              <w:spacing w:beforeAutospacing="1" w:afterAutospacing="1"/>
              <w:jc w:val="right"/>
            </w:pPr>
            <w:r>
              <w:rPr>
                <w:color w:val="000000"/>
              </w:rPr>
              <w:t>28,652</w:t>
            </w:r>
          </w:p>
        </w:tc>
        <w:tc>
          <w:tcPr>
            <w:tcW w:w="0" w:type="auto"/>
            <w:vAlign w:val="bottom"/>
          </w:tcPr>
          <w:p w14:paraId="00BBE582" w14:textId="77777777" w:rsidR="009B0FCC" w:rsidRDefault="009B0FCC" w:rsidP="00721F16">
            <w:pPr>
              <w:spacing w:beforeAutospacing="1" w:afterAutospacing="1"/>
              <w:jc w:val="right"/>
            </w:pPr>
            <w:r>
              <w:rPr>
                <w:color w:val="000000"/>
              </w:rPr>
              <w:t>15%</w:t>
            </w:r>
          </w:p>
        </w:tc>
      </w:tr>
      <w:tr w:rsidR="009B0FCC" w14:paraId="71F4A5EB" w14:textId="77777777" w:rsidTr="00721F16">
        <w:trPr>
          <w:cantSplit/>
        </w:trPr>
        <w:tc>
          <w:tcPr>
            <w:tcW w:w="0" w:type="auto"/>
          </w:tcPr>
          <w:p w14:paraId="6447026C" w14:textId="77777777" w:rsidR="009B0FCC" w:rsidRDefault="009B0FCC" w:rsidP="00721F16">
            <w:pPr>
              <w:spacing w:beforeAutospacing="1" w:afterAutospacing="1"/>
            </w:pPr>
            <w:r>
              <w:rPr>
                <w:color w:val="000000"/>
              </w:rPr>
              <w:t>2 bedrooms</w:t>
            </w:r>
          </w:p>
        </w:tc>
        <w:tc>
          <w:tcPr>
            <w:tcW w:w="0" w:type="auto"/>
            <w:vAlign w:val="bottom"/>
          </w:tcPr>
          <w:p w14:paraId="1334DAD4" w14:textId="77777777" w:rsidR="009B0FCC" w:rsidRDefault="009B0FCC" w:rsidP="00721F16">
            <w:pPr>
              <w:spacing w:beforeAutospacing="1" w:afterAutospacing="1"/>
              <w:jc w:val="right"/>
            </w:pPr>
            <w:r>
              <w:rPr>
                <w:color w:val="000000"/>
              </w:rPr>
              <w:t>64,006</w:t>
            </w:r>
          </w:p>
        </w:tc>
        <w:tc>
          <w:tcPr>
            <w:tcW w:w="0" w:type="auto"/>
            <w:vAlign w:val="bottom"/>
          </w:tcPr>
          <w:p w14:paraId="6DBBB893" w14:textId="77777777" w:rsidR="009B0FCC" w:rsidRDefault="009B0FCC" w:rsidP="00721F16">
            <w:pPr>
              <w:spacing w:beforeAutospacing="1" w:afterAutospacing="1"/>
              <w:jc w:val="right"/>
            </w:pPr>
            <w:r>
              <w:rPr>
                <w:color w:val="000000"/>
              </w:rPr>
              <w:t>15%</w:t>
            </w:r>
          </w:p>
        </w:tc>
        <w:tc>
          <w:tcPr>
            <w:tcW w:w="0" w:type="auto"/>
            <w:vAlign w:val="bottom"/>
          </w:tcPr>
          <w:p w14:paraId="55A4DD22" w14:textId="77777777" w:rsidR="009B0FCC" w:rsidRDefault="009B0FCC" w:rsidP="00721F16">
            <w:pPr>
              <w:spacing w:beforeAutospacing="1" w:afterAutospacing="1"/>
              <w:jc w:val="right"/>
            </w:pPr>
            <w:r>
              <w:rPr>
                <w:color w:val="000000"/>
              </w:rPr>
              <w:t>71,340</w:t>
            </w:r>
          </w:p>
        </w:tc>
        <w:tc>
          <w:tcPr>
            <w:tcW w:w="0" w:type="auto"/>
            <w:vAlign w:val="bottom"/>
          </w:tcPr>
          <w:p w14:paraId="30C43366" w14:textId="77777777" w:rsidR="009B0FCC" w:rsidRDefault="009B0FCC" w:rsidP="00721F16">
            <w:pPr>
              <w:spacing w:beforeAutospacing="1" w:afterAutospacing="1"/>
              <w:jc w:val="right"/>
            </w:pPr>
            <w:r>
              <w:rPr>
                <w:color w:val="000000"/>
              </w:rPr>
              <w:t>38%</w:t>
            </w:r>
          </w:p>
        </w:tc>
      </w:tr>
      <w:tr w:rsidR="009B0FCC" w14:paraId="620FBECA" w14:textId="77777777" w:rsidTr="00721F16">
        <w:trPr>
          <w:cantSplit/>
        </w:trPr>
        <w:tc>
          <w:tcPr>
            <w:tcW w:w="0" w:type="auto"/>
          </w:tcPr>
          <w:p w14:paraId="518E2EB7" w14:textId="77777777" w:rsidR="009B0FCC" w:rsidRDefault="009B0FCC" w:rsidP="00721F16">
            <w:pPr>
              <w:spacing w:beforeAutospacing="1" w:afterAutospacing="1"/>
            </w:pPr>
            <w:r>
              <w:rPr>
                <w:color w:val="000000"/>
              </w:rPr>
              <w:t>3 or more bedrooms</w:t>
            </w:r>
          </w:p>
        </w:tc>
        <w:tc>
          <w:tcPr>
            <w:tcW w:w="0" w:type="auto"/>
            <w:vAlign w:val="bottom"/>
          </w:tcPr>
          <w:p w14:paraId="56A3168B" w14:textId="77777777" w:rsidR="009B0FCC" w:rsidRDefault="009B0FCC" w:rsidP="00721F16">
            <w:pPr>
              <w:spacing w:beforeAutospacing="1" w:afterAutospacing="1"/>
              <w:jc w:val="right"/>
            </w:pPr>
            <w:r>
              <w:rPr>
                <w:color w:val="000000"/>
              </w:rPr>
              <w:t>346,988</w:t>
            </w:r>
          </w:p>
        </w:tc>
        <w:tc>
          <w:tcPr>
            <w:tcW w:w="0" w:type="auto"/>
            <w:vAlign w:val="bottom"/>
          </w:tcPr>
          <w:p w14:paraId="49A4BA32" w14:textId="77777777" w:rsidR="009B0FCC" w:rsidRDefault="009B0FCC" w:rsidP="00721F16">
            <w:pPr>
              <w:spacing w:beforeAutospacing="1" w:afterAutospacing="1"/>
              <w:jc w:val="right"/>
            </w:pPr>
            <w:r>
              <w:rPr>
                <w:color w:val="000000"/>
              </w:rPr>
              <w:t>82%</w:t>
            </w:r>
          </w:p>
        </w:tc>
        <w:tc>
          <w:tcPr>
            <w:tcW w:w="0" w:type="auto"/>
            <w:vAlign w:val="bottom"/>
          </w:tcPr>
          <w:p w14:paraId="4F87F8FD" w14:textId="77777777" w:rsidR="009B0FCC" w:rsidRDefault="009B0FCC" w:rsidP="00721F16">
            <w:pPr>
              <w:spacing w:beforeAutospacing="1" w:afterAutospacing="1"/>
              <w:jc w:val="right"/>
            </w:pPr>
            <w:r>
              <w:rPr>
                <w:color w:val="000000"/>
              </w:rPr>
              <w:t>80,024</w:t>
            </w:r>
          </w:p>
        </w:tc>
        <w:tc>
          <w:tcPr>
            <w:tcW w:w="0" w:type="auto"/>
            <w:vAlign w:val="bottom"/>
          </w:tcPr>
          <w:p w14:paraId="2E67E02C" w14:textId="77777777" w:rsidR="009B0FCC" w:rsidRDefault="009B0FCC" w:rsidP="00721F16">
            <w:pPr>
              <w:spacing w:beforeAutospacing="1" w:afterAutospacing="1"/>
              <w:jc w:val="right"/>
            </w:pPr>
            <w:r>
              <w:rPr>
                <w:color w:val="000000"/>
              </w:rPr>
              <w:t>43%</w:t>
            </w:r>
          </w:p>
        </w:tc>
      </w:tr>
      <w:tr w:rsidR="009B0FCC" w14:paraId="21E24E9F" w14:textId="77777777" w:rsidTr="00721F16">
        <w:trPr>
          <w:cantSplit/>
        </w:trPr>
        <w:tc>
          <w:tcPr>
            <w:tcW w:w="0" w:type="auto"/>
          </w:tcPr>
          <w:p w14:paraId="11173E2D" w14:textId="77777777" w:rsidR="009B0FCC" w:rsidRDefault="009B0FCC" w:rsidP="00721F16">
            <w:pPr>
              <w:spacing w:beforeAutospacing="1" w:afterAutospacing="1"/>
            </w:pPr>
            <w:r>
              <w:rPr>
                <w:rFonts w:ascii="Verdana" w:hAnsi="Verdana"/>
                <w:b/>
                <w:i/>
                <w:color w:val="000000"/>
                <w:sz w:val="16"/>
              </w:rPr>
              <w:t>Total</w:t>
            </w:r>
          </w:p>
        </w:tc>
        <w:tc>
          <w:tcPr>
            <w:tcW w:w="0" w:type="auto"/>
          </w:tcPr>
          <w:p w14:paraId="43B90250" w14:textId="77777777" w:rsidR="009B0FCC" w:rsidRDefault="009B0FCC" w:rsidP="00721F16">
            <w:pPr>
              <w:spacing w:beforeAutospacing="1" w:afterAutospacing="1"/>
              <w:jc w:val="right"/>
            </w:pPr>
            <w:r>
              <w:rPr>
                <w:rFonts w:ascii="Verdana" w:hAnsi="Verdana"/>
                <w:b/>
                <w:i/>
                <w:color w:val="000000"/>
                <w:sz w:val="16"/>
              </w:rPr>
              <w:t>421,439</w:t>
            </w:r>
          </w:p>
        </w:tc>
        <w:tc>
          <w:tcPr>
            <w:tcW w:w="0" w:type="auto"/>
          </w:tcPr>
          <w:p w14:paraId="2B9A9938" w14:textId="77777777" w:rsidR="009B0FCC" w:rsidRDefault="009B0FCC" w:rsidP="00721F16">
            <w:pPr>
              <w:spacing w:beforeAutospacing="1" w:afterAutospacing="1"/>
              <w:jc w:val="right"/>
            </w:pPr>
            <w:r>
              <w:rPr>
                <w:rFonts w:ascii="Verdana" w:hAnsi="Verdana"/>
                <w:b/>
                <w:i/>
                <w:color w:val="000000"/>
                <w:sz w:val="16"/>
              </w:rPr>
              <w:t>99%</w:t>
            </w:r>
          </w:p>
        </w:tc>
        <w:tc>
          <w:tcPr>
            <w:tcW w:w="0" w:type="auto"/>
          </w:tcPr>
          <w:p w14:paraId="64F4D13C" w14:textId="77777777" w:rsidR="009B0FCC" w:rsidRDefault="009B0FCC" w:rsidP="00721F16">
            <w:pPr>
              <w:spacing w:beforeAutospacing="1" w:afterAutospacing="1"/>
              <w:jc w:val="right"/>
            </w:pPr>
            <w:r>
              <w:rPr>
                <w:rFonts w:ascii="Verdana" w:hAnsi="Verdana"/>
                <w:b/>
                <w:i/>
                <w:color w:val="000000"/>
                <w:sz w:val="16"/>
              </w:rPr>
              <w:t>187,685</w:t>
            </w:r>
          </w:p>
        </w:tc>
        <w:tc>
          <w:tcPr>
            <w:tcW w:w="0" w:type="auto"/>
          </w:tcPr>
          <w:p w14:paraId="1F0BC71C" w14:textId="77777777" w:rsidR="009B0FCC" w:rsidRDefault="009B0FCC" w:rsidP="00721F16">
            <w:pPr>
              <w:spacing w:beforeAutospacing="1" w:afterAutospacing="1"/>
              <w:jc w:val="right"/>
            </w:pPr>
            <w:r>
              <w:rPr>
                <w:rFonts w:ascii="Verdana" w:hAnsi="Verdana"/>
                <w:b/>
                <w:i/>
                <w:color w:val="000000"/>
                <w:sz w:val="16"/>
              </w:rPr>
              <w:t>100%</w:t>
            </w:r>
          </w:p>
        </w:tc>
      </w:tr>
    </w:tbl>
    <w:p w14:paraId="01EEEE40"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Unit Size by Tenure</w:t>
      </w:r>
    </w:p>
    <w:tbl>
      <w:tblPr>
        <w:tblW w:w="5000" w:type="pct"/>
        <w:tblInd w:w="115" w:type="dxa"/>
        <w:tblLook w:val="01E0" w:firstRow="1" w:lastRow="1" w:firstColumn="1" w:lastColumn="1" w:noHBand="0" w:noVBand="0"/>
      </w:tblPr>
      <w:tblGrid>
        <w:gridCol w:w="1064"/>
        <w:gridCol w:w="8296"/>
      </w:tblGrid>
      <w:tr w:rsidR="009B0FCC" w14:paraId="1EA16AD3" w14:textId="77777777" w:rsidTr="00721F16">
        <w:trPr>
          <w:cantSplit/>
        </w:trPr>
        <w:tc>
          <w:tcPr>
            <w:tcW w:w="1073" w:type="dxa"/>
          </w:tcPr>
          <w:p w14:paraId="4636C17A"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3DA92FF4"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318BE98F" w14:textId="77777777" w:rsidR="009B0FCC" w:rsidRDefault="009B0FCC" w:rsidP="009B0FCC">
      <w:pPr>
        <w:rPr>
          <w:vanish/>
        </w:rPr>
      </w:pPr>
    </w:p>
    <w:p w14:paraId="5F8BE2AC" w14:textId="77777777" w:rsidR="009B0FCC" w:rsidRDefault="009B0FCC" w:rsidP="009B0FCC">
      <w:pPr>
        <w:rPr>
          <w:b/>
          <w:bCs/>
          <w:vanish/>
          <w:sz w:val="16"/>
          <w:szCs w:val="16"/>
        </w:rPr>
      </w:pPr>
    </w:p>
    <w:p w14:paraId="1483C484" w14:textId="77777777" w:rsidR="009B0FCC" w:rsidRDefault="009B0FCC" w:rsidP="009B0FCC"/>
    <w:p w14:paraId="1E16C23D" w14:textId="77777777" w:rsidR="009B0FCC" w:rsidRDefault="009B0FCC" w:rsidP="009B0FCC">
      <w:pPr>
        <w:rPr>
          <w:b/>
          <w:bCs/>
          <w:sz w:val="24"/>
          <w:szCs w:val="24"/>
        </w:rPr>
      </w:pPr>
      <w:r w:rsidRPr="497B8E2D">
        <w:rPr>
          <w:b/>
          <w:bCs/>
          <w:sz w:val="24"/>
          <w:szCs w:val="24"/>
        </w:rPr>
        <w:t>Describe the number and targeting (income level/type of family served) of units assisted with federal, state, and local programs.</w:t>
      </w:r>
    </w:p>
    <w:p w14:paraId="1F1187CE" w14:textId="6DF508FA" w:rsidR="006948B8" w:rsidRPr="00A55C4A" w:rsidRDefault="006948B8" w:rsidP="00FD58D2">
      <w:pPr>
        <w:spacing w:beforeAutospacing="1" w:afterAutospacing="1"/>
        <w:jc w:val="both"/>
        <w:rPr>
          <w:rFonts w:cs="Arial"/>
          <w:sz w:val="24"/>
          <w:szCs w:val="24"/>
        </w:rPr>
      </w:pPr>
      <w:r w:rsidRPr="00A55C4A">
        <w:rPr>
          <w:rFonts w:cs="Arial"/>
          <w:sz w:val="24"/>
          <w:szCs w:val="24"/>
        </w:rPr>
        <w:lastRenderedPageBreak/>
        <w:t xml:space="preserve">Within the State of Idaho, Housing Choice Vouchers represent </w:t>
      </w:r>
      <w:proofErr w:type="gramStart"/>
      <w:r w:rsidRPr="00A55C4A">
        <w:rPr>
          <w:rFonts w:cs="Arial"/>
          <w:sz w:val="24"/>
          <w:szCs w:val="24"/>
        </w:rPr>
        <w:t>the majority of</w:t>
      </w:r>
      <w:proofErr w:type="gramEnd"/>
      <w:r w:rsidRPr="00A55C4A">
        <w:rPr>
          <w:rFonts w:cs="Arial"/>
          <w:sz w:val="24"/>
          <w:szCs w:val="24"/>
        </w:rPr>
        <w:t xml:space="preserve"> units and households assisted by federal, state, and local programs.  </w:t>
      </w:r>
      <w:proofErr w:type="gramStart"/>
      <w:r w:rsidRPr="00A55C4A">
        <w:rPr>
          <w:rFonts w:cs="Arial"/>
          <w:sz w:val="24"/>
          <w:szCs w:val="24"/>
        </w:rPr>
        <w:t>The majority of</w:t>
      </w:r>
      <w:proofErr w:type="gramEnd"/>
      <w:r w:rsidRPr="00A55C4A">
        <w:rPr>
          <w:rFonts w:cs="Arial"/>
          <w:sz w:val="24"/>
          <w:szCs w:val="24"/>
        </w:rPr>
        <w:t xml:space="preserve"> households, 85%, are White househo</w:t>
      </w:r>
      <w:r w:rsidRPr="00E66F90">
        <w:rPr>
          <w:rFonts w:cs="Arial"/>
          <w:sz w:val="24"/>
          <w:szCs w:val="24"/>
        </w:rPr>
        <w:t>lds. </w:t>
      </w:r>
      <w:r w:rsidR="003D7A94">
        <w:rPr>
          <w:rFonts w:cs="Arial"/>
          <w:sz w:val="24"/>
          <w:szCs w:val="24"/>
        </w:rPr>
        <w:t>Out of</w:t>
      </w:r>
      <w:r w:rsidR="00AB4E6A">
        <w:rPr>
          <w:rFonts w:cs="Arial"/>
          <w:sz w:val="24"/>
          <w:szCs w:val="24"/>
        </w:rPr>
        <w:t xml:space="preserve"> </w:t>
      </w:r>
      <w:proofErr w:type="spellStart"/>
      <w:r w:rsidR="00AB4E6A">
        <w:rPr>
          <w:rFonts w:cs="Arial"/>
          <w:sz w:val="24"/>
          <w:szCs w:val="24"/>
        </w:rPr>
        <w:t>the</w:t>
      </w:r>
      <w:r w:rsidR="00C245ED">
        <w:rPr>
          <w:rFonts w:cs="Arial"/>
          <w:sz w:val="24"/>
          <w:szCs w:val="24"/>
        </w:rPr>
        <w:t>White</w:t>
      </w:r>
      <w:proofErr w:type="spellEnd"/>
      <w:r w:rsidR="00C245ED">
        <w:rPr>
          <w:rFonts w:cs="Arial"/>
          <w:sz w:val="24"/>
          <w:szCs w:val="24"/>
        </w:rPr>
        <w:t xml:space="preserve"> households that receive</w:t>
      </w:r>
      <w:r w:rsidR="003D7A94">
        <w:rPr>
          <w:rFonts w:cs="Arial"/>
          <w:sz w:val="24"/>
          <w:szCs w:val="24"/>
        </w:rPr>
        <w:t xml:space="preserve"> Housing Choice </w:t>
      </w:r>
      <w:proofErr w:type="spellStart"/>
      <w:proofErr w:type="gramStart"/>
      <w:r w:rsidR="003D7A94">
        <w:rPr>
          <w:rFonts w:cs="Arial"/>
          <w:sz w:val="24"/>
          <w:szCs w:val="24"/>
        </w:rPr>
        <w:t>Vouchers</w:t>
      </w:r>
      <w:r w:rsidR="00AB4E6A">
        <w:rPr>
          <w:rFonts w:cs="Arial"/>
          <w:sz w:val="24"/>
          <w:szCs w:val="24"/>
        </w:rPr>
        <w:t>,</w:t>
      </w:r>
      <w:r w:rsidRPr="00E66F90">
        <w:rPr>
          <w:rFonts w:cs="Arial"/>
          <w:sz w:val="24"/>
          <w:szCs w:val="24"/>
        </w:rPr>
        <w:t>ab</w:t>
      </w:r>
      <w:r w:rsidRPr="00A55C4A">
        <w:rPr>
          <w:rFonts w:cs="Arial"/>
          <w:sz w:val="24"/>
          <w:szCs w:val="24"/>
        </w:rPr>
        <w:t>out</w:t>
      </w:r>
      <w:proofErr w:type="spellEnd"/>
      <w:proofErr w:type="gramEnd"/>
      <w:r w:rsidRPr="00A55C4A">
        <w:rPr>
          <w:rFonts w:cs="Arial"/>
          <w:sz w:val="24"/>
          <w:szCs w:val="24"/>
        </w:rPr>
        <w:t xml:space="preserve"> 57%, fall within the 0-80% AMI range, while about 15% fall within the 0-30% AMI range.</w:t>
      </w:r>
    </w:p>
    <w:p w14:paraId="1004F671" w14:textId="6C6656EE" w:rsidR="00E66F90" w:rsidRPr="00DA2F97" w:rsidRDefault="006948B8" w:rsidP="00FD58D2">
      <w:pPr>
        <w:spacing w:beforeAutospacing="1" w:afterAutospacing="1"/>
        <w:jc w:val="both"/>
        <w:rPr>
          <w:rFonts w:cs="Arial"/>
          <w:sz w:val="24"/>
          <w:szCs w:val="24"/>
        </w:rPr>
      </w:pPr>
      <w:r w:rsidRPr="00A55C4A">
        <w:rPr>
          <w:rFonts w:cs="Arial"/>
          <w:sz w:val="24"/>
          <w:szCs w:val="24"/>
        </w:rPr>
        <w:t>Besides White Households, Hispanic households are the second most represented demographic group in assisted housing.  Hispanic families make up nearly 16% of public housing units in the state, which is slightly higher than the community’s representation in the state of about 12%.</w:t>
      </w:r>
      <w:r w:rsidR="00E66F90">
        <w:rPr>
          <w:rFonts w:cs="Arial"/>
          <w:sz w:val="24"/>
          <w:szCs w:val="24"/>
        </w:rPr>
        <w:t xml:space="preserve"> P</w:t>
      </w:r>
      <w:r w:rsidRPr="00E66F90">
        <w:rPr>
          <w:rFonts w:cs="Arial"/>
          <w:sz w:val="24"/>
          <w:szCs w:val="24"/>
        </w:rPr>
        <w:t>ublic hou</w:t>
      </w:r>
      <w:r w:rsidRPr="00DA2F97">
        <w:rPr>
          <w:rFonts w:cs="Arial"/>
          <w:sz w:val="24"/>
          <w:szCs w:val="24"/>
        </w:rPr>
        <w:t>sing units with Hispanic households are geographically located in the Southwest region of the state. </w:t>
      </w:r>
    </w:p>
    <w:p w14:paraId="01CFE32D" w14:textId="2C033CFA" w:rsidR="006948B8" w:rsidRPr="00DA2F97" w:rsidRDefault="006948B8" w:rsidP="00FD58D2">
      <w:pPr>
        <w:spacing w:beforeAutospacing="1" w:afterAutospacing="1"/>
        <w:jc w:val="both"/>
        <w:rPr>
          <w:rFonts w:cs="Arial"/>
          <w:sz w:val="24"/>
          <w:szCs w:val="24"/>
        </w:rPr>
      </w:pPr>
      <w:r w:rsidRPr="00DA2F97">
        <w:rPr>
          <w:rFonts w:cs="Arial"/>
          <w:sz w:val="24"/>
          <w:szCs w:val="24"/>
        </w:rPr>
        <w:t>The State of Idaho does not provide state fund</w:t>
      </w:r>
      <w:r w:rsidR="00E66F90" w:rsidRPr="00DA2F97">
        <w:rPr>
          <w:rFonts w:cs="Arial"/>
          <w:sz w:val="24"/>
          <w:szCs w:val="24"/>
        </w:rPr>
        <w:t>s</w:t>
      </w:r>
      <w:r w:rsidRPr="00DA2F97">
        <w:rPr>
          <w:rFonts w:cs="Arial"/>
          <w:sz w:val="24"/>
          <w:szCs w:val="24"/>
        </w:rPr>
        <w:t xml:space="preserve"> for any type of housing. </w:t>
      </w:r>
    </w:p>
    <w:p w14:paraId="5D4452CC" w14:textId="77777777" w:rsidR="009B0FCC" w:rsidRPr="00DA2F97" w:rsidRDefault="009B0FCC" w:rsidP="00FD58D2">
      <w:pPr>
        <w:jc w:val="both"/>
        <w:rPr>
          <w:b/>
          <w:sz w:val="24"/>
          <w:szCs w:val="24"/>
        </w:rPr>
      </w:pPr>
      <w:r w:rsidRPr="00DA2F97">
        <w:rPr>
          <w:b/>
          <w:bCs/>
          <w:sz w:val="24"/>
          <w:szCs w:val="24"/>
        </w:rPr>
        <w:t>Provide an assessment of units expected to be lost from the affordable housing inventory for any reason, such as expiration of Section 8 contracts.</w:t>
      </w:r>
    </w:p>
    <w:p w14:paraId="148EC70E" w14:textId="77777777" w:rsidR="008F698B" w:rsidRPr="00DA2F97" w:rsidRDefault="008F698B" w:rsidP="00FD58D2">
      <w:pPr>
        <w:spacing w:beforeAutospacing="1" w:afterAutospacing="1"/>
        <w:jc w:val="both"/>
        <w:rPr>
          <w:rFonts w:cs="Arial"/>
          <w:sz w:val="24"/>
          <w:szCs w:val="24"/>
        </w:rPr>
      </w:pPr>
      <w:r w:rsidRPr="00DA2F97">
        <w:rPr>
          <w:rFonts w:cs="Arial"/>
          <w:sz w:val="24"/>
          <w:szCs w:val="24"/>
        </w:rPr>
        <w:t>In 2018, the Multifamily Assistance and Section 8 Contracts Database identified 1,297 units that have contracts expiring between 2019 and 2024. Of these units, 732 are Section 8 Public Housing units and 539 are affordable senior rentals.</w:t>
      </w:r>
    </w:p>
    <w:p w14:paraId="44771BC2" w14:textId="77777777" w:rsidR="008F698B" w:rsidRPr="00E66F90" w:rsidRDefault="008F698B" w:rsidP="00FD58D2">
      <w:pPr>
        <w:spacing w:beforeAutospacing="1" w:afterAutospacing="1"/>
        <w:jc w:val="both"/>
        <w:rPr>
          <w:rFonts w:cs="Arial"/>
          <w:sz w:val="24"/>
          <w:szCs w:val="24"/>
        </w:rPr>
      </w:pPr>
      <w:r w:rsidRPr="00DA2F97">
        <w:rPr>
          <w:rFonts w:cs="Arial"/>
          <w:sz w:val="24"/>
          <w:szCs w:val="24"/>
        </w:rPr>
        <w:t>While the changes in the national tax code pose some challenges in the future, LIHTC will remain a popular program and should not see any major reductions in units built in Idaho over the next 5 years.</w:t>
      </w:r>
    </w:p>
    <w:p w14:paraId="5CE309C0" w14:textId="0EB988BF" w:rsidR="091DBBCF" w:rsidRPr="00E66F90" w:rsidRDefault="091DBBCF" w:rsidP="00FD58D2">
      <w:pPr>
        <w:spacing w:beforeAutospacing="1" w:afterAutospacing="1"/>
        <w:jc w:val="both"/>
        <w:rPr>
          <w:rFonts w:cs="Calibri"/>
          <w:sz w:val="24"/>
          <w:szCs w:val="24"/>
        </w:rPr>
      </w:pPr>
      <w:r w:rsidRPr="00E66F90">
        <w:rPr>
          <w:rFonts w:cs="Calibri"/>
          <w:sz w:val="24"/>
          <w:szCs w:val="24"/>
        </w:rPr>
        <w:t>The 2025 LIHTC application cycle yielded 17 applications totaling over $13 million in requests for an available $6.355 million in available resources.  The approved projects will add and add approximately 260 new affordable rental units to the state of Idaho.</w:t>
      </w:r>
    </w:p>
    <w:p w14:paraId="45E1F31F" w14:textId="77777777" w:rsidR="009B0FCC" w:rsidRPr="00E66F90" w:rsidRDefault="009B0FCC" w:rsidP="00FD58D2">
      <w:pPr>
        <w:jc w:val="both"/>
        <w:rPr>
          <w:rFonts w:cs="Arial"/>
          <w:b/>
          <w:sz w:val="24"/>
          <w:szCs w:val="24"/>
        </w:rPr>
      </w:pPr>
      <w:r w:rsidRPr="00E66F90">
        <w:rPr>
          <w:b/>
          <w:bCs/>
          <w:sz w:val="24"/>
          <w:szCs w:val="24"/>
        </w:rPr>
        <w:t>Does the availability of housing units meet the needs of the population?</w:t>
      </w:r>
    </w:p>
    <w:p w14:paraId="017244B5" w14:textId="78510BEE" w:rsidR="006948B8" w:rsidRPr="00C83593" w:rsidRDefault="006948B8" w:rsidP="00C83593">
      <w:pPr>
        <w:shd w:val="clear" w:color="auto" w:fill="FFFFFF" w:themeFill="background1"/>
        <w:spacing w:beforeAutospacing="1" w:afterAutospacing="1"/>
        <w:jc w:val="both"/>
        <w:rPr>
          <w:rFonts w:cs="Arial"/>
          <w:sz w:val="24"/>
          <w:szCs w:val="24"/>
        </w:rPr>
      </w:pPr>
      <w:r w:rsidRPr="00C83593">
        <w:rPr>
          <w:rFonts w:cs="Arial"/>
          <w:sz w:val="24"/>
          <w:szCs w:val="24"/>
        </w:rPr>
        <w:t xml:space="preserve">Based on </w:t>
      </w:r>
      <w:r w:rsidRPr="00C83593">
        <w:rPr>
          <w:rFonts w:cs="Arial"/>
          <w:i/>
          <w:iCs/>
          <w:sz w:val="24"/>
          <w:szCs w:val="24"/>
        </w:rPr>
        <w:t>Idaho County-by County Housing, Demographic Assessment</w:t>
      </w:r>
      <w:r w:rsidRPr="00C83593">
        <w:rPr>
          <w:rFonts w:cs="Arial"/>
          <w:sz w:val="24"/>
          <w:szCs w:val="24"/>
        </w:rPr>
        <w:t xml:space="preserve"> of </w:t>
      </w:r>
      <w:r w:rsidR="00397B46" w:rsidRPr="00C83593">
        <w:rPr>
          <w:rFonts w:cs="Arial"/>
          <w:sz w:val="24"/>
          <w:szCs w:val="24"/>
        </w:rPr>
        <w:t>2024</w:t>
      </w:r>
      <w:r w:rsidRPr="00C83593">
        <w:rPr>
          <w:rFonts w:cs="Arial"/>
          <w:sz w:val="24"/>
          <w:szCs w:val="24"/>
        </w:rPr>
        <w:t xml:space="preserve">, </w:t>
      </w:r>
      <w:r w:rsidR="00397B46" w:rsidRPr="00C83593">
        <w:rPr>
          <w:rFonts w:cs="Arial"/>
          <w:sz w:val="24"/>
          <w:szCs w:val="24"/>
        </w:rPr>
        <w:t>53.9</w:t>
      </w:r>
      <w:proofErr w:type="gramStart"/>
      <w:r w:rsidR="00397B46" w:rsidRPr="00C83593">
        <w:rPr>
          <w:rFonts w:cs="Arial"/>
          <w:sz w:val="24"/>
          <w:szCs w:val="24"/>
        </w:rPr>
        <w:t xml:space="preserve">% </w:t>
      </w:r>
      <w:r w:rsidRPr="00C83593">
        <w:rPr>
          <w:rFonts w:cs="Arial"/>
          <w:sz w:val="24"/>
          <w:szCs w:val="24"/>
        </w:rPr>
        <w:t xml:space="preserve"> of</w:t>
      </w:r>
      <w:proofErr w:type="gramEnd"/>
      <w:r w:rsidRPr="00C83593">
        <w:rPr>
          <w:rFonts w:cs="Arial"/>
          <w:sz w:val="24"/>
          <w:szCs w:val="24"/>
        </w:rPr>
        <w:t xml:space="preserve"> the housing units in the state are affordable to renters earning the Area’s Median Income.</w:t>
      </w:r>
      <w:r w:rsidR="00397B46" w:rsidRPr="00C83593">
        <w:rPr>
          <w:rFonts w:cs="Arial"/>
          <w:sz w:val="24"/>
          <w:szCs w:val="24"/>
        </w:rPr>
        <w:t xml:space="preserve">  This is up from 52.6% in 2018.</w:t>
      </w:r>
      <w:r w:rsidRPr="00C83593">
        <w:rPr>
          <w:rFonts w:cs="Arial"/>
          <w:sz w:val="24"/>
          <w:szCs w:val="24"/>
        </w:rPr>
        <w:t xml:space="preserve">  Meanwhile, about </w:t>
      </w:r>
      <w:r w:rsidR="00397B46" w:rsidRPr="00C83593">
        <w:rPr>
          <w:rFonts w:cs="Arial"/>
          <w:sz w:val="24"/>
          <w:szCs w:val="24"/>
        </w:rPr>
        <w:t>79.6</w:t>
      </w:r>
      <w:proofErr w:type="gramStart"/>
      <w:r w:rsidR="00397B46" w:rsidRPr="00C83593">
        <w:rPr>
          <w:rFonts w:cs="Arial"/>
          <w:sz w:val="24"/>
          <w:szCs w:val="24"/>
        </w:rPr>
        <w:t xml:space="preserve">% </w:t>
      </w:r>
      <w:r w:rsidRPr="00C83593">
        <w:rPr>
          <w:rFonts w:cs="Arial"/>
          <w:sz w:val="24"/>
          <w:szCs w:val="24"/>
        </w:rPr>
        <w:t xml:space="preserve"> of</w:t>
      </w:r>
      <w:proofErr w:type="gramEnd"/>
      <w:r w:rsidRPr="00C83593">
        <w:rPr>
          <w:rFonts w:cs="Arial"/>
          <w:sz w:val="24"/>
          <w:szCs w:val="24"/>
        </w:rPr>
        <w:t xml:space="preserve"> housing units are affordable to owners earning the Area’s Median Income</w:t>
      </w:r>
      <w:r w:rsidR="00397B46" w:rsidRPr="00C83593">
        <w:rPr>
          <w:rFonts w:cs="Arial"/>
          <w:sz w:val="24"/>
          <w:szCs w:val="24"/>
        </w:rPr>
        <w:t>. This is up one percentage point from 2018</w:t>
      </w:r>
      <w:r w:rsidRPr="00C83593">
        <w:rPr>
          <w:rFonts w:cs="Arial"/>
          <w:sz w:val="24"/>
          <w:szCs w:val="24"/>
        </w:rPr>
        <w:t>. </w:t>
      </w:r>
      <w:r w:rsidR="00465A27" w:rsidRPr="00C83593">
        <w:rPr>
          <w:rFonts w:cs="Arial"/>
          <w:sz w:val="24"/>
          <w:szCs w:val="24"/>
        </w:rPr>
        <w:t xml:space="preserve">Affordability is set at 30% of median income, which means that about 53.9% of rental units in the state cost no more than 30% of the state’s median income. </w:t>
      </w:r>
      <w:r w:rsidR="00D95C5D" w:rsidRPr="00C83593">
        <w:rPr>
          <w:rFonts w:cs="Arial"/>
          <w:sz w:val="24"/>
          <w:szCs w:val="24"/>
        </w:rPr>
        <w:t>To illustrate, a</w:t>
      </w:r>
      <w:r w:rsidR="00465A27" w:rsidRPr="00C83593">
        <w:rPr>
          <w:rFonts w:cs="Arial"/>
          <w:sz w:val="24"/>
          <w:szCs w:val="24"/>
        </w:rPr>
        <w:t>ccording to ACS data, the median income for 2023 is $98,547.  On a monthly basis, 30% of this income would be $2,463.</w:t>
      </w:r>
      <w:r w:rsidR="00D95C5D" w:rsidRPr="00C83593">
        <w:rPr>
          <w:rFonts w:cs="Arial"/>
          <w:sz w:val="24"/>
          <w:szCs w:val="24"/>
        </w:rPr>
        <w:t xml:space="preserve"> </w:t>
      </w:r>
      <w:r w:rsidR="00465A27" w:rsidRPr="00C83593">
        <w:rPr>
          <w:rFonts w:cs="Arial"/>
          <w:sz w:val="24"/>
          <w:szCs w:val="24"/>
        </w:rPr>
        <w:t xml:space="preserve"> </w:t>
      </w:r>
      <w:r w:rsidRPr="00C83593">
        <w:rPr>
          <w:rFonts w:cs="Arial"/>
          <w:sz w:val="24"/>
          <w:szCs w:val="24"/>
        </w:rPr>
        <w:t>Moreover, the gap of affordability is particularly large for families earning less than 50% of the Area Median Income.</w:t>
      </w:r>
    </w:p>
    <w:p w14:paraId="68430CD5" w14:textId="77777777" w:rsidR="00E56E38" w:rsidRDefault="00E56E38">
      <w:pPr>
        <w:spacing w:after="160" w:line="259" w:lineRule="auto"/>
        <w:rPr>
          <w:b/>
          <w:sz w:val="24"/>
          <w:szCs w:val="24"/>
        </w:rPr>
      </w:pPr>
      <w:r>
        <w:rPr>
          <w:b/>
          <w:sz w:val="24"/>
          <w:szCs w:val="24"/>
        </w:rPr>
        <w:br w:type="page"/>
      </w:r>
    </w:p>
    <w:p w14:paraId="3F4E0F21" w14:textId="22B72CEC" w:rsidR="009B0FCC" w:rsidRPr="00E66F90" w:rsidRDefault="009B0FCC" w:rsidP="00FD58D2">
      <w:pPr>
        <w:jc w:val="both"/>
        <w:rPr>
          <w:b/>
          <w:sz w:val="24"/>
          <w:szCs w:val="24"/>
        </w:rPr>
      </w:pPr>
      <w:r w:rsidRPr="00E66F90">
        <w:rPr>
          <w:b/>
          <w:sz w:val="24"/>
          <w:szCs w:val="24"/>
        </w:rPr>
        <w:lastRenderedPageBreak/>
        <w:t>Describe the need for specific types of housing:</w:t>
      </w:r>
    </w:p>
    <w:p w14:paraId="5BB333F2" w14:textId="584392A9" w:rsidR="006948B8" w:rsidRPr="00E66F90" w:rsidRDefault="006948B8" w:rsidP="00FD58D2">
      <w:pPr>
        <w:spacing w:beforeAutospacing="1" w:afterAutospacing="1"/>
        <w:jc w:val="both"/>
        <w:rPr>
          <w:rFonts w:cs="Arial"/>
          <w:sz w:val="24"/>
          <w:szCs w:val="24"/>
        </w:rPr>
      </w:pPr>
      <w:r w:rsidRPr="00E66F90">
        <w:rPr>
          <w:rFonts w:cs="Arial"/>
          <w:sz w:val="24"/>
          <w:szCs w:val="24"/>
        </w:rPr>
        <w:t xml:space="preserve">Larger units to accommodate families are still in short supply in the state.  Moreover, properties that are accessible for people with ambulatory disabilities and the elderly are also needed.  Lastly, as national trends have shown, greater diversity in the housing typology to accommodate not only larger families, but also multi-generational and an array of other family unit structures should also be considered for the long-term viability of the affordable housing stock of the state.  </w:t>
      </w:r>
      <w:r w:rsidR="00C93974" w:rsidRPr="00E66F90">
        <w:rPr>
          <w:rFonts w:cs="Arial"/>
          <w:sz w:val="24"/>
          <w:szCs w:val="24"/>
        </w:rPr>
        <w:t xml:space="preserve">In </w:t>
      </w:r>
      <w:r w:rsidR="00C93974">
        <w:rPr>
          <w:rFonts w:cs="Arial"/>
          <w:sz w:val="24"/>
          <w:szCs w:val="24"/>
        </w:rPr>
        <w:t>2023</w:t>
      </w:r>
      <w:r w:rsidR="00C93974" w:rsidRPr="00E66F90">
        <w:rPr>
          <w:rFonts w:cs="Arial"/>
          <w:sz w:val="24"/>
          <w:szCs w:val="24"/>
        </w:rPr>
        <w:t xml:space="preserve">, the City of Boise </w:t>
      </w:r>
      <w:r w:rsidR="00C93974">
        <w:rPr>
          <w:rFonts w:cs="Arial"/>
          <w:sz w:val="24"/>
          <w:szCs w:val="24"/>
        </w:rPr>
        <w:t xml:space="preserve">published its updated Building Code.  </w:t>
      </w:r>
      <w:r w:rsidR="00C93974" w:rsidRPr="00E66F90">
        <w:rPr>
          <w:rFonts w:cs="Arial"/>
          <w:sz w:val="24"/>
          <w:szCs w:val="24"/>
        </w:rPr>
        <w:t xml:space="preserve"> Accessory Dwelling Units (ADU)</w:t>
      </w:r>
      <w:r w:rsidR="00C93974">
        <w:rPr>
          <w:rFonts w:cs="Arial"/>
          <w:sz w:val="24"/>
          <w:szCs w:val="24"/>
        </w:rPr>
        <w:t xml:space="preserve"> have seen a 113% increase and added 130 ADUs in the City of Boise.  This gives optimism to a path other communities could follow for adding additional housing.</w:t>
      </w:r>
    </w:p>
    <w:p w14:paraId="04DCA37C" w14:textId="77777777" w:rsidR="006948B8" w:rsidRPr="00E66F90" w:rsidRDefault="006948B8" w:rsidP="00FD58D2">
      <w:pPr>
        <w:spacing w:beforeAutospacing="1" w:afterAutospacing="1"/>
        <w:jc w:val="both"/>
        <w:rPr>
          <w:rFonts w:cs="Arial"/>
          <w:sz w:val="24"/>
          <w:szCs w:val="24"/>
        </w:rPr>
      </w:pPr>
      <w:r w:rsidRPr="00E66F90">
        <w:rPr>
          <w:rFonts w:cs="Arial"/>
          <w:sz w:val="24"/>
          <w:szCs w:val="24"/>
        </w:rPr>
        <w:t xml:space="preserve">In addition to the need to address </w:t>
      </w:r>
      <w:proofErr w:type="gramStart"/>
      <w:r w:rsidRPr="00E66F90">
        <w:rPr>
          <w:rFonts w:cs="Arial"/>
          <w:sz w:val="24"/>
          <w:szCs w:val="24"/>
        </w:rPr>
        <w:t>particular types</w:t>
      </w:r>
      <w:proofErr w:type="gramEnd"/>
      <w:r w:rsidRPr="00E66F90">
        <w:rPr>
          <w:rFonts w:cs="Arial"/>
          <w:sz w:val="24"/>
          <w:szCs w:val="24"/>
        </w:rPr>
        <w:t xml:space="preserve"> of housing, the location and sizes of adequate parcels for housing development continued to be an issue. Such elements are particularly important in addressing the need for better access to housing for workers in urbanized areas of the state and the elderly disabled population still residing in rural areas. See Unique Appendices for additional images.</w:t>
      </w:r>
    </w:p>
    <w:p w14:paraId="30A737DC" w14:textId="77777777" w:rsidR="009B0FCC" w:rsidRPr="00E66F90" w:rsidRDefault="009B0FCC" w:rsidP="00FD58D2">
      <w:pPr>
        <w:spacing w:line="204" w:lineRule="auto"/>
        <w:jc w:val="both"/>
        <w:rPr>
          <w:b/>
          <w:sz w:val="24"/>
          <w:szCs w:val="24"/>
        </w:rPr>
      </w:pPr>
      <w:r w:rsidRPr="00E66F90">
        <w:rPr>
          <w:b/>
          <w:sz w:val="24"/>
          <w:szCs w:val="24"/>
        </w:rPr>
        <w:t>Discussion</w:t>
      </w:r>
    </w:p>
    <w:p w14:paraId="3600C18A" w14:textId="77777777" w:rsidR="00E66F90" w:rsidRPr="00E66F90" w:rsidRDefault="00E66F90" w:rsidP="00FD58D2">
      <w:pPr>
        <w:spacing w:beforeAutospacing="1" w:afterAutospacing="1"/>
        <w:jc w:val="both"/>
        <w:rPr>
          <w:b/>
          <w:sz w:val="24"/>
          <w:szCs w:val="24"/>
        </w:rPr>
      </w:pPr>
      <w:r w:rsidRPr="00E66F90">
        <w:rPr>
          <w:rFonts w:cs="Arial"/>
          <w:sz w:val="24"/>
          <w:szCs w:val="24"/>
        </w:rPr>
        <w:t xml:space="preserve">Idaho's overall rural character, with varied geographic areas, and small and sometimes isolated communities, creates the backdrop to Idaho's cost-burdened homeowners and renters in all 44 counties. </w:t>
      </w:r>
      <w:r>
        <w:rPr>
          <w:rFonts w:cs="Arial"/>
          <w:sz w:val="24"/>
          <w:szCs w:val="24"/>
        </w:rPr>
        <w:t xml:space="preserve">Overall, community consultation revealed that in most areas of the state there is a higher interest in single family dwellings over rental units, however, in the current home value market homeownership is not attainable for lower income households, and, therefore, affordable rental options are still in need. </w:t>
      </w:r>
    </w:p>
    <w:p w14:paraId="30C52373" w14:textId="77777777" w:rsidR="006948B8" w:rsidRPr="00E66F90" w:rsidRDefault="006948B8" w:rsidP="009B0FCC">
      <w:pPr>
        <w:spacing w:line="204" w:lineRule="auto"/>
        <w:rPr>
          <w:b/>
          <w:sz w:val="24"/>
          <w:szCs w:val="24"/>
        </w:rPr>
      </w:pPr>
    </w:p>
    <w:p w14:paraId="561747B6" w14:textId="77777777" w:rsidR="00263999" w:rsidRDefault="00263999" w:rsidP="00263999">
      <w:pPr>
        <w:pStyle w:val="Heading2"/>
        <w:pageBreakBefore/>
        <w:rPr>
          <w:rFonts w:ascii="Calibri" w:hAnsi="Calibri"/>
          <w:i/>
        </w:rPr>
      </w:pPr>
      <w:bookmarkStart w:id="33" w:name="_Toc194673848"/>
      <w:r>
        <w:rPr>
          <w:rFonts w:ascii="Calibri" w:hAnsi="Calibri"/>
        </w:rPr>
        <w:lastRenderedPageBreak/>
        <w:t>MA-15 Cost of Housing – 91.310(a)</w:t>
      </w:r>
      <w:bookmarkEnd w:id="33"/>
    </w:p>
    <w:p w14:paraId="5429FB6D" w14:textId="76EF38A3" w:rsidR="00263999" w:rsidRPr="00263999" w:rsidRDefault="00263999" w:rsidP="005332D8">
      <w:pPr>
        <w:rPr>
          <w:b/>
          <w:bCs/>
          <w:sz w:val="24"/>
          <w:szCs w:val="24"/>
        </w:rPr>
      </w:pPr>
      <w:r>
        <w:rPr>
          <w:b/>
          <w:bCs/>
          <w:sz w:val="24"/>
          <w:szCs w:val="24"/>
        </w:rPr>
        <w:t>I</w:t>
      </w:r>
      <w:r w:rsidRPr="00263999">
        <w:rPr>
          <w:b/>
          <w:bCs/>
          <w:sz w:val="24"/>
          <w:szCs w:val="24"/>
        </w:rPr>
        <w:t>ntroduction</w:t>
      </w:r>
    </w:p>
    <w:p w14:paraId="57938B74" w14:textId="4A067F10" w:rsidR="098FA5AC" w:rsidRDefault="005A6258" w:rsidP="098FA5AC">
      <w:pPr>
        <w:spacing w:beforeAutospacing="1" w:afterAutospacing="1"/>
        <w:rPr>
          <w:rFonts w:cs="Calibri"/>
          <w:color w:val="000000" w:themeColor="text1"/>
          <w:sz w:val="24"/>
          <w:szCs w:val="24"/>
        </w:rPr>
      </w:pPr>
      <w:r>
        <w:rPr>
          <w:rFonts w:cs="Calibri"/>
          <w:color w:val="000000" w:themeColor="text1"/>
          <w:sz w:val="24"/>
          <w:szCs w:val="24"/>
        </w:rPr>
        <w:t xml:space="preserve">See </w:t>
      </w:r>
      <w:r w:rsidR="001770B0">
        <w:rPr>
          <w:rFonts w:cs="Calibri"/>
          <w:color w:val="000000" w:themeColor="text1"/>
          <w:sz w:val="24"/>
          <w:szCs w:val="24"/>
        </w:rPr>
        <w:t>U</w:t>
      </w:r>
      <w:r>
        <w:rPr>
          <w:rFonts w:cs="Calibri"/>
          <w:color w:val="000000" w:themeColor="text1"/>
          <w:sz w:val="24"/>
          <w:szCs w:val="24"/>
        </w:rPr>
        <w:t xml:space="preserve">nique </w:t>
      </w:r>
      <w:r w:rsidR="001770B0">
        <w:rPr>
          <w:rFonts w:cs="Calibri"/>
          <w:color w:val="000000" w:themeColor="text1"/>
          <w:sz w:val="24"/>
          <w:szCs w:val="24"/>
        </w:rPr>
        <w:t>A</w:t>
      </w:r>
      <w:r>
        <w:rPr>
          <w:rFonts w:cs="Calibri"/>
          <w:color w:val="000000" w:themeColor="text1"/>
          <w:sz w:val="24"/>
          <w:szCs w:val="24"/>
        </w:rPr>
        <w:t>ppendices</w:t>
      </w:r>
      <w:r w:rsidR="001770B0">
        <w:rPr>
          <w:rFonts w:cs="Calibri"/>
          <w:color w:val="000000" w:themeColor="text1"/>
          <w:sz w:val="24"/>
          <w:szCs w:val="24"/>
        </w:rPr>
        <w:t>.</w:t>
      </w:r>
    </w:p>
    <w:p w14:paraId="10FA3BFC" w14:textId="77777777" w:rsidR="009B0FCC" w:rsidRPr="005332D8" w:rsidRDefault="009B0FCC" w:rsidP="005332D8">
      <w:pPr>
        <w:spacing w:after="160" w:line="259" w:lineRule="auto"/>
        <w:rPr>
          <w:b/>
          <w:bCs/>
          <w:sz w:val="24"/>
          <w:szCs w:val="24"/>
        </w:rPr>
      </w:pPr>
      <w:r w:rsidRPr="005332D8">
        <w:rPr>
          <w:b/>
          <w:bCs/>
          <w:sz w:val="24"/>
          <w:szCs w:val="24"/>
        </w:rPr>
        <w:t>Cost of Housing</w:t>
      </w:r>
    </w:p>
    <w:p w14:paraId="6ADBE33F" w14:textId="77777777" w:rsidR="009B0FCC" w:rsidRDefault="009B0FCC" w:rsidP="009B0FCC">
      <w:pPr>
        <w:keepNext/>
        <w:widowControl w:val="0"/>
        <w:rPr>
          <w:b/>
          <w:bCs/>
          <w:sz w:val="24"/>
          <w:szCs w:val="24"/>
        </w:rPr>
      </w:pPr>
      <w:r w:rsidRPr="497B8E2D">
        <w:rPr>
          <w:b/>
          <w:bCs/>
          <w:sz w:val="24"/>
          <w:szCs w:val="24"/>
        </w:rPr>
        <w:t>ALTERNATE DATA SOURCE: POLICY MAPS 2018-2022 CENSUS</w:t>
      </w:r>
    </w:p>
    <w:tbl>
      <w:tblPr>
        <w:tblW w:w="9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9"/>
        <w:gridCol w:w="1765"/>
        <w:gridCol w:w="1765"/>
        <w:gridCol w:w="2075"/>
        <w:gridCol w:w="1455"/>
      </w:tblGrid>
      <w:tr w:rsidR="009B0FCC" w14:paraId="4BF0707C" w14:textId="77777777" w:rsidTr="787E070B">
        <w:trPr>
          <w:cantSplit/>
          <w:trHeight w:val="300"/>
          <w:tblHeader/>
        </w:trPr>
        <w:tc>
          <w:tcPr>
            <w:tcW w:w="2289" w:type="dxa"/>
            <w:shd w:val="clear" w:color="auto" w:fill="auto"/>
          </w:tcPr>
          <w:p w14:paraId="10A9EAA4" w14:textId="77777777" w:rsidR="009B0FCC" w:rsidRDefault="009B0FCC" w:rsidP="00721F16">
            <w:pPr>
              <w:keepNext/>
              <w:widowControl w:val="0"/>
              <w:spacing w:after="0" w:line="240" w:lineRule="auto"/>
              <w:jc w:val="center"/>
              <w:rPr>
                <w:rFonts w:asciiTheme="minorHAnsi" w:hAnsiTheme="minorHAnsi" w:cs="Arial"/>
                <w:b/>
              </w:rPr>
            </w:pPr>
          </w:p>
        </w:tc>
        <w:tc>
          <w:tcPr>
            <w:tcW w:w="1765" w:type="dxa"/>
            <w:shd w:val="clear" w:color="auto" w:fill="auto"/>
          </w:tcPr>
          <w:p w14:paraId="619B47B4" w14:textId="77777777" w:rsidR="009B0FCC" w:rsidRDefault="009B0FCC" w:rsidP="00721F16">
            <w:pPr>
              <w:spacing w:beforeAutospacing="1" w:afterAutospacing="1"/>
              <w:contextualSpacing/>
              <w:jc w:val="center"/>
              <w:rPr>
                <w:rFonts w:asciiTheme="minorHAnsi" w:hAnsiTheme="minorHAnsi" w:cs="Arial"/>
                <w:b/>
                <w:bCs/>
              </w:rPr>
            </w:pPr>
            <w:r w:rsidRPr="497B8E2D">
              <w:rPr>
                <w:rFonts w:asciiTheme="minorHAnsi" w:hAnsiTheme="minorHAnsi" w:cs="Arial"/>
                <w:b/>
                <w:bCs/>
              </w:rPr>
              <w:t>Base Year:  2012</w:t>
            </w:r>
          </w:p>
        </w:tc>
        <w:tc>
          <w:tcPr>
            <w:tcW w:w="1765" w:type="dxa"/>
            <w:shd w:val="clear" w:color="auto" w:fill="auto"/>
          </w:tcPr>
          <w:p w14:paraId="1D1AB217" w14:textId="77777777" w:rsidR="009B0FCC" w:rsidRDefault="009B0FCC" w:rsidP="00721F16">
            <w:pPr>
              <w:jc w:val="center"/>
              <w:rPr>
                <w:rFonts w:asciiTheme="minorHAnsi" w:hAnsiTheme="minorHAnsi" w:cs="Arial"/>
                <w:b/>
                <w:bCs/>
              </w:rPr>
            </w:pPr>
            <w:r w:rsidRPr="497B8E2D">
              <w:rPr>
                <w:rFonts w:asciiTheme="minorHAnsi" w:hAnsiTheme="minorHAnsi" w:cs="Arial"/>
                <w:b/>
                <w:bCs/>
              </w:rPr>
              <w:t>Year: 2017</w:t>
            </w:r>
          </w:p>
        </w:tc>
        <w:tc>
          <w:tcPr>
            <w:tcW w:w="2075" w:type="dxa"/>
            <w:shd w:val="clear" w:color="auto" w:fill="auto"/>
          </w:tcPr>
          <w:p w14:paraId="242ECCD6" w14:textId="77777777" w:rsidR="009B0FCC" w:rsidRDefault="009B0FCC" w:rsidP="00721F16">
            <w:pPr>
              <w:keepNext/>
              <w:widowControl w:val="0"/>
              <w:spacing w:beforeAutospacing="1" w:afterAutospacing="1"/>
              <w:jc w:val="center"/>
              <w:rPr>
                <w:rFonts w:asciiTheme="minorHAnsi" w:hAnsiTheme="minorHAnsi"/>
                <w:b/>
                <w:bCs/>
              </w:rPr>
            </w:pPr>
            <w:r w:rsidRPr="497B8E2D">
              <w:rPr>
                <w:rFonts w:asciiTheme="minorHAnsi" w:hAnsiTheme="minorHAnsi" w:cs="Arial"/>
                <w:b/>
                <w:bCs/>
              </w:rPr>
              <w:t>Most Recent Year:  2022</w:t>
            </w:r>
          </w:p>
        </w:tc>
        <w:tc>
          <w:tcPr>
            <w:tcW w:w="1455" w:type="dxa"/>
            <w:shd w:val="clear" w:color="auto" w:fill="auto"/>
          </w:tcPr>
          <w:p w14:paraId="3274F53A" w14:textId="592AE0C4" w:rsidR="009B0FCC" w:rsidRDefault="009B0FCC" w:rsidP="787E070B">
            <w:pPr>
              <w:keepNext/>
              <w:widowControl w:val="0"/>
              <w:spacing w:after="0" w:line="240" w:lineRule="auto"/>
              <w:jc w:val="center"/>
              <w:rPr>
                <w:rFonts w:asciiTheme="minorHAnsi" w:hAnsiTheme="minorHAnsi"/>
                <w:b/>
                <w:bCs/>
              </w:rPr>
            </w:pPr>
            <w:r w:rsidRPr="787E070B">
              <w:rPr>
                <w:rFonts w:asciiTheme="minorHAnsi" w:hAnsiTheme="minorHAnsi"/>
                <w:b/>
                <w:bCs/>
              </w:rPr>
              <w:t>% Change 2017-2022</w:t>
            </w:r>
          </w:p>
        </w:tc>
      </w:tr>
      <w:tr w:rsidR="009B0FCC" w14:paraId="44EF54AA" w14:textId="77777777" w:rsidTr="00E56E38">
        <w:trPr>
          <w:cantSplit/>
          <w:trHeight w:val="539"/>
        </w:trPr>
        <w:tc>
          <w:tcPr>
            <w:tcW w:w="2289" w:type="dxa"/>
          </w:tcPr>
          <w:p w14:paraId="62182AA6" w14:textId="77777777" w:rsidR="009B0FCC" w:rsidRDefault="009B0FCC" w:rsidP="00E56E38">
            <w:pPr>
              <w:spacing w:beforeAutospacing="1" w:afterAutospacing="1"/>
              <w:jc w:val="center"/>
            </w:pPr>
            <w:r>
              <w:rPr>
                <w:color w:val="000000"/>
              </w:rPr>
              <w:t>Median Home Value</w:t>
            </w:r>
          </w:p>
        </w:tc>
        <w:tc>
          <w:tcPr>
            <w:tcW w:w="1765" w:type="dxa"/>
          </w:tcPr>
          <w:p w14:paraId="542907D5" w14:textId="77777777" w:rsidR="009B0FCC" w:rsidRDefault="009B0FCC" w:rsidP="00E56E38">
            <w:pPr>
              <w:spacing w:beforeAutospacing="1" w:afterAutospacing="1"/>
              <w:jc w:val="center"/>
              <w:rPr>
                <w:color w:val="000000" w:themeColor="text1"/>
              </w:rPr>
            </w:pPr>
            <w:r w:rsidRPr="497B8E2D">
              <w:rPr>
                <w:color w:val="000000" w:themeColor="text1"/>
              </w:rPr>
              <w:t>167,100</w:t>
            </w:r>
          </w:p>
        </w:tc>
        <w:tc>
          <w:tcPr>
            <w:tcW w:w="1765" w:type="dxa"/>
          </w:tcPr>
          <w:p w14:paraId="451E54F0" w14:textId="77777777" w:rsidR="009B0FCC" w:rsidRDefault="009B0FCC" w:rsidP="00E56E38">
            <w:pPr>
              <w:spacing w:beforeAutospacing="1" w:afterAutospacing="1"/>
              <w:jc w:val="center"/>
            </w:pPr>
            <w:r w:rsidRPr="497B8E2D">
              <w:rPr>
                <w:color w:val="000000" w:themeColor="text1"/>
              </w:rPr>
              <w:t>176,800</w:t>
            </w:r>
          </w:p>
          <w:p w14:paraId="37AD5DDE" w14:textId="77777777" w:rsidR="009B0FCC" w:rsidRDefault="009B0FCC" w:rsidP="00E56E38">
            <w:pPr>
              <w:jc w:val="center"/>
              <w:rPr>
                <w:color w:val="000000" w:themeColor="text1"/>
              </w:rPr>
            </w:pPr>
          </w:p>
        </w:tc>
        <w:tc>
          <w:tcPr>
            <w:tcW w:w="2075" w:type="dxa"/>
          </w:tcPr>
          <w:p w14:paraId="10F6EFF5" w14:textId="77777777" w:rsidR="009B0FCC" w:rsidRDefault="009B0FCC" w:rsidP="00E56E38">
            <w:pPr>
              <w:spacing w:beforeAutospacing="1" w:afterAutospacing="1"/>
              <w:jc w:val="center"/>
              <w:rPr>
                <w:color w:val="000000" w:themeColor="text1"/>
              </w:rPr>
            </w:pPr>
            <w:r w:rsidRPr="497B8E2D">
              <w:rPr>
                <w:color w:val="000000" w:themeColor="text1"/>
              </w:rPr>
              <w:t>331,600</w:t>
            </w:r>
          </w:p>
        </w:tc>
        <w:tc>
          <w:tcPr>
            <w:tcW w:w="1455" w:type="dxa"/>
          </w:tcPr>
          <w:p w14:paraId="6C604977" w14:textId="2AD6C619" w:rsidR="009B0FCC" w:rsidRDefault="001B5F43" w:rsidP="00E56E38">
            <w:pPr>
              <w:spacing w:beforeAutospacing="1" w:afterAutospacing="1"/>
              <w:jc w:val="center"/>
              <w:rPr>
                <w:color w:val="000000" w:themeColor="text1"/>
              </w:rPr>
            </w:pPr>
            <w:r>
              <w:rPr>
                <w:color w:val="000000" w:themeColor="text1"/>
              </w:rPr>
              <w:t>87.6%</w:t>
            </w:r>
          </w:p>
        </w:tc>
      </w:tr>
      <w:tr w:rsidR="009B0FCC" w14:paraId="5BE6C701" w14:textId="77777777" w:rsidTr="00E56E38">
        <w:trPr>
          <w:cantSplit/>
          <w:trHeight w:val="300"/>
        </w:trPr>
        <w:tc>
          <w:tcPr>
            <w:tcW w:w="2289" w:type="dxa"/>
          </w:tcPr>
          <w:p w14:paraId="2C8FD01B" w14:textId="77777777" w:rsidR="009B0FCC" w:rsidRDefault="009B0FCC" w:rsidP="00E56E38">
            <w:pPr>
              <w:spacing w:beforeAutospacing="1" w:afterAutospacing="1"/>
              <w:jc w:val="center"/>
            </w:pPr>
            <w:r>
              <w:rPr>
                <w:color w:val="000000"/>
              </w:rPr>
              <w:t>Median Contract Rent</w:t>
            </w:r>
          </w:p>
        </w:tc>
        <w:tc>
          <w:tcPr>
            <w:tcW w:w="1765" w:type="dxa"/>
          </w:tcPr>
          <w:p w14:paraId="242F6730" w14:textId="77777777" w:rsidR="009B0FCC" w:rsidRDefault="009B0FCC" w:rsidP="00E56E38">
            <w:pPr>
              <w:spacing w:beforeAutospacing="1" w:afterAutospacing="1"/>
              <w:jc w:val="center"/>
              <w:rPr>
                <w:color w:val="000000" w:themeColor="text1"/>
              </w:rPr>
            </w:pPr>
            <w:r w:rsidRPr="497B8E2D">
              <w:rPr>
                <w:color w:val="000000" w:themeColor="text1"/>
              </w:rPr>
              <w:t>720</w:t>
            </w:r>
          </w:p>
        </w:tc>
        <w:tc>
          <w:tcPr>
            <w:tcW w:w="1765" w:type="dxa"/>
          </w:tcPr>
          <w:p w14:paraId="49966BF0" w14:textId="77777777" w:rsidR="009B0FCC" w:rsidRDefault="009B0FCC" w:rsidP="00E56E38">
            <w:pPr>
              <w:jc w:val="center"/>
              <w:rPr>
                <w:color w:val="000000" w:themeColor="text1"/>
              </w:rPr>
            </w:pPr>
            <w:r w:rsidRPr="497B8E2D">
              <w:rPr>
                <w:color w:val="000000" w:themeColor="text1"/>
              </w:rPr>
              <w:t>792</w:t>
            </w:r>
          </w:p>
        </w:tc>
        <w:tc>
          <w:tcPr>
            <w:tcW w:w="2075" w:type="dxa"/>
          </w:tcPr>
          <w:p w14:paraId="2AB7A550" w14:textId="77777777" w:rsidR="009B0FCC" w:rsidRDefault="009B0FCC" w:rsidP="00E56E38">
            <w:pPr>
              <w:spacing w:beforeAutospacing="1" w:afterAutospacing="1"/>
              <w:jc w:val="center"/>
              <w:rPr>
                <w:color w:val="000000" w:themeColor="text1"/>
              </w:rPr>
            </w:pPr>
            <w:r w:rsidRPr="497B8E2D">
              <w:rPr>
                <w:color w:val="000000" w:themeColor="text1"/>
              </w:rPr>
              <w:t>1,061</w:t>
            </w:r>
          </w:p>
        </w:tc>
        <w:tc>
          <w:tcPr>
            <w:tcW w:w="1455" w:type="dxa"/>
          </w:tcPr>
          <w:p w14:paraId="624DC0B5" w14:textId="77777777" w:rsidR="009B0FCC" w:rsidRDefault="009B0FCC" w:rsidP="00E56E38">
            <w:pPr>
              <w:spacing w:beforeAutospacing="1" w:afterAutospacing="1"/>
              <w:jc w:val="center"/>
              <w:rPr>
                <w:color w:val="000000" w:themeColor="text1"/>
              </w:rPr>
            </w:pPr>
            <w:r w:rsidRPr="497B8E2D">
              <w:rPr>
                <w:color w:val="000000" w:themeColor="text1"/>
              </w:rPr>
              <w:t>74.7%</w:t>
            </w:r>
          </w:p>
        </w:tc>
      </w:tr>
    </w:tbl>
    <w:p w14:paraId="3F6D56BE"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Cost of Housing</w:t>
      </w:r>
    </w:p>
    <w:p w14:paraId="60A587A5" w14:textId="77777777" w:rsidR="009B0FCC" w:rsidRDefault="009B0FCC" w:rsidP="009B0FCC">
      <w:pPr>
        <w:spacing w:after="0"/>
      </w:pPr>
    </w:p>
    <w:tbl>
      <w:tblPr>
        <w:tblW w:w="9528" w:type="dxa"/>
        <w:tblInd w:w="115" w:type="dxa"/>
        <w:tblLayout w:type="fixed"/>
        <w:tblLook w:val="01E0" w:firstRow="1" w:lastRow="1" w:firstColumn="1" w:lastColumn="1" w:noHBand="0" w:noVBand="0"/>
      </w:tblPr>
      <w:tblGrid>
        <w:gridCol w:w="1253"/>
        <w:gridCol w:w="8275"/>
      </w:tblGrid>
      <w:tr w:rsidR="009B0FCC" w14:paraId="3F122EFA" w14:textId="77777777" w:rsidTr="00721F16">
        <w:trPr>
          <w:cantSplit/>
          <w:trHeight w:val="174"/>
        </w:trPr>
        <w:tc>
          <w:tcPr>
            <w:tcW w:w="1253" w:type="dxa"/>
          </w:tcPr>
          <w:p w14:paraId="4951AFDD" w14:textId="77777777" w:rsidR="009B0FCC" w:rsidRDefault="009B0FCC" w:rsidP="00721F16">
            <w:pPr>
              <w:spacing w:after="0" w:line="240" w:lineRule="auto"/>
              <w:rPr>
                <w:rFonts w:asciiTheme="minorHAnsi" w:hAnsiTheme="minorHAnsi" w:cs="Arial"/>
                <w:sz w:val="16"/>
                <w:szCs w:val="16"/>
              </w:rPr>
            </w:pPr>
            <w:r>
              <w:rPr>
                <w:rFonts w:asciiTheme="minorHAnsi" w:hAnsiTheme="minorHAnsi"/>
                <w:b/>
                <w:bCs/>
                <w:sz w:val="16"/>
                <w:szCs w:val="16"/>
              </w:rPr>
              <w:t>Data Source:</w:t>
            </w:r>
          </w:p>
        </w:tc>
        <w:tc>
          <w:tcPr>
            <w:tcW w:w="8275" w:type="dxa"/>
          </w:tcPr>
          <w:p w14:paraId="5DD492D7" w14:textId="00C7433D" w:rsidR="009B0FCC" w:rsidRDefault="009B0FCC" w:rsidP="00721F16">
            <w:pPr>
              <w:spacing w:beforeAutospacing="1" w:afterAutospacing="1"/>
              <w:rPr>
                <w:rFonts w:asciiTheme="minorHAnsi" w:hAnsiTheme="minorHAnsi" w:cs="Arial"/>
                <w:sz w:val="16"/>
                <w:szCs w:val="16"/>
              </w:rPr>
            </w:pPr>
            <w:r>
              <w:rPr>
                <w:rFonts w:asciiTheme="minorHAnsi" w:hAnsiTheme="minorHAnsi" w:cs="Arial"/>
                <w:sz w:val="16"/>
                <w:szCs w:val="16"/>
              </w:rPr>
              <w:t>20</w:t>
            </w:r>
            <w:r w:rsidR="00BF1573">
              <w:rPr>
                <w:rFonts w:asciiTheme="minorHAnsi" w:hAnsiTheme="minorHAnsi" w:cs="Arial"/>
                <w:sz w:val="16"/>
                <w:szCs w:val="16"/>
              </w:rPr>
              <w:t>12</w:t>
            </w:r>
            <w:r>
              <w:rPr>
                <w:rFonts w:asciiTheme="minorHAnsi" w:hAnsiTheme="minorHAnsi" w:cs="Arial"/>
                <w:sz w:val="16"/>
                <w:szCs w:val="16"/>
              </w:rPr>
              <w:t xml:space="preserve"> Census (Base Year), 201</w:t>
            </w:r>
            <w:r w:rsidR="00BF1573">
              <w:rPr>
                <w:rFonts w:asciiTheme="minorHAnsi" w:hAnsiTheme="minorHAnsi" w:cs="Arial"/>
                <w:sz w:val="16"/>
                <w:szCs w:val="16"/>
              </w:rPr>
              <w:t>3</w:t>
            </w:r>
            <w:r>
              <w:rPr>
                <w:rFonts w:asciiTheme="minorHAnsi" w:hAnsiTheme="minorHAnsi" w:cs="Arial"/>
                <w:sz w:val="16"/>
                <w:szCs w:val="16"/>
              </w:rPr>
              <w:t>-20</w:t>
            </w:r>
            <w:r w:rsidR="00BF1573">
              <w:rPr>
                <w:rFonts w:asciiTheme="minorHAnsi" w:hAnsiTheme="minorHAnsi" w:cs="Arial"/>
                <w:sz w:val="16"/>
                <w:szCs w:val="16"/>
              </w:rPr>
              <w:t>17</w:t>
            </w:r>
            <w:r>
              <w:rPr>
                <w:rFonts w:asciiTheme="minorHAnsi" w:hAnsiTheme="minorHAnsi" w:cs="Arial"/>
                <w:sz w:val="16"/>
                <w:szCs w:val="16"/>
              </w:rPr>
              <w:t xml:space="preserve"> ACS</w:t>
            </w:r>
            <w:r w:rsidR="00BF1573">
              <w:rPr>
                <w:rFonts w:asciiTheme="minorHAnsi" w:hAnsiTheme="minorHAnsi" w:cs="Arial"/>
                <w:sz w:val="16"/>
                <w:szCs w:val="16"/>
              </w:rPr>
              <w:t>,</w:t>
            </w:r>
            <w:r w:rsidR="00515EE6">
              <w:rPr>
                <w:rFonts w:asciiTheme="minorHAnsi" w:hAnsiTheme="minorHAnsi" w:cs="Arial"/>
                <w:sz w:val="16"/>
                <w:szCs w:val="16"/>
              </w:rPr>
              <w:t>2018-2022 ACS</w:t>
            </w:r>
          </w:p>
        </w:tc>
      </w:tr>
    </w:tbl>
    <w:p w14:paraId="37A103BD" w14:textId="77777777" w:rsidR="009B0FCC" w:rsidRDefault="009B0FCC" w:rsidP="009B0FCC">
      <w:pPr>
        <w:rPr>
          <w:vanish/>
        </w:rPr>
      </w:pPr>
    </w:p>
    <w:p w14:paraId="3719381C" w14:textId="77777777" w:rsidR="009B0FCC" w:rsidRDefault="009B0FCC" w:rsidP="009B0FCC">
      <w:pPr>
        <w:rPr>
          <w:b/>
          <w:bCs/>
          <w:vanish/>
          <w:sz w:val="16"/>
          <w:szCs w:val="16"/>
        </w:rPr>
      </w:pPr>
    </w:p>
    <w:p w14:paraId="5D8A6AD4" w14:textId="77777777" w:rsidR="009B0FCC" w:rsidRDefault="009B0FCC" w:rsidP="009B0FCC">
      <w:pPr>
        <w:spacing w:after="0" w:line="240" w:lineRule="auto"/>
      </w:pPr>
    </w:p>
    <w:p w14:paraId="22312CFF" w14:textId="77777777" w:rsidR="009B0FCC" w:rsidRDefault="009B0FCC" w:rsidP="009B0FCC">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3533"/>
        <w:gridCol w:w="2663"/>
      </w:tblGrid>
      <w:tr w:rsidR="009B0FCC" w14:paraId="11508845" w14:textId="77777777" w:rsidTr="00721F16">
        <w:trPr>
          <w:cantSplit/>
          <w:tblHeader/>
        </w:trPr>
        <w:tc>
          <w:tcPr>
            <w:tcW w:w="3231" w:type="dxa"/>
          </w:tcPr>
          <w:p w14:paraId="5397EE47" w14:textId="77777777" w:rsidR="009B0FCC" w:rsidRDefault="009B0FCC" w:rsidP="00721F16">
            <w:pPr>
              <w:keepNext/>
              <w:widowControl w:val="0"/>
              <w:spacing w:after="0" w:line="240" w:lineRule="auto"/>
              <w:jc w:val="center"/>
              <w:rPr>
                <w:b/>
                <w:bCs/>
              </w:rPr>
            </w:pPr>
            <w:r>
              <w:rPr>
                <w:b/>
                <w:bCs/>
              </w:rPr>
              <w:t>Rent Paid</w:t>
            </w:r>
          </w:p>
        </w:tc>
        <w:tc>
          <w:tcPr>
            <w:tcW w:w="3622" w:type="dxa"/>
          </w:tcPr>
          <w:p w14:paraId="069D0A1D" w14:textId="77777777" w:rsidR="009B0FCC" w:rsidRDefault="009B0FCC" w:rsidP="00721F16">
            <w:pPr>
              <w:keepNext/>
              <w:widowControl w:val="0"/>
              <w:spacing w:after="0" w:line="240" w:lineRule="auto"/>
              <w:jc w:val="center"/>
              <w:rPr>
                <w:b/>
                <w:bCs/>
              </w:rPr>
            </w:pPr>
            <w:r>
              <w:rPr>
                <w:b/>
                <w:bCs/>
              </w:rPr>
              <w:t>Number</w:t>
            </w:r>
          </w:p>
        </w:tc>
        <w:tc>
          <w:tcPr>
            <w:tcW w:w="2723" w:type="dxa"/>
          </w:tcPr>
          <w:p w14:paraId="5199B8BA" w14:textId="77777777" w:rsidR="009B0FCC" w:rsidRDefault="009B0FCC" w:rsidP="00721F16">
            <w:pPr>
              <w:keepNext/>
              <w:widowControl w:val="0"/>
              <w:spacing w:after="0" w:line="240" w:lineRule="auto"/>
              <w:jc w:val="center"/>
              <w:rPr>
                <w:b/>
                <w:bCs/>
              </w:rPr>
            </w:pPr>
            <w:r>
              <w:rPr>
                <w:b/>
                <w:bCs/>
              </w:rPr>
              <w:t>%</w:t>
            </w:r>
          </w:p>
        </w:tc>
      </w:tr>
      <w:tr w:rsidR="009B0FCC" w14:paraId="3E95A167" w14:textId="77777777" w:rsidTr="00721F16">
        <w:trPr>
          <w:cantSplit/>
        </w:trPr>
        <w:tc>
          <w:tcPr>
            <w:tcW w:w="0" w:type="auto"/>
          </w:tcPr>
          <w:p w14:paraId="59888A98" w14:textId="77777777" w:rsidR="009B0FCC" w:rsidRDefault="009B0FCC" w:rsidP="00721F16">
            <w:pPr>
              <w:spacing w:beforeAutospacing="1" w:afterAutospacing="1"/>
            </w:pPr>
            <w:r>
              <w:rPr>
                <w:color w:val="000000"/>
              </w:rPr>
              <w:t>Less than $500</w:t>
            </w:r>
          </w:p>
        </w:tc>
        <w:tc>
          <w:tcPr>
            <w:tcW w:w="0" w:type="auto"/>
            <w:vAlign w:val="bottom"/>
          </w:tcPr>
          <w:p w14:paraId="6639C6A7" w14:textId="77777777" w:rsidR="009B0FCC" w:rsidRDefault="009B0FCC" w:rsidP="00721F16">
            <w:pPr>
              <w:spacing w:beforeAutospacing="1" w:afterAutospacing="1"/>
              <w:jc w:val="right"/>
            </w:pPr>
            <w:r>
              <w:rPr>
                <w:color w:val="000000"/>
              </w:rPr>
              <w:t>53,762</w:t>
            </w:r>
          </w:p>
        </w:tc>
        <w:tc>
          <w:tcPr>
            <w:tcW w:w="0" w:type="auto"/>
            <w:vAlign w:val="bottom"/>
          </w:tcPr>
          <w:p w14:paraId="5186E1EA" w14:textId="77777777" w:rsidR="009B0FCC" w:rsidRDefault="009B0FCC" w:rsidP="00721F16">
            <w:pPr>
              <w:spacing w:beforeAutospacing="1" w:afterAutospacing="1"/>
              <w:jc w:val="right"/>
            </w:pPr>
            <w:r>
              <w:rPr>
                <w:color w:val="000000"/>
              </w:rPr>
              <w:t>28.6%</w:t>
            </w:r>
          </w:p>
        </w:tc>
      </w:tr>
      <w:tr w:rsidR="009B0FCC" w14:paraId="74A24C1F" w14:textId="77777777" w:rsidTr="00721F16">
        <w:trPr>
          <w:cantSplit/>
        </w:trPr>
        <w:tc>
          <w:tcPr>
            <w:tcW w:w="0" w:type="auto"/>
          </w:tcPr>
          <w:p w14:paraId="0D5DCCA1" w14:textId="77777777" w:rsidR="009B0FCC" w:rsidRDefault="009B0FCC" w:rsidP="00721F16">
            <w:pPr>
              <w:spacing w:beforeAutospacing="1" w:afterAutospacing="1"/>
            </w:pPr>
            <w:r>
              <w:rPr>
                <w:color w:val="000000"/>
              </w:rPr>
              <w:t>$500-999</w:t>
            </w:r>
          </w:p>
        </w:tc>
        <w:tc>
          <w:tcPr>
            <w:tcW w:w="0" w:type="auto"/>
            <w:vAlign w:val="bottom"/>
          </w:tcPr>
          <w:p w14:paraId="627FF8A7" w14:textId="77777777" w:rsidR="009B0FCC" w:rsidRDefault="009B0FCC" w:rsidP="00721F16">
            <w:pPr>
              <w:spacing w:beforeAutospacing="1" w:afterAutospacing="1"/>
              <w:jc w:val="right"/>
            </w:pPr>
            <w:r>
              <w:rPr>
                <w:color w:val="000000"/>
              </w:rPr>
              <w:t>109,191</w:t>
            </w:r>
          </w:p>
        </w:tc>
        <w:tc>
          <w:tcPr>
            <w:tcW w:w="0" w:type="auto"/>
            <w:vAlign w:val="bottom"/>
          </w:tcPr>
          <w:p w14:paraId="62731966" w14:textId="77777777" w:rsidR="009B0FCC" w:rsidRDefault="009B0FCC" w:rsidP="00721F16">
            <w:pPr>
              <w:spacing w:beforeAutospacing="1" w:afterAutospacing="1"/>
              <w:jc w:val="right"/>
            </w:pPr>
            <w:r>
              <w:rPr>
                <w:color w:val="000000"/>
              </w:rPr>
              <w:t>58.2%</w:t>
            </w:r>
          </w:p>
        </w:tc>
      </w:tr>
      <w:tr w:rsidR="009B0FCC" w14:paraId="0204394A" w14:textId="77777777" w:rsidTr="00721F16">
        <w:trPr>
          <w:cantSplit/>
        </w:trPr>
        <w:tc>
          <w:tcPr>
            <w:tcW w:w="0" w:type="auto"/>
          </w:tcPr>
          <w:p w14:paraId="114F3AF3" w14:textId="77777777" w:rsidR="009B0FCC" w:rsidRDefault="009B0FCC" w:rsidP="00721F16">
            <w:pPr>
              <w:spacing w:beforeAutospacing="1" w:afterAutospacing="1"/>
            </w:pPr>
            <w:r>
              <w:rPr>
                <w:color w:val="000000"/>
              </w:rPr>
              <w:t>$1,000-1,499</w:t>
            </w:r>
          </w:p>
        </w:tc>
        <w:tc>
          <w:tcPr>
            <w:tcW w:w="0" w:type="auto"/>
            <w:vAlign w:val="bottom"/>
          </w:tcPr>
          <w:p w14:paraId="27952F28" w14:textId="77777777" w:rsidR="009B0FCC" w:rsidRDefault="009B0FCC" w:rsidP="00721F16">
            <w:pPr>
              <w:spacing w:beforeAutospacing="1" w:afterAutospacing="1"/>
              <w:jc w:val="right"/>
            </w:pPr>
            <w:r>
              <w:rPr>
                <w:color w:val="000000"/>
              </w:rPr>
              <w:t>19,162</w:t>
            </w:r>
          </w:p>
        </w:tc>
        <w:tc>
          <w:tcPr>
            <w:tcW w:w="0" w:type="auto"/>
            <w:vAlign w:val="bottom"/>
          </w:tcPr>
          <w:p w14:paraId="213ED1D2" w14:textId="77777777" w:rsidR="009B0FCC" w:rsidRDefault="009B0FCC" w:rsidP="00721F16">
            <w:pPr>
              <w:spacing w:beforeAutospacing="1" w:afterAutospacing="1"/>
              <w:jc w:val="right"/>
            </w:pPr>
            <w:r>
              <w:rPr>
                <w:color w:val="000000"/>
              </w:rPr>
              <w:t>10.2%</w:t>
            </w:r>
          </w:p>
        </w:tc>
      </w:tr>
      <w:tr w:rsidR="009B0FCC" w14:paraId="0642F929" w14:textId="77777777" w:rsidTr="00721F16">
        <w:trPr>
          <w:cantSplit/>
        </w:trPr>
        <w:tc>
          <w:tcPr>
            <w:tcW w:w="0" w:type="auto"/>
          </w:tcPr>
          <w:p w14:paraId="771670BF" w14:textId="77777777" w:rsidR="009B0FCC" w:rsidRDefault="009B0FCC" w:rsidP="00721F16">
            <w:pPr>
              <w:spacing w:beforeAutospacing="1" w:afterAutospacing="1"/>
            </w:pPr>
            <w:r>
              <w:rPr>
                <w:color w:val="000000"/>
              </w:rPr>
              <w:t>$1,500-1,999</w:t>
            </w:r>
          </w:p>
        </w:tc>
        <w:tc>
          <w:tcPr>
            <w:tcW w:w="0" w:type="auto"/>
            <w:vAlign w:val="bottom"/>
          </w:tcPr>
          <w:p w14:paraId="32F03751" w14:textId="77777777" w:rsidR="009B0FCC" w:rsidRDefault="009B0FCC" w:rsidP="00721F16">
            <w:pPr>
              <w:spacing w:beforeAutospacing="1" w:afterAutospacing="1"/>
              <w:jc w:val="right"/>
            </w:pPr>
            <w:r>
              <w:rPr>
                <w:color w:val="000000"/>
              </w:rPr>
              <w:t>3,277</w:t>
            </w:r>
          </w:p>
        </w:tc>
        <w:tc>
          <w:tcPr>
            <w:tcW w:w="0" w:type="auto"/>
            <w:vAlign w:val="bottom"/>
          </w:tcPr>
          <w:p w14:paraId="4486E66F" w14:textId="77777777" w:rsidR="009B0FCC" w:rsidRDefault="009B0FCC" w:rsidP="00721F16">
            <w:pPr>
              <w:spacing w:beforeAutospacing="1" w:afterAutospacing="1"/>
              <w:jc w:val="right"/>
            </w:pPr>
            <w:r>
              <w:rPr>
                <w:color w:val="000000"/>
              </w:rPr>
              <w:t>1.8%</w:t>
            </w:r>
          </w:p>
        </w:tc>
      </w:tr>
      <w:tr w:rsidR="009B0FCC" w14:paraId="1FC7883A" w14:textId="77777777" w:rsidTr="00721F16">
        <w:trPr>
          <w:cantSplit/>
        </w:trPr>
        <w:tc>
          <w:tcPr>
            <w:tcW w:w="0" w:type="auto"/>
          </w:tcPr>
          <w:p w14:paraId="525D3C49" w14:textId="77777777" w:rsidR="009B0FCC" w:rsidRDefault="009B0FCC" w:rsidP="00721F16">
            <w:pPr>
              <w:spacing w:beforeAutospacing="1" w:afterAutospacing="1"/>
            </w:pPr>
            <w:r>
              <w:rPr>
                <w:color w:val="000000"/>
              </w:rPr>
              <w:t>$2,000 or more</w:t>
            </w:r>
          </w:p>
        </w:tc>
        <w:tc>
          <w:tcPr>
            <w:tcW w:w="0" w:type="auto"/>
            <w:vAlign w:val="bottom"/>
          </w:tcPr>
          <w:p w14:paraId="5DDEA4AB" w14:textId="77777777" w:rsidR="009B0FCC" w:rsidRDefault="009B0FCC" w:rsidP="00721F16">
            <w:pPr>
              <w:spacing w:beforeAutospacing="1" w:afterAutospacing="1"/>
              <w:jc w:val="right"/>
            </w:pPr>
            <w:r>
              <w:rPr>
                <w:color w:val="000000"/>
              </w:rPr>
              <w:t>2,293</w:t>
            </w:r>
          </w:p>
        </w:tc>
        <w:tc>
          <w:tcPr>
            <w:tcW w:w="0" w:type="auto"/>
            <w:vAlign w:val="bottom"/>
          </w:tcPr>
          <w:p w14:paraId="41602065" w14:textId="77777777" w:rsidR="009B0FCC" w:rsidRDefault="009B0FCC" w:rsidP="00721F16">
            <w:pPr>
              <w:spacing w:beforeAutospacing="1" w:afterAutospacing="1"/>
              <w:jc w:val="right"/>
            </w:pPr>
            <w:r>
              <w:rPr>
                <w:color w:val="000000"/>
              </w:rPr>
              <w:t>1.2%</w:t>
            </w:r>
          </w:p>
        </w:tc>
      </w:tr>
      <w:tr w:rsidR="009B0FCC" w14:paraId="7301D4BA" w14:textId="77777777" w:rsidTr="00721F16">
        <w:trPr>
          <w:cantSplit/>
        </w:trPr>
        <w:tc>
          <w:tcPr>
            <w:tcW w:w="0" w:type="auto"/>
          </w:tcPr>
          <w:p w14:paraId="44C1E220" w14:textId="77777777" w:rsidR="009B0FCC" w:rsidRDefault="009B0FCC" w:rsidP="00721F16">
            <w:pPr>
              <w:spacing w:beforeAutospacing="1" w:afterAutospacing="1"/>
            </w:pPr>
            <w:r>
              <w:rPr>
                <w:rFonts w:ascii="Verdana" w:hAnsi="Verdana"/>
                <w:b/>
                <w:i/>
                <w:color w:val="000000"/>
                <w:sz w:val="16"/>
              </w:rPr>
              <w:t>Total</w:t>
            </w:r>
          </w:p>
        </w:tc>
        <w:tc>
          <w:tcPr>
            <w:tcW w:w="0" w:type="auto"/>
          </w:tcPr>
          <w:p w14:paraId="5D0CC349" w14:textId="77777777" w:rsidR="009B0FCC" w:rsidRDefault="009B0FCC" w:rsidP="00721F16">
            <w:pPr>
              <w:spacing w:beforeAutospacing="1" w:afterAutospacing="1"/>
              <w:jc w:val="right"/>
            </w:pPr>
            <w:r>
              <w:rPr>
                <w:rFonts w:ascii="Verdana" w:hAnsi="Verdana"/>
                <w:b/>
                <w:i/>
                <w:color w:val="000000"/>
                <w:sz w:val="16"/>
              </w:rPr>
              <w:t>187,685</w:t>
            </w:r>
          </w:p>
        </w:tc>
        <w:tc>
          <w:tcPr>
            <w:tcW w:w="0" w:type="auto"/>
          </w:tcPr>
          <w:p w14:paraId="4DACA34E" w14:textId="77777777" w:rsidR="009B0FCC" w:rsidRDefault="009B0FCC" w:rsidP="00721F16">
            <w:pPr>
              <w:spacing w:beforeAutospacing="1" w:afterAutospacing="1"/>
              <w:jc w:val="right"/>
            </w:pPr>
            <w:r>
              <w:rPr>
                <w:rFonts w:ascii="Verdana" w:hAnsi="Verdana"/>
                <w:b/>
                <w:i/>
                <w:color w:val="000000"/>
                <w:sz w:val="16"/>
              </w:rPr>
              <w:t>100.0%</w:t>
            </w:r>
          </w:p>
        </w:tc>
      </w:tr>
    </w:tbl>
    <w:p w14:paraId="284AEB44"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Rent Paid</w:t>
      </w:r>
    </w:p>
    <w:tbl>
      <w:tblPr>
        <w:tblW w:w="5000" w:type="pct"/>
        <w:tblInd w:w="115" w:type="dxa"/>
        <w:tblLook w:val="01E0" w:firstRow="1" w:lastRow="1" w:firstColumn="1" w:lastColumn="1" w:noHBand="0" w:noVBand="0"/>
      </w:tblPr>
      <w:tblGrid>
        <w:gridCol w:w="1064"/>
        <w:gridCol w:w="8296"/>
      </w:tblGrid>
      <w:tr w:rsidR="009B0FCC" w14:paraId="5DDE1CA2" w14:textId="77777777" w:rsidTr="00721F16">
        <w:trPr>
          <w:cantSplit/>
        </w:trPr>
        <w:tc>
          <w:tcPr>
            <w:tcW w:w="1073" w:type="dxa"/>
          </w:tcPr>
          <w:p w14:paraId="5D3067BE"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2508CE46"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2CFD5E73" w14:textId="77777777" w:rsidR="009B0FCC" w:rsidRDefault="009B0FCC" w:rsidP="009B0FCC">
      <w:pPr>
        <w:rPr>
          <w:vanish/>
        </w:rPr>
      </w:pPr>
    </w:p>
    <w:p w14:paraId="0F1D3553" w14:textId="77777777" w:rsidR="009B0FCC" w:rsidRDefault="009B0FCC" w:rsidP="009B0FCC">
      <w:pPr>
        <w:rPr>
          <w:b/>
          <w:bCs/>
          <w:vanish/>
          <w:sz w:val="16"/>
          <w:szCs w:val="16"/>
        </w:rPr>
      </w:pPr>
    </w:p>
    <w:p w14:paraId="6E9378EE" w14:textId="77777777" w:rsidR="009B0FCC" w:rsidRDefault="009B0FCC" w:rsidP="009B0FCC">
      <w:pPr>
        <w:spacing w:after="0" w:line="240" w:lineRule="auto"/>
      </w:pPr>
    </w:p>
    <w:p w14:paraId="2A93431D" w14:textId="77777777" w:rsidR="009B0FCC" w:rsidRDefault="009B0FCC" w:rsidP="009B0FCC">
      <w:pPr>
        <w:spacing w:after="0" w:line="240" w:lineRule="auto"/>
      </w:pPr>
    </w:p>
    <w:p w14:paraId="6E8284BA" w14:textId="77777777" w:rsidR="009B0FCC" w:rsidRDefault="009B0FCC" w:rsidP="009B0FCC">
      <w:pPr>
        <w:keepNext/>
        <w:widowControl w:val="0"/>
        <w:rPr>
          <w:b/>
          <w:sz w:val="24"/>
          <w:szCs w:val="24"/>
        </w:rPr>
      </w:pPr>
      <w:r>
        <w:rPr>
          <w:b/>
          <w:sz w:val="24"/>
          <w:szCs w:val="24"/>
        </w:rPr>
        <w:t>Housing Affordability</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3324"/>
        <w:gridCol w:w="2753"/>
      </w:tblGrid>
      <w:tr w:rsidR="009B0FCC" w14:paraId="1F37ED33" w14:textId="77777777" w:rsidTr="00721F16">
        <w:trPr>
          <w:cantSplit/>
          <w:tblHeader/>
        </w:trPr>
        <w:tc>
          <w:tcPr>
            <w:tcW w:w="3346" w:type="dxa"/>
          </w:tcPr>
          <w:p w14:paraId="202AC191" w14:textId="77777777" w:rsidR="009B0FCC" w:rsidRDefault="009B0FCC" w:rsidP="00721F16">
            <w:pPr>
              <w:keepNext/>
              <w:widowControl w:val="0"/>
              <w:spacing w:after="0" w:line="240" w:lineRule="auto"/>
              <w:jc w:val="center"/>
              <w:rPr>
                <w:b/>
                <w:bCs/>
              </w:rPr>
            </w:pPr>
            <w:r>
              <w:rPr>
                <w:b/>
                <w:bCs/>
              </w:rPr>
              <w:t xml:space="preserve">Number of Units affordable to Households earning </w:t>
            </w:r>
          </w:p>
        </w:tc>
        <w:tc>
          <w:tcPr>
            <w:tcW w:w="3411" w:type="dxa"/>
          </w:tcPr>
          <w:p w14:paraId="2350A408" w14:textId="77777777" w:rsidR="009B0FCC" w:rsidRDefault="009B0FCC" w:rsidP="00721F16">
            <w:pPr>
              <w:keepNext/>
              <w:widowControl w:val="0"/>
              <w:spacing w:after="0" w:line="240" w:lineRule="auto"/>
              <w:jc w:val="center"/>
              <w:rPr>
                <w:b/>
                <w:bCs/>
              </w:rPr>
            </w:pPr>
            <w:r>
              <w:rPr>
                <w:b/>
                <w:bCs/>
              </w:rPr>
              <w:t>Renter</w:t>
            </w:r>
          </w:p>
        </w:tc>
        <w:tc>
          <w:tcPr>
            <w:tcW w:w="2819" w:type="dxa"/>
          </w:tcPr>
          <w:p w14:paraId="67B17DE7" w14:textId="77777777" w:rsidR="009B0FCC" w:rsidRDefault="009B0FCC" w:rsidP="00721F16">
            <w:pPr>
              <w:keepNext/>
              <w:widowControl w:val="0"/>
              <w:spacing w:after="0" w:line="240" w:lineRule="auto"/>
              <w:jc w:val="center"/>
              <w:rPr>
                <w:b/>
                <w:bCs/>
              </w:rPr>
            </w:pPr>
            <w:r>
              <w:rPr>
                <w:b/>
                <w:bCs/>
              </w:rPr>
              <w:t>Owner</w:t>
            </w:r>
          </w:p>
        </w:tc>
      </w:tr>
      <w:tr w:rsidR="009B0FCC" w14:paraId="0DEC8256" w14:textId="77777777" w:rsidTr="00721F16">
        <w:trPr>
          <w:cantSplit/>
        </w:trPr>
        <w:tc>
          <w:tcPr>
            <w:tcW w:w="0" w:type="auto"/>
          </w:tcPr>
          <w:p w14:paraId="3F936EAE" w14:textId="77777777" w:rsidR="009B0FCC" w:rsidRDefault="009B0FCC" w:rsidP="00721F16">
            <w:pPr>
              <w:spacing w:beforeAutospacing="1" w:afterAutospacing="1"/>
            </w:pPr>
            <w:r>
              <w:rPr>
                <w:color w:val="000000"/>
              </w:rPr>
              <w:t>30% HAMFI</w:t>
            </w:r>
          </w:p>
        </w:tc>
        <w:tc>
          <w:tcPr>
            <w:tcW w:w="0" w:type="auto"/>
            <w:vAlign w:val="bottom"/>
          </w:tcPr>
          <w:p w14:paraId="1609E90C" w14:textId="77777777" w:rsidR="009B0FCC" w:rsidRDefault="009B0FCC" w:rsidP="00721F16">
            <w:pPr>
              <w:spacing w:beforeAutospacing="1" w:afterAutospacing="1"/>
              <w:jc w:val="right"/>
            </w:pPr>
            <w:r>
              <w:rPr>
                <w:color w:val="000000"/>
              </w:rPr>
              <w:t>12,105</w:t>
            </w:r>
          </w:p>
        </w:tc>
        <w:tc>
          <w:tcPr>
            <w:tcW w:w="0" w:type="auto"/>
            <w:vAlign w:val="bottom"/>
          </w:tcPr>
          <w:p w14:paraId="153E310D" w14:textId="77777777" w:rsidR="009B0FCC" w:rsidRDefault="009B0FCC" w:rsidP="00721F16">
            <w:pPr>
              <w:spacing w:beforeAutospacing="1" w:afterAutospacing="1"/>
              <w:jc w:val="right"/>
            </w:pPr>
            <w:r>
              <w:rPr>
                <w:color w:val="000000"/>
              </w:rPr>
              <w:t>No Data</w:t>
            </w:r>
          </w:p>
        </w:tc>
      </w:tr>
      <w:tr w:rsidR="009B0FCC" w14:paraId="2381D0E0" w14:textId="77777777" w:rsidTr="00721F16">
        <w:trPr>
          <w:cantSplit/>
        </w:trPr>
        <w:tc>
          <w:tcPr>
            <w:tcW w:w="0" w:type="auto"/>
          </w:tcPr>
          <w:p w14:paraId="4550E313" w14:textId="77777777" w:rsidR="009B0FCC" w:rsidRDefault="009B0FCC" w:rsidP="00721F16">
            <w:pPr>
              <w:spacing w:beforeAutospacing="1" w:afterAutospacing="1"/>
            </w:pPr>
            <w:r>
              <w:rPr>
                <w:color w:val="000000"/>
              </w:rPr>
              <w:t>50% HAMFI</w:t>
            </w:r>
          </w:p>
        </w:tc>
        <w:tc>
          <w:tcPr>
            <w:tcW w:w="0" w:type="auto"/>
            <w:vAlign w:val="bottom"/>
          </w:tcPr>
          <w:p w14:paraId="4B2434D5" w14:textId="77777777" w:rsidR="009B0FCC" w:rsidRDefault="009B0FCC" w:rsidP="00721F16">
            <w:pPr>
              <w:spacing w:beforeAutospacing="1" w:afterAutospacing="1"/>
              <w:jc w:val="right"/>
            </w:pPr>
            <w:r>
              <w:rPr>
                <w:color w:val="000000"/>
              </w:rPr>
              <w:t>46,845</w:t>
            </w:r>
          </w:p>
        </w:tc>
        <w:tc>
          <w:tcPr>
            <w:tcW w:w="0" w:type="auto"/>
            <w:vAlign w:val="bottom"/>
          </w:tcPr>
          <w:p w14:paraId="470B9C8E" w14:textId="77777777" w:rsidR="009B0FCC" w:rsidRDefault="009B0FCC" w:rsidP="00721F16">
            <w:pPr>
              <w:spacing w:beforeAutospacing="1" w:afterAutospacing="1"/>
              <w:jc w:val="right"/>
            </w:pPr>
            <w:r>
              <w:rPr>
                <w:color w:val="000000"/>
              </w:rPr>
              <w:t>25,935</w:t>
            </w:r>
          </w:p>
        </w:tc>
      </w:tr>
      <w:tr w:rsidR="009B0FCC" w14:paraId="23FA92A9" w14:textId="77777777" w:rsidTr="00721F16">
        <w:trPr>
          <w:cantSplit/>
        </w:trPr>
        <w:tc>
          <w:tcPr>
            <w:tcW w:w="0" w:type="auto"/>
          </w:tcPr>
          <w:p w14:paraId="4636DA52" w14:textId="77777777" w:rsidR="009B0FCC" w:rsidRDefault="009B0FCC" w:rsidP="00721F16">
            <w:pPr>
              <w:spacing w:beforeAutospacing="1" w:afterAutospacing="1"/>
            </w:pPr>
            <w:r>
              <w:rPr>
                <w:color w:val="000000"/>
              </w:rPr>
              <w:t>80% HAMFI</w:t>
            </w:r>
          </w:p>
        </w:tc>
        <w:tc>
          <w:tcPr>
            <w:tcW w:w="0" w:type="auto"/>
            <w:vAlign w:val="bottom"/>
          </w:tcPr>
          <w:p w14:paraId="4162576D" w14:textId="77777777" w:rsidR="009B0FCC" w:rsidRDefault="009B0FCC" w:rsidP="00721F16">
            <w:pPr>
              <w:spacing w:beforeAutospacing="1" w:afterAutospacing="1"/>
              <w:jc w:val="right"/>
            </w:pPr>
            <w:r>
              <w:rPr>
                <w:color w:val="000000"/>
              </w:rPr>
              <w:t>118,085</w:t>
            </w:r>
          </w:p>
        </w:tc>
        <w:tc>
          <w:tcPr>
            <w:tcW w:w="0" w:type="auto"/>
            <w:vAlign w:val="bottom"/>
          </w:tcPr>
          <w:p w14:paraId="74C0D00E" w14:textId="77777777" w:rsidR="009B0FCC" w:rsidRDefault="009B0FCC" w:rsidP="00721F16">
            <w:pPr>
              <w:spacing w:beforeAutospacing="1" w:afterAutospacing="1"/>
              <w:jc w:val="right"/>
            </w:pPr>
            <w:r>
              <w:rPr>
                <w:color w:val="000000"/>
              </w:rPr>
              <w:t>93,305</w:t>
            </w:r>
          </w:p>
        </w:tc>
      </w:tr>
      <w:tr w:rsidR="009B0FCC" w14:paraId="49E388E1" w14:textId="77777777" w:rsidTr="00721F16">
        <w:trPr>
          <w:cantSplit/>
        </w:trPr>
        <w:tc>
          <w:tcPr>
            <w:tcW w:w="0" w:type="auto"/>
          </w:tcPr>
          <w:p w14:paraId="5ED934AF" w14:textId="77777777" w:rsidR="009B0FCC" w:rsidRDefault="009B0FCC" w:rsidP="00721F16">
            <w:pPr>
              <w:spacing w:beforeAutospacing="1" w:afterAutospacing="1"/>
            </w:pPr>
            <w:r>
              <w:rPr>
                <w:color w:val="000000"/>
              </w:rPr>
              <w:t>100% HAMFI</w:t>
            </w:r>
          </w:p>
        </w:tc>
        <w:tc>
          <w:tcPr>
            <w:tcW w:w="0" w:type="auto"/>
            <w:vAlign w:val="bottom"/>
          </w:tcPr>
          <w:p w14:paraId="4DC70EDE" w14:textId="77777777" w:rsidR="009B0FCC" w:rsidRDefault="009B0FCC" w:rsidP="00721F16">
            <w:pPr>
              <w:spacing w:beforeAutospacing="1" w:afterAutospacing="1"/>
              <w:jc w:val="right"/>
            </w:pPr>
            <w:r>
              <w:rPr>
                <w:color w:val="000000"/>
              </w:rPr>
              <w:t>No Data</w:t>
            </w:r>
          </w:p>
        </w:tc>
        <w:tc>
          <w:tcPr>
            <w:tcW w:w="0" w:type="auto"/>
            <w:vAlign w:val="bottom"/>
          </w:tcPr>
          <w:p w14:paraId="689226B3" w14:textId="77777777" w:rsidR="009B0FCC" w:rsidRDefault="009B0FCC" w:rsidP="00721F16">
            <w:pPr>
              <w:spacing w:beforeAutospacing="1" w:afterAutospacing="1"/>
              <w:jc w:val="right"/>
            </w:pPr>
            <w:r>
              <w:rPr>
                <w:color w:val="000000"/>
              </w:rPr>
              <w:t>145,885</w:t>
            </w:r>
          </w:p>
        </w:tc>
      </w:tr>
      <w:tr w:rsidR="009B0FCC" w14:paraId="6BB841F1" w14:textId="77777777" w:rsidTr="00721F16">
        <w:trPr>
          <w:cantSplit/>
        </w:trPr>
        <w:tc>
          <w:tcPr>
            <w:tcW w:w="0" w:type="auto"/>
          </w:tcPr>
          <w:p w14:paraId="3906F023" w14:textId="77777777" w:rsidR="009B0FCC" w:rsidRDefault="009B0FCC" w:rsidP="00721F16">
            <w:pPr>
              <w:spacing w:beforeAutospacing="1" w:afterAutospacing="1"/>
            </w:pPr>
            <w:r>
              <w:rPr>
                <w:rFonts w:ascii="Verdana" w:hAnsi="Verdana"/>
                <w:b/>
                <w:i/>
                <w:color w:val="000000"/>
                <w:sz w:val="16"/>
              </w:rPr>
              <w:t>Total</w:t>
            </w:r>
          </w:p>
        </w:tc>
        <w:tc>
          <w:tcPr>
            <w:tcW w:w="0" w:type="auto"/>
          </w:tcPr>
          <w:p w14:paraId="5A3744BB" w14:textId="77777777" w:rsidR="009B0FCC" w:rsidRDefault="009B0FCC" w:rsidP="00721F16">
            <w:pPr>
              <w:spacing w:beforeAutospacing="1" w:afterAutospacing="1"/>
              <w:jc w:val="right"/>
            </w:pPr>
            <w:r>
              <w:rPr>
                <w:rFonts w:ascii="Verdana" w:hAnsi="Verdana"/>
                <w:b/>
                <w:i/>
                <w:color w:val="000000"/>
                <w:sz w:val="16"/>
              </w:rPr>
              <w:t>177,035</w:t>
            </w:r>
          </w:p>
        </w:tc>
        <w:tc>
          <w:tcPr>
            <w:tcW w:w="0" w:type="auto"/>
          </w:tcPr>
          <w:p w14:paraId="1554A7DB" w14:textId="77777777" w:rsidR="009B0FCC" w:rsidRDefault="009B0FCC" w:rsidP="00721F16">
            <w:pPr>
              <w:spacing w:beforeAutospacing="1" w:afterAutospacing="1"/>
              <w:jc w:val="right"/>
            </w:pPr>
            <w:r>
              <w:rPr>
                <w:rFonts w:ascii="Verdana" w:hAnsi="Verdana"/>
                <w:b/>
                <w:i/>
                <w:color w:val="000000"/>
                <w:sz w:val="16"/>
              </w:rPr>
              <w:t>265,125</w:t>
            </w:r>
          </w:p>
        </w:tc>
      </w:tr>
    </w:tbl>
    <w:p w14:paraId="16C69C09"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Housing Affordability</w:t>
      </w:r>
    </w:p>
    <w:tbl>
      <w:tblPr>
        <w:tblW w:w="5000" w:type="pct"/>
        <w:tblInd w:w="115" w:type="dxa"/>
        <w:tblLook w:val="01E0" w:firstRow="1" w:lastRow="1" w:firstColumn="1" w:lastColumn="1" w:noHBand="0" w:noVBand="0"/>
      </w:tblPr>
      <w:tblGrid>
        <w:gridCol w:w="1064"/>
        <w:gridCol w:w="8296"/>
      </w:tblGrid>
      <w:tr w:rsidR="009B0FCC" w14:paraId="2916A021" w14:textId="77777777" w:rsidTr="00721F16">
        <w:trPr>
          <w:cantSplit/>
        </w:trPr>
        <w:tc>
          <w:tcPr>
            <w:tcW w:w="1073" w:type="dxa"/>
          </w:tcPr>
          <w:p w14:paraId="5C5CC4E2"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6DF9F41B" w14:textId="77777777" w:rsidR="009B0FCC" w:rsidRDefault="009B0FCC" w:rsidP="00721F16">
            <w:pPr>
              <w:spacing w:beforeAutospacing="1" w:afterAutospacing="1"/>
              <w:rPr>
                <w:rFonts w:cs="Arial"/>
                <w:sz w:val="16"/>
                <w:szCs w:val="16"/>
              </w:rPr>
            </w:pPr>
            <w:r>
              <w:rPr>
                <w:rFonts w:cs="Arial"/>
                <w:sz w:val="16"/>
                <w:szCs w:val="16"/>
              </w:rPr>
              <w:t>2016-2020 CHAS</w:t>
            </w:r>
          </w:p>
        </w:tc>
      </w:tr>
    </w:tbl>
    <w:p w14:paraId="6409D040" w14:textId="77777777" w:rsidR="009B0FCC" w:rsidRDefault="009B0FCC" w:rsidP="00FD58D2">
      <w:pPr>
        <w:jc w:val="both"/>
        <w:rPr>
          <w:vanish/>
        </w:rPr>
      </w:pPr>
    </w:p>
    <w:p w14:paraId="67872547" w14:textId="77777777" w:rsidR="009B0FCC" w:rsidRDefault="009B0FCC" w:rsidP="00FD58D2">
      <w:pPr>
        <w:jc w:val="both"/>
        <w:rPr>
          <w:b/>
          <w:bCs/>
          <w:vanish/>
          <w:sz w:val="16"/>
          <w:szCs w:val="16"/>
        </w:rPr>
      </w:pPr>
    </w:p>
    <w:p w14:paraId="46AE0290" w14:textId="77777777" w:rsidR="009B0FCC" w:rsidRDefault="009B0FCC" w:rsidP="00FD58D2">
      <w:pPr>
        <w:spacing w:after="0" w:line="240" w:lineRule="auto"/>
        <w:jc w:val="both"/>
      </w:pPr>
    </w:p>
    <w:p w14:paraId="1CA52C20" w14:textId="77777777" w:rsidR="009B0FCC" w:rsidRDefault="009B0FCC" w:rsidP="00FD58D2">
      <w:pPr>
        <w:widowControl w:val="0"/>
        <w:spacing w:after="0" w:line="240" w:lineRule="auto"/>
        <w:jc w:val="both"/>
        <w:rPr>
          <w:b/>
          <w:sz w:val="24"/>
          <w:szCs w:val="24"/>
        </w:rPr>
      </w:pPr>
    </w:p>
    <w:p w14:paraId="29F86D0A" w14:textId="3A7BD37D" w:rsidR="007501A7" w:rsidRDefault="009B0FCC" w:rsidP="00FD58D2">
      <w:pPr>
        <w:keepNext/>
        <w:widowControl w:val="0"/>
        <w:jc w:val="both"/>
        <w:rPr>
          <w:b/>
          <w:bCs/>
          <w:sz w:val="24"/>
          <w:szCs w:val="24"/>
        </w:rPr>
      </w:pPr>
      <w:r w:rsidRPr="497B8E2D">
        <w:rPr>
          <w:b/>
          <w:bCs/>
          <w:sz w:val="24"/>
          <w:szCs w:val="24"/>
        </w:rPr>
        <w:t xml:space="preserve">Monthly Rent </w:t>
      </w:r>
    </w:p>
    <w:p w14:paraId="4769F763" w14:textId="6E01274D" w:rsidR="007501A7" w:rsidRPr="007501A7" w:rsidRDefault="007501A7" w:rsidP="00FD58D2">
      <w:pPr>
        <w:keepNext/>
        <w:widowControl w:val="0"/>
        <w:jc w:val="both"/>
        <w:rPr>
          <w:sz w:val="24"/>
          <w:szCs w:val="24"/>
        </w:rPr>
      </w:pPr>
      <w:r w:rsidRPr="007501A7">
        <w:rPr>
          <w:sz w:val="24"/>
          <w:szCs w:val="24"/>
        </w:rPr>
        <w:t xml:space="preserve">See HUD’s website for </w:t>
      </w:r>
      <w:r>
        <w:rPr>
          <w:sz w:val="24"/>
          <w:szCs w:val="24"/>
        </w:rPr>
        <w:t xml:space="preserve">2024 </w:t>
      </w:r>
      <w:r w:rsidRPr="007501A7">
        <w:rPr>
          <w:sz w:val="24"/>
          <w:szCs w:val="24"/>
        </w:rPr>
        <w:t xml:space="preserve">Fair Market Rents and HOME Rents Statewide. </w:t>
      </w:r>
    </w:p>
    <w:p w14:paraId="72F64BCC" w14:textId="6F63FBBC" w:rsidR="007501A7" w:rsidRDefault="007501A7" w:rsidP="00FD58D2">
      <w:pPr>
        <w:keepNext/>
        <w:widowControl w:val="0"/>
        <w:jc w:val="both"/>
      </w:pPr>
      <w:hyperlink r:id="rId13" w:history="1">
        <w:r w:rsidRPr="00216E5D">
          <w:rPr>
            <w:rStyle w:val="Hyperlink"/>
          </w:rPr>
          <w:t>https://www.huduser.gov/portal/datasets/home-datasets/files/HOME_RentLimits_State_ID_2024.pdf</w:t>
        </w:r>
      </w:hyperlink>
    </w:p>
    <w:p w14:paraId="78210FAB" w14:textId="77777777" w:rsidR="007501A7" w:rsidRPr="007501A7" w:rsidRDefault="007501A7" w:rsidP="00FD58D2">
      <w:pPr>
        <w:keepNext/>
        <w:widowControl w:val="0"/>
        <w:jc w:val="both"/>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1601"/>
        <w:gridCol w:w="1322"/>
        <w:gridCol w:w="1322"/>
        <w:gridCol w:w="1322"/>
        <w:gridCol w:w="1322"/>
      </w:tblGrid>
      <w:tr w:rsidR="009B0FCC" w14:paraId="0594803E" w14:textId="77777777" w:rsidTr="00732DE0">
        <w:trPr>
          <w:cantSplit/>
          <w:tblHeader/>
        </w:trPr>
        <w:tc>
          <w:tcPr>
            <w:tcW w:w="2520" w:type="dxa"/>
          </w:tcPr>
          <w:p w14:paraId="4ED2CAB3" w14:textId="70CD969C" w:rsidR="009B0FCC" w:rsidRDefault="009B0FCC" w:rsidP="00FD58D2">
            <w:pPr>
              <w:keepNext/>
              <w:widowControl w:val="0"/>
              <w:spacing w:after="0" w:line="240" w:lineRule="auto"/>
              <w:jc w:val="both"/>
              <w:rPr>
                <w:b/>
                <w:bCs/>
              </w:rPr>
            </w:pPr>
            <w:r w:rsidRPr="787E070B">
              <w:rPr>
                <w:b/>
                <w:bCs/>
              </w:rPr>
              <w:t>Monthly Rent ($)</w:t>
            </w:r>
          </w:p>
        </w:tc>
        <w:tc>
          <w:tcPr>
            <w:tcW w:w="1620" w:type="dxa"/>
            <w:tcBorders>
              <w:bottom w:val="single" w:sz="4" w:space="0" w:color="auto"/>
            </w:tcBorders>
          </w:tcPr>
          <w:p w14:paraId="07B7171D" w14:textId="77777777" w:rsidR="009B0FCC" w:rsidRDefault="009B0FCC" w:rsidP="00FD58D2">
            <w:pPr>
              <w:keepNext/>
              <w:widowControl w:val="0"/>
              <w:spacing w:after="0" w:line="240" w:lineRule="auto"/>
              <w:jc w:val="both"/>
              <w:rPr>
                <w:b/>
              </w:rPr>
            </w:pPr>
            <w:r>
              <w:rPr>
                <w:b/>
                <w:bCs/>
              </w:rPr>
              <w:t>Efficiency (no bedroom)</w:t>
            </w:r>
          </w:p>
        </w:tc>
        <w:tc>
          <w:tcPr>
            <w:tcW w:w="1332" w:type="dxa"/>
            <w:tcBorders>
              <w:bottom w:val="single" w:sz="4" w:space="0" w:color="auto"/>
            </w:tcBorders>
          </w:tcPr>
          <w:p w14:paraId="15FE5E19" w14:textId="77777777" w:rsidR="009B0FCC" w:rsidRDefault="009B0FCC" w:rsidP="00FD58D2">
            <w:pPr>
              <w:keepNext/>
              <w:widowControl w:val="0"/>
              <w:spacing w:after="0" w:line="240" w:lineRule="auto"/>
              <w:jc w:val="both"/>
              <w:rPr>
                <w:b/>
              </w:rPr>
            </w:pPr>
            <w:r>
              <w:rPr>
                <w:b/>
                <w:bCs/>
              </w:rPr>
              <w:t>1 Bedroom</w:t>
            </w:r>
          </w:p>
        </w:tc>
        <w:tc>
          <w:tcPr>
            <w:tcW w:w="1332" w:type="dxa"/>
            <w:tcBorders>
              <w:bottom w:val="single" w:sz="4" w:space="0" w:color="auto"/>
            </w:tcBorders>
          </w:tcPr>
          <w:p w14:paraId="5A6C9F26" w14:textId="77777777" w:rsidR="009B0FCC" w:rsidRDefault="009B0FCC" w:rsidP="00FD58D2">
            <w:pPr>
              <w:keepNext/>
              <w:widowControl w:val="0"/>
              <w:spacing w:after="0" w:line="240" w:lineRule="auto"/>
              <w:jc w:val="both"/>
              <w:rPr>
                <w:b/>
              </w:rPr>
            </w:pPr>
            <w:r>
              <w:rPr>
                <w:b/>
                <w:bCs/>
              </w:rPr>
              <w:t>2 Bedroom</w:t>
            </w:r>
          </w:p>
        </w:tc>
        <w:tc>
          <w:tcPr>
            <w:tcW w:w="1332" w:type="dxa"/>
            <w:tcBorders>
              <w:bottom w:val="single" w:sz="4" w:space="0" w:color="auto"/>
            </w:tcBorders>
          </w:tcPr>
          <w:p w14:paraId="14226C3E" w14:textId="77777777" w:rsidR="009B0FCC" w:rsidRDefault="009B0FCC" w:rsidP="00FD58D2">
            <w:pPr>
              <w:keepNext/>
              <w:widowControl w:val="0"/>
              <w:spacing w:after="0" w:line="240" w:lineRule="auto"/>
              <w:jc w:val="both"/>
              <w:rPr>
                <w:b/>
              </w:rPr>
            </w:pPr>
            <w:r>
              <w:rPr>
                <w:b/>
                <w:bCs/>
              </w:rPr>
              <w:t>3 Bedroom</w:t>
            </w:r>
          </w:p>
        </w:tc>
        <w:tc>
          <w:tcPr>
            <w:tcW w:w="1332" w:type="dxa"/>
            <w:tcBorders>
              <w:bottom w:val="single" w:sz="4" w:space="0" w:color="auto"/>
            </w:tcBorders>
          </w:tcPr>
          <w:p w14:paraId="079F4E89" w14:textId="77777777" w:rsidR="009B0FCC" w:rsidRDefault="009B0FCC" w:rsidP="00FD58D2">
            <w:pPr>
              <w:keepNext/>
              <w:widowControl w:val="0"/>
              <w:spacing w:after="0" w:line="240" w:lineRule="auto"/>
              <w:jc w:val="both"/>
              <w:rPr>
                <w:b/>
              </w:rPr>
            </w:pPr>
            <w:r>
              <w:rPr>
                <w:b/>
                <w:bCs/>
              </w:rPr>
              <w:t>4 Bedroom</w:t>
            </w:r>
          </w:p>
        </w:tc>
      </w:tr>
      <w:tr w:rsidR="009B0FCC" w14:paraId="4F8C3307" w14:textId="77777777" w:rsidTr="00732DE0">
        <w:trPr>
          <w:cantSplit/>
        </w:trPr>
        <w:tc>
          <w:tcPr>
            <w:tcW w:w="2520" w:type="dxa"/>
            <w:tcBorders>
              <w:bottom w:val="single" w:sz="4" w:space="0" w:color="auto"/>
            </w:tcBorders>
          </w:tcPr>
          <w:p w14:paraId="2D086CEB" w14:textId="77777777" w:rsidR="009B0FCC" w:rsidRPr="00732DE0" w:rsidRDefault="009B0FCC" w:rsidP="00FD58D2">
            <w:pPr>
              <w:keepNext/>
              <w:widowControl w:val="0"/>
              <w:spacing w:after="0" w:line="240" w:lineRule="auto"/>
              <w:jc w:val="both"/>
            </w:pPr>
            <w:r w:rsidRPr="00732DE0">
              <w:t>Fair Market Rent</w:t>
            </w:r>
          </w:p>
        </w:tc>
        <w:tc>
          <w:tcPr>
            <w:tcW w:w="1620" w:type="dxa"/>
            <w:tcBorders>
              <w:top w:val="single" w:sz="4" w:space="0" w:color="auto"/>
              <w:bottom w:val="single" w:sz="4" w:space="0" w:color="auto"/>
              <w:right w:val="nil"/>
            </w:tcBorders>
          </w:tcPr>
          <w:p w14:paraId="37473529" w14:textId="7B191840" w:rsidR="009B0FCC" w:rsidRPr="001865FB" w:rsidRDefault="00732DE0" w:rsidP="00FD58D2">
            <w:pPr>
              <w:keepNext/>
              <w:widowControl w:val="0"/>
              <w:spacing w:after="0" w:line="240" w:lineRule="auto"/>
              <w:jc w:val="both"/>
            </w:pPr>
            <w:r>
              <w:t>See link above.</w:t>
            </w:r>
          </w:p>
        </w:tc>
        <w:tc>
          <w:tcPr>
            <w:tcW w:w="1332" w:type="dxa"/>
            <w:tcBorders>
              <w:top w:val="single" w:sz="4" w:space="0" w:color="auto"/>
              <w:left w:val="nil"/>
              <w:bottom w:val="single" w:sz="4" w:space="0" w:color="auto"/>
              <w:right w:val="nil"/>
            </w:tcBorders>
          </w:tcPr>
          <w:p w14:paraId="41CF2BCE" w14:textId="23B5E4FA" w:rsidR="009B0FCC" w:rsidRPr="001865FB" w:rsidRDefault="009B0FCC" w:rsidP="00FD58D2">
            <w:pPr>
              <w:keepNext/>
              <w:widowControl w:val="0"/>
              <w:spacing w:after="0" w:line="240" w:lineRule="auto"/>
              <w:jc w:val="both"/>
            </w:pPr>
          </w:p>
        </w:tc>
        <w:tc>
          <w:tcPr>
            <w:tcW w:w="1332" w:type="dxa"/>
            <w:tcBorders>
              <w:top w:val="single" w:sz="4" w:space="0" w:color="auto"/>
              <w:left w:val="nil"/>
              <w:bottom w:val="single" w:sz="4" w:space="0" w:color="auto"/>
              <w:right w:val="nil"/>
            </w:tcBorders>
          </w:tcPr>
          <w:p w14:paraId="43D0435F" w14:textId="49A58B1F" w:rsidR="009B0FCC" w:rsidRPr="001865FB" w:rsidRDefault="009B0FCC" w:rsidP="00FD58D2">
            <w:pPr>
              <w:keepNext/>
              <w:widowControl w:val="0"/>
              <w:spacing w:after="0" w:line="240" w:lineRule="auto"/>
              <w:jc w:val="both"/>
            </w:pPr>
          </w:p>
        </w:tc>
        <w:tc>
          <w:tcPr>
            <w:tcW w:w="1332" w:type="dxa"/>
            <w:tcBorders>
              <w:top w:val="single" w:sz="4" w:space="0" w:color="auto"/>
              <w:left w:val="nil"/>
              <w:bottom w:val="single" w:sz="4" w:space="0" w:color="auto"/>
              <w:right w:val="nil"/>
            </w:tcBorders>
          </w:tcPr>
          <w:p w14:paraId="27B55C92" w14:textId="04637923" w:rsidR="009B0FCC" w:rsidRPr="001865FB" w:rsidRDefault="009B0FCC" w:rsidP="00FD58D2">
            <w:pPr>
              <w:keepNext/>
              <w:widowControl w:val="0"/>
              <w:spacing w:after="0" w:line="240" w:lineRule="auto"/>
              <w:jc w:val="both"/>
            </w:pPr>
          </w:p>
        </w:tc>
        <w:tc>
          <w:tcPr>
            <w:tcW w:w="1332" w:type="dxa"/>
            <w:tcBorders>
              <w:top w:val="single" w:sz="4" w:space="0" w:color="auto"/>
              <w:left w:val="nil"/>
              <w:bottom w:val="single" w:sz="4" w:space="0" w:color="auto"/>
              <w:right w:val="single" w:sz="4" w:space="0" w:color="auto"/>
            </w:tcBorders>
          </w:tcPr>
          <w:p w14:paraId="73AD0455" w14:textId="3B3B3237" w:rsidR="009B0FCC" w:rsidRPr="001865FB" w:rsidRDefault="009B0FCC" w:rsidP="00FD58D2">
            <w:pPr>
              <w:keepNext/>
              <w:widowControl w:val="0"/>
              <w:spacing w:after="0" w:line="240" w:lineRule="auto"/>
              <w:jc w:val="both"/>
            </w:pPr>
          </w:p>
        </w:tc>
      </w:tr>
      <w:tr w:rsidR="009B0FCC" w14:paraId="25C1FF49" w14:textId="77777777" w:rsidTr="00732DE0">
        <w:trPr>
          <w:cantSplit/>
        </w:trPr>
        <w:tc>
          <w:tcPr>
            <w:tcW w:w="2520" w:type="dxa"/>
            <w:tcBorders>
              <w:bottom w:val="single" w:sz="4" w:space="0" w:color="auto"/>
            </w:tcBorders>
          </w:tcPr>
          <w:p w14:paraId="508E8103" w14:textId="77777777" w:rsidR="009B0FCC" w:rsidRPr="00732DE0" w:rsidRDefault="009B0FCC" w:rsidP="00FD58D2">
            <w:pPr>
              <w:keepNext/>
              <w:widowControl w:val="0"/>
              <w:spacing w:after="0" w:line="240" w:lineRule="auto"/>
              <w:jc w:val="both"/>
            </w:pPr>
            <w:r w:rsidRPr="00732DE0">
              <w:t>High HOME Rent</w:t>
            </w:r>
          </w:p>
        </w:tc>
        <w:tc>
          <w:tcPr>
            <w:tcW w:w="1620" w:type="dxa"/>
            <w:tcBorders>
              <w:top w:val="single" w:sz="4" w:space="0" w:color="auto"/>
              <w:bottom w:val="single" w:sz="4" w:space="0" w:color="auto"/>
              <w:right w:val="nil"/>
            </w:tcBorders>
          </w:tcPr>
          <w:p w14:paraId="05F83865" w14:textId="6EA7212D" w:rsidR="009B0FCC" w:rsidRPr="005332D8" w:rsidRDefault="00732DE0" w:rsidP="00FD58D2">
            <w:pPr>
              <w:keepNext/>
              <w:widowControl w:val="0"/>
              <w:spacing w:after="0" w:line="240" w:lineRule="auto"/>
              <w:jc w:val="both"/>
              <w:rPr>
                <w:highlight w:val="yellow"/>
              </w:rPr>
            </w:pPr>
            <w:r>
              <w:t>See link above.</w:t>
            </w:r>
          </w:p>
        </w:tc>
        <w:tc>
          <w:tcPr>
            <w:tcW w:w="1332" w:type="dxa"/>
            <w:tcBorders>
              <w:top w:val="single" w:sz="4" w:space="0" w:color="auto"/>
              <w:left w:val="nil"/>
              <w:bottom w:val="single" w:sz="4" w:space="0" w:color="auto"/>
              <w:right w:val="nil"/>
            </w:tcBorders>
          </w:tcPr>
          <w:p w14:paraId="1E98282D" w14:textId="77777777" w:rsidR="009B0FCC" w:rsidRPr="005332D8" w:rsidRDefault="009B0FCC" w:rsidP="00FD58D2">
            <w:pPr>
              <w:keepNext/>
              <w:widowControl w:val="0"/>
              <w:spacing w:after="0" w:line="240" w:lineRule="auto"/>
              <w:jc w:val="both"/>
              <w:rPr>
                <w:highlight w:val="yellow"/>
              </w:rPr>
            </w:pPr>
          </w:p>
        </w:tc>
        <w:tc>
          <w:tcPr>
            <w:tcW w:w="1332" w:type="dxa"/>
            <w:tcBorders>
              <w:top w:val="single" w:sz="4" w:space="0" w:color="auto"/>
              <w:left w:val="nil"/>
              <w:bottom w:val="single" w:sz="4" w:space="0" w:color="auto"/>
              <w:right w:val="nil"/>
            </w:tcBorders>
          </w:tcPr>
          <w:p w14:paraId="4E4A03A3" w14:textId="77777777" w:rsidR="009B0FCC" w:rsidRPr="005332D8" w:rsidRDefault="009B0FCC" w:rsidP="00FD58D2">
            <w:pPr>
              <w:keepNext/>
              <w:widowControl w:val="0"/>
              <w:spacing w:after="0" w:line="240" w:lineRule="auto"/>
              <w:jc w:val="both"/>
              <w:rPr>
                <w:highlight w:val="yellow"/>
              </w:rPr>
            </w:pPr>
          </w:p>
        </w:tc>
        <w:tc>
          <w:tcPr>
            <w:tcW w:w="1332" w:type="dxa"/>
            <w:tcBorders>
              <w:top w:val="single" w:sz="4" w:space="0" w:color="auto"/>
              <w:left w:val="nil"/>
              <w:bottom w:val="single" w:sz="4" w:space="0" w:color="auto"/>
              <w:right w:val="nil"/>
            </w:tcBorders>
          </w:tcPr>
          <w:p w14:paraId="087A7463" w14:textId="77777777" w:rsidR="009B0FCC" w:rsidRPr="005332D8" w:rsidRDefault="009B0FCC" w:rsidP="00FD58D2">
            <w:pPr>
              <w:keepNext/>
              <w:widowControl w:val="0"/>
              <w:spacing w:after="0" w:line="240" w:lineRule="auto"/>
              <w:jc w:val="both"/>
              <w:rPr>
                <w:highlight w:val="yellow"/>
              </w:rPr>
            </w:pPr>
          </w:p>
        </w:tc>
        <w:tc>
          <w:tcPr>
            <w:tcW w:w="1332" w:type="dxa"/>
            <w:tcBorders>
              <w:top w:val="single" w:sz="4" w:space="0" w:color="auto"/>
              <w:left w:val="nil"/>
              <w:bottom w:val="single" w:sz="4" w:space="0" w:color="auto"/>
              <w:right w:val="single" w:sz="4" w:space="0" w:color="auto"/>
            </w:tcBorders>
          </w:tcPr>
          <w:p w14:paraId="5CCFAA38" w14:textId="77777777" w:rsidR="009B0FCC" w:rsidRPr="005332D8" w:rsidRDefault="009B0FCC" w:rsidP="00FD58D2">
            <w:pPr>
              <w:keepNext/>
              <w:widowControl w:val="0"/>
              <w:spacing w:after="0" w:line="240" w:lineRule="auto"/>
              <w:jc w:val="both"/>
              <w:rPr>
                <w:highlight w:val="yellow"/>
              </w:rPr>
            </w:pPr>
          </w:p>
        </w:tc>
      </w:tr>
      <w:tr w:rsidR="009B0FCC" w14:paraId="6AAC9742" w14:textId="77777777" w:rsidTr="00732DE0">
        <w:trPr>
          <w:cantSplit/>
        </w:trPr>
        <w:tc>
          <w:tcPr>
            <w:tcW w:w="2520" w:type="dxa"/>
            <w:tcBorders>
              <w:top w:val="single" w:sz="4" w:space="0" w:color="auto"/>
              <w:left w:val="single" w:sz="4" w:space="0" w:color="auto"/>
              <w:bottom w:val="single" w:sz="4" w:space="0" w:color="auto"/>
            </w:tcBorders>
          </w:tcPr>
          <w:p w14:paraId="1E6B5E4D" w14:textId="77777777" w:rsidR="009B0FCC" w:rsidRPr="00732DE0" w:rsidRDefault="009B0FCC" w:rsidP="00FD58D2">
            <w:pPr>
              <w:keepNext/>
              <w:widowControl w:val="0"/>
              <w:spacing w:after="0" w:line="240" w:lineRule="auto"/>
              <w:jc w:val="both"/>
            </w:pPr>
            <w:r w:rsidRPr="00732DE0">
              <w:t>Low HOME Rent</w:t>
            </w:r>
          </w:p>
        </w:tc>
        <w:tc>
          <w:tcPr>
            <w:tcW w:w="1620" w:type="dxa"/>
            <w:tcBorders>
              <w:top w:val="single" w:sz="4" w:space="0" w:color="auto"/>
              <w:bottom w:val="single" w:sz="4" w:space="0" w:color="auto"/>
              <w:right w:val="nil"/>
            </w:tcBorders>
          </w:tcPr>
          <w:p w14:paraId="180D6E17" w14:textId="01483B53" w:rsidR="009B0FCC" w:rsidRPr="005332D8" w:rsidRDefault="00732DE0" w:rsidP="00FD58D2">
            <w:pPr>
              <w:keepNext/>
              <w:widowControl w:val="0"/>
              <w:spacing w:after="0" w:line="240" w:lineRule="auto"/>
              <w:jc w:val="both"/>
              <w:rPr>
                <w:highlight w:val="yellow"/>
              </w:rPr>
            </w:pPr>
            <w:r>
              <w:t>See link above.</w:t>
            </w:r>
          </w:p>
        </w:tc>
        <w:tc>
          <w:tcPr>
            <w:tcW w:w="1332" w:type="dxa"/>
            <w:tcBorders>
              <w:top w:val="single" w:sz="4" w:space="0" w:color="auto"/>
              <w:left w:val="nil"/>
              <w:bottom w:val="single" w:sz="4" w:space="0" w:color="auto"/>
              <w:right w:val="nil"/>
            </w:tcBorders>
          </w:tcPr>
          <w:p w14:paraId="56453215" w14:textId="77777777" w:rsidR="009B0FCC" w:rsidRPr="005332D8" w:rsidRDefault="009B0FCC" w:rsidP="00FD58D2">
            <w:pPr>
              <w:keepNext/>
              <w:widowControl w:val="0"/>
              <w:spacing w:after="0" w:line="240" w:lineRule="auto"/>
              <w:jc w:val="both"/>
              <w:rPr>
                <w:highlight w:val="yellow"/>
              </w:rPr>
            </w:pPr>
          </w:p>
        </w:tc>
        <w:tc>
          <w:tcPr>
            <w:tcW w:w="1332" w:type="dxa"/>
            <w:tcBorders>
              <w:top w:val="single" w:sz="4" w:space="0" w:color="auto"/>
              <w:left w:val="nil"/>
              <w:bottom w:val="single" w:sz="4" w:space="0" w:color="auto"/>
              <w:right w:val="nil"/>
            </w:tcBorders>
          </w:tcPr>
          <w:p w14:paraId="379F45A4" w14:textId="77777777" w:rsidR="009B0FCC" w:rsidRPr="005332D8" w:rsidRDefault="009B0FCC" w:rsidP="00FD58D2">
            <w:pPr>
              <w:keepNext/>
              <w:widowControl w:val="0"/>
              <w:spacing w:after="0" w:line="240" w:lineRule="auto"/>
              <w:jc w:val="both"/>
              <w:rPr>
                <w:highlight w:val="yellow"/>
              </w:rPr>
            </w:pPr>
          </w:p>
        </w:tc>
        <w:tc>
          <w:tcPr>
            <w:tcW w:w="1332" w:type="dxa"/>
            <w:tcBorders>
              <w:top w:val="single" w:sz="4" w:space="0" w:color="auto"/>
              <w:left w:val="nil"/>
              <w:bottom w:val="single" w:sz="4" w:space="0" w:color="auto"/>
              <w:right w:val="nil"/>
            </w:tcBorders>
          </w:tcPr>
          <w:p w14:paraId="743F81A3" w14:textId="77777777" w:rsidR="009B0FCC" w:rsidRPr="005332D8" w:rsidRDefault="009B0FCC" w:rsidP="00FD58D2">
            <w:pPr>
              <w:keepNext/>
              <w:widowControl w:val="0"/>
              <w:spacing w:after="0" w:line="240" w:lineRule="auto"/>
              <w:jc w:val="both"/>
              <w:rPr>
                <w:highlight w:val="yellow"/>
              </w:rPr>
            </w:pPr>
          </w:p>
        </w:tc>
        <w:tc>
          <w:tcPr>
            <w:tcW w:w="1332" w:type="dxa"/>
            <w:tcBorders>
              <w:top w:val="single" w:sz="4" w:space="0" w:color="auto"/>
              <w:left w:val="nil"/>
              <w:bottom w:val="single" w:sz="4" w:space="0" w:color="auto"/>
              <w:right w:val="single" w:sz="4" w:space="0" w:color="auto"/>
            </w:tcBorders>
          </w:tcPr>
          <w:p w14:paraId="435D3AFB" w14:textId="77777777" w:rsidR="009B0FCC" w:rsidRPr="005332D8" w:rsidRDefault="009B0FCC" w:rsidP="00FD58D2">
            <w:pPr>
              <w:keepNext/>
              <w:widowControl w:val="0"/>
              <w:spacing w:after="0" w:line="240" w:lineRule="auto"/>
              <w:jc w:val="both"/>
              <w:rPr>
                <w:highlight w:val="yellow"/>
              </w:rPr>
            </w:pPr>
          </w:p>
        </w:tc>
      </w:tr>
    </w:tbl>
    <w:p w14:paraId="7A33A447" w14:textId="77777777" w:rsidR="009B0FCC" w:rsidRDefault="009B0FCC" w:rsidP="00FD58D2">
      <w:pPr>
        <w:pStyle w:val="Caption"/>
        <w:jc w:val="both"/>
        <w:rPr>
          <w:rFonts w:asciiTheme="minorHAnsi" w:hAnsiTheme="minorHAnsi"/>
        </w:rPr>
      </w:pPr>
      <w:r w:rsidRPr="497B8E2D">
        <w:rPr>
          <w:rFonts w:asciiTheme="minorHAnsi" w:hAnsiTheme="minorHAnsi"/>
        </w:rPr>
        <w:t xml:space="preserve">Table </w:t>
      </w:r>
      <w:r w:rsidRPr="497B8E2D">
        <w:rPr>
          <w:rFonts w:asciiTheme="minorHAnsi" w:hAnsiTheme="minorHAnsi"/>
        </w:rPr>
        <w:fldChar w:fldCharType="begin"/>
      </w:r>
      <w:r w:rsidRPr="497B8E2D">
        <w:rPr>
          <w:rFonts w:asciiTheme="minorHAnsi" w:hAnsiTheme="minorHAnsi"/>
        </w:rPr>
        <w:instrText xml:space="preserve"> SEQ Table \* ARABIC </w:instrText>
      </w:r>
      <w:r w:rsidRPr="497B8E2D">
        <w:rPr>
          <w:rFonts w:asciiTheme="minorHAnsi" w:hAnsiTheme="minorHAnsi"/>
        </w:rPr>
        <w:fldChar w:fldCharType="separate"/>
      </w:r>
      <w:r w:rsidRPr="497B8E2D">
        <w:rPr>
          <w:rFonts w:asciiTheme="minorHAnsi" w:hAnsiTheme="minorHAnsi"/>
        </w:rPr>
        <w:t>35</w:t>
      </w:r>
      <w:r w:rsidRPr="497B8E2D">
        <w:rPr>
          <w:rFonts w:asciiTheme="minorHAnsi" w:hAnsiTheme="minorHAnsi"/>
        </w:rPr>
        <w:fldChar w:fldCharType="end"/>
      </w:r>
      <w:r w:rsidRPr="497B8E2D">
        <w:rPr>
          <w:rFonts w:asciiTheme="minorHAnsi" w:hAnsiTheme="minorHAnsi"/>
        </w:rPr>
        <w:t xml:space="preserve"> – Monthly Rent</w:t>
      </w:r>
    </w:p>
    <w:tbl>
      <w:tblPr>
        <w:tblW w:w="5000" w:type="pct"/>
        <w:tblInd w:w="115" w:type="dxa"/>
        <w:tblLook w:val="01E0" w:firstRow="1" w:lastRow="1" w:firstColumn="1" w:lastColumn="1" w:noHBand="0" w:noVBand="0"/>
      </w:tblPr>
      <w:tblGrid>
        <w:gridCol w:w="1064"/>
        <w:gridCol w:w="8296"/>
      </w:tblGrid>
      <w:tr w:rsidR="009B0FCC" w14:paraId="41744E94" w14:textId="77777777" w:rsidTr="00721F16">
        <w:trPr>
          <w:cantSplit/>
        </w:trPr>
        <w:tc>
          <w:tcPr>
            <w:tcW w:w="1073" w:type="dxa"/>
          </w:tcPr>
          <w:p w14:paraId="2A3227D0" w14:textId="77777777" w:rsidR="009B0FCC" w:rsidRDefault="009B0FCC" w:rsidP="00FD58D2">
            <w:pPr>
              <w:spacing w:after="0" w:line="240" w:lineRule="auto"/>
              <w:jc w:val="both"/>
              <w:rPr>
                <w:rFonts w:cs="Arial"/>
                <w:sz w:val="16"/>
                <w:szCs w:val="16"/>
              </w:rPr>
            </w:pPr>
            <w:r>
              <w:rPr>
                <w:b/>
                <w:bCs/>
                <w:sz w:val="16"/>
                <w:szCs w:val="16"/>
              </w:rPr>
              <w:t>Data Source:</w:t>
            </w:r>
          </w:p>
        </w:tc>
        <w:tc>
          <w:tcPr>
            <w:tcW w:w="8503" w:type="dxa"/>
          </w:tcPr>
          <w:p w14:paraId="612E1F51" w14:textId="458FA1A3" w:rsidR="009B0FCC" w:rsidRDefault="009B0FCC" w:rsidP="00FD58D2">
            <w:pPr>
              <w:spacing w:beforeAutospacing="1" w:afterAutospacing="1"/>
              <w:jc w:val="both"/>
              <w:rPr>
                <w:rFonts w:cs="Arial"/>
                <w:sz w:val="16"/>
                <w:szCs w:val="16"/>
              </w:rPr>
            </w:pPr>
            <w:r>
              <w:rPr>
                <w:rFonts w:cs="Arial"/>
                <w:sz w:val="16"/>
                <w:szCs w:val="16"/>
              </w:rPr>
              <w:t>HUD FMR and HOME Rents</w:t>
            </w:r>
            <w:r w:rsidR="007501A7">
              <w:rPr>
                <w:rFonts w:cs="Arial"/>
                <w:sz w:val="16"/>
                <w:szCs w:val="16"/>
              </w:rPr>
              <w:t>;</w:t>
            </w:r>
          </w:p>
        </w:tc>
      </w:tr>
    </w:tbl>
    <w:p w14:paraId="25F749AD" w14:textId="77777777" w:rsidR="009B0FCC" w:rsidRDefault="009B0FCC" w:rsidP="00FD58D2">
      <w:pPr>
        <w:jc w:val="both"/>
        <w:rPr>
          <w:vanish/>
        </w:rPr>
      </w:pPr>
    </w:p>
    <w:p w14:paraId="1AD23762" w14:textId="77777777" w:rsidR="009B0FCC" w:rsidRDefault="009B0FCC" w:rsidP="00FD58D2">
      <w:pPr>
        <w:jc w:val="both"/>
        <w:rPr>
          <w:b/>
          <w:bCs/>
          <w:vanish/>
          <w:sz w:val="16"/>
          <w:szCs w:val="16"/>
        </w:rPr>
      </w:pPr>
    </w:p>
    <w:p w14:paraId="0DA373A9" w14:textId="77777777" w:rsidR="009B0FCC" w:rsidRDefault="009B0FCC" w:rsidP="00FD58D2">
      <w:pPr>
        <w:spacing w:after="0" w:line="240" w:lineRule="auto"/>
        <w:jc w:val="both"/>
      </w:pPr>
    </w:p>
    <w:p w14:paraId="5298D1B1" w14:textId="77777777" w:rsidR="009B0FCC" w:rsidRDefault="009B0FCC" w:rsidP="00FD58D2">
      <w:pPr>
        <w:spacing w:after="0" w:line="240" w:lineRule="auto"/>
        <w:jc w:val="both"/>
      </w:pPr>
    </w:p>
    <w:p w14:paraId="4BB14F16" w14:textId="77777777" w:rsidR="009B0FCC" w:rsidRDefault="009B0FCC" w:rsidP="00FD58D2">
      <w:pPr>
        <w:jc w:val="both"/>
        <w:rPr>
          <w:b/>
          <w:sz w:val="24"/>
          <w:szCs w:val="24"/>
        </w:rPr>
      </w:pPr>
      <w:r w:rsidRPr="497B8E2D">
        <w:rPr>
          <w:b/>
          <w:bCs/>
          <w:sz w:val="24"/>
          <w:szCs w:val="24"/>
        </w:rPr>
        <w:t>Is there sufficient housing for households at all income levels?</w:t>
      </w:r>
    </w:p>
    <w:p w14:paraId="6C33EC63" w14:textId="5C571CC4" w:rsidR="009B0FCC" w:rsidRDefault="009B0FCC" w:rsidP="00FD58D2">
      <w:pPr>
        <w:spacing w:after="0"/>
        <w:jc w:val="both"/>
        <w:rPr>
          <w:rFonts w:cs="Calibri"/>
          <w:color w:val="000000" w:themeColor="text1"/>
          <w:sz w:val="24"/>
          <w:szCs w:val="24"/>
        </w:rPr>
      </w:pPr>
      <w:r w:rsidRPr="497B8E2D">
        <w:rPr>
          <w:rFonts w:cs="Calibri"/>
          <w:color w:val="000000" w:themeColor="text1"/>
          <w:sz w:val="24"/>
          <w:szCs w:val="24"/>
        </w:rPr>
        <w:t xml:space="preserve">Table 6 shows that there were 67,790 total households earning less than 30% AMI in the state and Table 34 shows that there were only 12,105 affordable housing units available for those at that income level. This means that there are only affordable housing units available for 17.8% of households earning less than 30% AMI. Most households at that income level were small family households, followed by households with at least one person aged 62-74. There were 70,225 total households earning 31- 50% AMI in the city and 72,780 affordable units available (for combined renter and owner households). The </w:t>
      </w:r>
      <w:r w:rsidR="00105D72">
        <w:rPr>
          <w:rFonts w:cs="Calibri"/>
          <w:color w:val="000000" w:themeColor="text1"/>
          <w:sz w:val="24"/>
          <w:szCs w:val="24"/>
        </w:rPr>
        <w:t xml:space="preserve">availability </w:t>
      </w:r>
      <w:r w:rsidRPr="497B8E2D">
        <w:rPr>
          <w:rFonts w:cs="Calibri"/>
          <w:color w:val="000000" w:themeColor="text1"/>
          <w:sz w:val="24"/>
          <w:szCs w:val="24"/>
        </w:rPr>
        <w:t xml:space="preserve">of affordable housing units, especially for those with incomes between 0-30% AMI, does not meet the demand. </w:t>
      </w:r>
    </w:p>
    <w:p w14:paraId="1F00734D" w14:textId="77777777" w:rsidR="009B0FCC" w:rsidRDefault="009B0FCC" w:rsidP="00FD58D2">
      <w:pPr>
        <w:jc w:val="both"/>
        <w:rPr>
          <w:b/>
          <w:bCs/>
          <w:sz w:val="24"/>
          <w:szCs w:val="24"/>
        </w:rPr>
      </w:pPr>
    </w:p>
    <w:p w14:paraId="6F5402A6" w14:textId="77777777" w:rsidR="009B0FCC" w:rsidRDefault="009B0FCC" w:rsidP="00FD58D2">
      <w:pPr>
        <w:jc w:val="both"/>
        <w:rPr>
          <w:b/>
          <w:sz w:val="24"/>
          <w:szCs w:val="24"/>
        </w:rPr>
      </w:pPr>
      <w:r w:rsidRPr="497B8E2D">
        <w:rPr>
          <w:b/>
          <w:bCs/>
          <w:sz w:val="24"/>
          <w:szCs w:val="24"/>
        </w:rPr>
        <w:t>How is affordability of housing likely to change considering changes to home values and/or rents?</w:t>
      </w:r>
    </w:p>
    <w:p w14:paraId="39BF24FC" w14:textId="77777777" w:rsidR="00280541" w:rsidRDefault="009B0FCC" w:rsidP="00FD58D2">
      <w:pPr>
        <w:jc w:val="both"/>
        <w:rPr>
          <w:rFonts w:cs="Calibri"/>
          <w:color w:val="000000" w:themeColor="text1"/>
          <w:sz w:val="24"/>
          <w:szCs w:val="24"/>
        </w:rPr>
      </w:pPr>
      <w:r w:rsidRPr="497B8E2D">
        <w:rPr>
          <w:rFonts w:cs="Calibri"/>
          <w:color w:val="000000" w:themeColor="text1"/>
          <w:sz w:val="24"/>
          <w:szCs w:val="24"/>
        </w:rPr>
        <w:t>It is unlikely that the housing market will shift to increase the number of affordable owner-occupied or renter-occupied units</w:t>
      </w:r>
      <w:r w:rsidR="00280541">
        <w:rPr>
          <w:rFonts w:cs="Calibri"/>
          <w:color w:val="000000" w:themeColor="text1"/>
          <w:sz w:val="24"/>
          <w:szCs w:val="24"/>
        </w:rPr>
        <w:t xml:space="preserve"> to meet current demand</w:t>
      </w:r>
      <w:r w:rsidRPr="497B8E2D">
        <w:rPr>
          <w:rFonts w:cs="Calibri"/>
          <w:color w:val="000000" w:themeColor="text1"/>
          <w:sz w:val="24"/>
          <w:szCs w:val="24"/>
        </w:rPr>
        <w:t xml:space="preserve">. </w:t>
      </w:r>
      <w:r w:rsidR="00280541">
        <w:rPr>
          <w:rFonts w:cs="Calibri"/>
          <w:color w:val="000000" w:themeColor="text1"/>
          <w:sz w:val="24"/>
          <w:szCs w:val="24"/>
        </w:rPr>
        <w:t>Further, r</w:t>
      </w:r>
      <w:r w:rsidRPr="497B8E2D">
        <w:rPr>
          <w:rFonts w:cs="Calibri"/>
          <w:color w:val="000000" w:themeColor="text1"/>
          <w:sz w:val="24"/>
          <w:szCs w:val="24"/>
        </w:rPr>
        <w:t>ental units do not typically see prices decrease even when the housing market crashes.</w:t>
      </w:r>
      <w:r w:rsidR="00280541">
        <w:rPr>
          <w:rFonts w:cs="Calibri"/>
          <w:color w:val="000000" w:themeColor="text1"/>
          <w:sz w:val="24"/>
          <w:szCs w:val="24"/>
        </w:rPr>
        <w:t xml:space="preserve"> </w:t>
      </w:r>
    </w:p>
    <w:p w14:paraId="04F6848F" w14:textId="12694732" w:rsidR="009B0FCC" w:rsidRDefault="00280541" w:rsidP="00FD58D2">
      <w:pPr>
        <w:jc w:val="both"/>
        <w:rPr>
          <w:rFonts w:cs="Calibri"/>
          <w:color w:val="000000" w:themeColor="text1"/>
          <w:sz w:val="24"/>
          <w:szCs w:val="24"/>
        </w:rPr>
      </w:pPr>
      <w:r>
        <w:rPr>
          <w:rFonts w:cs="Calibri"/>
          <w:color w:val="000000" w:themeColor="text1"/>
          <w:sz w:val="24"/>
          <w:szCs w:val="24"/>
        </w:rPr>
        <w:t>Housing cost in general has been on a steady upward climb in recent years with incomes not keeping pace.  As a result. Increasingly fewer units are “affordable” to low</w:t>
      </w:r>
      <w:r w:rsidR="5645AAA7" w:rsidRPr="098FA5AC">
        <w:rPr>
          <w:rFonts w:cs="Calibri"/>
          <w:color w:val="000000" w:themeColor="text1"/>
          <w:sz w:val="24"/>
          <w:szCs w:val="24"/>
        </w:rPr>
        <w:t>-</w:t>
      </w:r>
      <w:r>
        <w:rPr>
          <w:rFonts w:cs="Calibri"/>
          <w:color w:val="000000" w:themeColor="text1"/>
          <w:sz w:val="24"/>
          <w:szCs w:val="24"/>
        </w:rPr>
        <w:t xml:space="preserve"> and moderate</w:t>
      </w:r>
      <w:r w:rsidR="22992B30" w:rsidRPr="098FA5AC">
        <w:rPr>
          <w:rFonts w:cs="Calibri"/>
          <w:color w:val="000000" w:themeColor="text1"/>
          <w:sz w:val="24"/>
          <w:szCs w:val="24"/>
        </w:rPr>
        <w:t>-</w:t>
      </w:r>
      <w:r>
        <w:rPr>
          <w:rFonts w:cs="Calibri"/>
          <w:color w:val="000000" w:themeColor="text1"/>
          <w:sz w:val="24"/>
          <w:szCs w:val="24"/>
        </w:rPr>
        <w:t>income households and units with deeper subsidies</w:t>
      </w:r>
      <w:r w:rsidR="00D65E23">
        <w:rPr>
          <w:rFonts w:cs="Calibri"/>
          <w:color w:val="000000" w:themeColor="text1"/>
          <w:sz w:val="24"/>
          <w:szCs w:val="24"/>
        </w:rPr>
        <w:t xml:space="preserve"> are not added in large quantities or in time to meet the increasing demands. </w:t>
      </w:r>
    </w:p>
    <w:p w14:paraId="004804F2" w14:textId="77777777" w:rsidR="009B0FCC" w:rsidRPr="00AA3313" w:rsidRDefault="009B0FCC" w:rsidP="00FD58D2">
      <w:pPr>
        <w:jc w:val="both"/>
        <w:rPr>
          <w:b/>
          <w:bCs/>
          <w:sz w:val="24"/>
          <w:szCs w:val="24"/>
        </w:rPr>
      </w:pPr>
      <w:bookmarkStart w:id="34" w:name="_Hlk193723655"/>
      <w:r w:rsidRPr="00AA3313">
        <w:rPr>
          <w:b/>
          <w:bCs/>
          <w:sz w:val="24"/>
          <w:szCs w:val="24"/>
        </w:rPr>
        <w:t>How do HOME rents / Fair Market Rent compare to Area Median Rent? How might this impact your strategy to produce or preserve affordable housing?</w:t>
      </w:r>
    </w:p>
    <w:p w14:paraId="34C4E7ED" w14:textId="77777777" w:rsidR="00E66F90" w:rsidRDefault="00E66F90" w:rsidP="00FD58D2">
      <w:pPr>
        <w:jc w:val="both"/>
        <w:rPr>
          <w:sz w:val="24"/>
          <w:szCs w:val="24"/>
        </w:rPr>
      </w:pPr>
      <w:bookmarkStart w:id="35" w:name="_Hlk193723672"/>
      <w:bookmarkEnd w:id="34"/>
      <w:r w:rsidRPr="00AA3313">
        <w:rPr>
          <w:sz w:val="24"/>
          <w:szCs w:val="24"/>
        </w:rPr>
        <w:lastRenderedPageBreak/>
        <w:t>See Unique Appendices</w:t>
      </w:r>
      <w:r w:rsidRPr="00E66F90">
        <w:rPr>
          <w:sz w:val="24"/>
          <w:szCs w:val="24"/>
        </w:rPr>
        <w:t xml:space="preserve"> for a list of median rents in each county compared to HOME rents/Fair Market Rents.  </w:t>
      </w:r>
    </w:p>
    <w:bookmarkEnd w:id="35"/>
    <w:p w14:paraId="657D1690" w14:textId="6D181794" w:rsidR="006948B8" w:rsidRPr="00E66F90" w:rsidRDefault="00E66F90" w:rsidP="00FD58D2">
      <w:pPr>
        <w:jc w:val="both"/>
        <w:rPr>
          <w:sz w:val="24"/>
          <w:szCs w:val="24"/>
        </w:rPr>
      </w:pPr>
      <w:r>
        <w:rPr>
          <w:sz w:val="24"/>
          <w:szCs w:val="24"/>
        </w:rPr>
        <w:t xml:space="preserve">As discussed throughout community consultation, wages are not keeping </w:t>
      </w:r>
      <w:r w:rsidR="00C157B9">
        <w:rPr>
          <w:sz w:val="24"/>
          <w:szCs w:val="24"/>
        </w:rPr>
        <w:t>u</w:t>
      </w:r>
      <w:r>
        <w:rPr>
          <w:sz w:val="24"/>
          <w:szCs w:val="24"/>
        </w:rPr>
        <w:t xml:space="preserve">p with the steep increases in rents in recent years. </w:t>
      </w:r>
      <w:r w:rsidR="00C157B9">
        <w:rPr>
          <w:sz w:val="24"/>
          <w:szCs w:val="24"/>
        </w:rPr>
        <w:t>Between 2018 and 2023, median income in the State overall rose by 41%, however, t</w:t>
      </w:r>
      <w:r w:rsidR="00C157B9" w:rsidRPr="00E66F90">
        <w:rPr>
          <w:sz w:val="24"/>
          <w:szCs w:val="24"/>
        </w:rPr>
        <w:t>he State of Idaho’s minimum wage has not been updated since 2009</w:t>
      </w:r>
      <w:r w:rsidR="00C157B9">
        <w:rPr>
          <w:sz w:val="24"/>
          <w:szCs w:val="24"/>
        </w:rPr>
        <w:t xml:space="preserve"> making it difficult for low-income wage earners to bridge the gap in meeting basic needs</w:t>
      </w:r>
      <w:r w:rsidR="00C157B9" w:rsidRPr="00E66F90">
        <w:rPr>
          <w:sz w:val="24"/>
          <w:szCs w:val="24"/>
        </w:rPr>
        <w:t xml:space="preserve">. </w:t>
      </w:r>
      <w:r>
        <w:rPr>
          <w:sz w:val="24"/>
          <w:szCs w:val="24"/>
        </w:rPr>
        <w:t xml:space="preserve">Further, </w:t>
      </w:r>
      <w:r w:rsidRPr="00E66F90">
        <w:rPr>
          <w:sz w:val="24"/>
          <w:szCs w:val="24"/>
        </w:rPr>
        <w:t>HOME/HTF/LIHTC are the only tools to preserve and create affordable housing options</w:t>
      </w:r>
      <w:r w:rsidR="00C157B9">
        <w:rPr>
          <w:sz w:val="24"/>
          <w:szCs w:val="24"/>
        </w:rPr>
        <w:t xml:space="preserve"> in the state. With stagnant and sometimes shrinking federal resources in a higher cost market, producing the number of units needed is challenging</w:t>
      </w:r>
      <w:r w:rsidRPr="00E66F90">
        <w:rPr>
          <w:sz w:val="24"/>
          <w:szCs w:val="24"/>
        </w:rPr>
        <w:t xml:space="preserve">. </w:t>
      </w:r>
      <w:r w:rsidR="00C157B9">
        <w:rPr>
          <w:sz w:val="24"/>
          <w:szCs w:val="24"/>
        </w:rPr>
        <w:t>As a result</w:t>
      </w:r>
      <w:r w:rsidR="7B813250" w:rsidRPr="098FA5AC">
        <w:rPr>
          <w:sz w:val="24"/>
          <w:szCs w:val="24"/>
        </w:rPr>
        <w:t>,</w:t>
      </w:r>
      <w:r w:rsidR="00C157B9">
        <w:rPr>
          <w:sz w:val="24"/>
          <w:szCs w:val="24"/>
        </w:rPr>
        <w:t xml:space="preserve"> the strategies needed to address the affordable housing concerns in the state need to be two part – unit creation and opportunities that assist residents in economic mobility. </w:t>
      </w:r>
    </w:p>
    <w:p w14:paraId="65F264B8" w14:textId="7AFA0ACB" w:rsidR="009B0FCC" w:rsidRDefault="009B0FCC" w:rsidP="00FD58D2">
      <w:pPr>
        <w:spacing w:line="204" w:lineRule="auto"/>
        <w:jc w:val="both"/>
        <w:rPr>
          <w:b/>
          <w:bCs/>
          <w:sz w:val="24"/>
          <w:szCs w:val="24"/>
        </w:rPr>
      </w:pPr>
      <w:r w:rsidRPr="497B8E2D">
        <w:rPr>
          <w:b/>
          <w:bCs/>
          <w:sz w:val="24"/>
          <w:szCs w:val="24"/>
        </w:rPr>
        <w:t>Discussion</w:t>
      </w:r>
    </w:p>
    <w:p w14:paraId="3C92AE4E" w14:textId="7A89935A" w:rsidR="00D05774" w:rsidRPr="00D8009B" w:rsidRDefault="00D8009B" w:rsidP="00FD58D2">
      <w:pPr>
        <w:spacing w:line="204" w:lineRule="auto"/>
        <w:jc w:val="both"/>
        <w:rPr>
          <w:sz w:val="24"/>
          <w:szCs w:val="24"/>
        </w:rPr>
      </w:pPr>
      <w:r w:rsidRPr="00D8009B">
        <w:rPr>
          <w:sz w:val="24"/>
          <w:szCs w:val="24"/>
        </w:rPr>
        <w:t>None.</w:t>
      </w:r>
    </w:p>
    <w:p w14:paraId="1F0ED884" w14:textId="77777777" w:rsidR="009B0FCC" w:rsidRDefault="009B0FCC" w:rsidP="00FD58D2">
      <w:pPr>
        <w:pStyle w:val="Heading2"/>
        <w:pageBreakBefore/>
        <w:jc w:val="both"/>
        <w:rPr>
          <w:rFonts w:ascii="Calibri" w:hAnsi="Calibri"/>
          <w:i/>
        </w:rPr>
      </w:pPr>
      <w:bookmarkStart w:id="36" w:name="_Toc194673849"/>
      <w:bookmarkStart w:id="37" w:name="_Hlk193790437"/>
      <w:r>
        <w:rPr>
          <w:rFonts w:ascii="Calibri" w:hAnsi="Calibri"/>
        </w:rPr>
        <w:lastRenderedPageBreak/>
        <w:t>MA-20 Condition of Housing – 91.310(a)</w:t>
      </w:r>
      <w:bookmarkEnd w:id="36"/>
    </w:p>
    <w:bookmarkEnd w:id="37"/>
    <w:p w14:paraId="1794F082" w14:textId="77777777" w:rsidR="009B0FCC" w:rsidRDefault="009B0FCC" w:rsidP="00FD58D2">
      <w:pPr>
        <w:spacing w:line="204" w:lineRule="auto"/>
        <w:jc w:val="both"/>
        <w:rPr>
          <w:b/>
          <w:sz w:val="24"/>
          <w:szCs w:val="24"/>
        </w:rPr>
      </w:pPr>
      <w:r w:rsidRPr="497B8E2D">
        <w:rPr>
          <w:b/>
          <w:bCs/>
          <w:sz w:val="24"/>
          <w:szCs w:val="24"/>
        </w:rPr>
        <w:t xml:space="preserve">Introduction: </w:t>
      </w:r>
    </w:p>
    <w:p w14:paraId="47DB79AD" w14:textId="77777777" w:rsidR="009B0FCC" w:rsidRDefault="009B0FCC" w:rsidP="00FD58D2">
      <w:pPr>
        <w:spacing w:beforeAutospacing="1" w:afterAutospacing="1"/>
        <w:jc w:val="both"/>
        <w:rPr>
          <w:rFonts w:cs="Calibri"/>
          <w:color w:val="000000" w:themeColor="text1"/>
          <w:sz w:val="24"/>
          <w:szCs w:val="24"/>
        </w:rPr>
      </w:pPr>
      <w:r w:rsidRPr="497B8E2D">
        <w:rPr>
          <w:rFonts w:cs="Calibri"/>
          <w:color w:val="000000" w:themeColor="text1"/>
          <w:sz w:val="24"/>
          <w:szCs w:val="24"/>
        </w:rPr>
        <w:t>The tables and maps in this section provide details on the condition of housing units throughout the state by looking at factors such as age, vacancy, and the prevalence of housing problems. </w:t>
      </w:r>
    </w:p>
    <w:p w14:paraId="6736D909" w14:textId="77777777" w:rsidR="00FD58D2" w:rsidRDefault="009B0FCC" w:rsidP="00FD58D2">
      <w:pPr>
        <w:spacing w:beforeAutospacing="1" w:afterAutospacing="1"/>
        <w:rPr>
          <w:rFonts w:cs="Calibri"/>
          <w:color w:val="000000" w:themeColor="text1"/>
          <w:sz w:val="24"/>
          <w:szCs w:val="24"/>
        </w:rPr>
      </w:pPr>
      <w:r w:rsidRPr="497B8E2D">
        <w:rPr>
          <w:rFonts w:cs="Calibri"/>
          <w:color w:val="000000" w:themeColor="text1"/>
          <w:sz w:val="24"/>
          <w:szCs w:val="24"/>
        </w:rPr>
        <w:t>As defined by HUD, the 4 housing problems are:</w:t>
      </w:r>
    </w:p>
    <w:p w14:paraId="55430555" w14:textId="77777777" w:rsidR="00DE53B6" w:rsidRPr="00DE53B6" w:rsidRDefault="009B0FCC" w:rsidP="00DE53B6">
      <w:pPr>
        <w:pStyle w:val="ListParagraph"/>
        <w:numPr>
          <w:ilvl w:val="3"/>
          <w:numId w:val="28"/>
        </w:numPr>
        <w:spacing w:beforeAutospacing="1" w:afterAutospacing="1"/>
        <w:ind w:left="270" w:hanging="270"/>
        <w:rPr>
          <w:rFonts w:cs="Calibri"/>
          <w:color w:val="000000" w:themeColor="text1"/>
          <w:sz w:val="24"/>
          <w:szCs w:val="24"/>
        </w:rPr>
      </w:pPr>
      <w:r w:rsidRPr="00FD58D2">
        <w:rPr>
          <w:rFonts w:cs="Calibri"/>
          <w:color w:val="000000" w:themeColor="text1"/>
          <w:sz w:val="24"/>
          <w:szCs w:val="24"/>
        </w:rPr>
        <w:t>a home which lacks complete or adequate kitchen facilities</w:t>
      </w:r>
    </w:p>
    <w:p w14:paraId="282403CD" w14:textId="77777777" w:rsidR="00DE53B6" w:rsidRDefault="009B0FCC" w:rsidP="00DE53B6">
      <w:pPr>
        <w:pStyle w:val="ListParagraph"/>
        <w:numPr>
          <w:ilvl w:val="3"/>
          <w:numId w:val="28"/>
        </w:numPr>
        <w:spacing w:beforeAutospacing="1" w:afterAutospacing="1"/>
        <w:ind w:left="270" w:hanging="270"/>
        <w:rPr>
          <w:rFonts w:cs="Calibri"/>
          <w:color w:val="000000" w:themeColor="text1"/>
          <w:sz w:val="24"/>
          <w:szCs w:val="24"/>
        </w:rPr>
      </w:pPr>
      <w:r w:rsidRPr="00FD58D2">
        <w:rPr>
          <w:rFonts w:cs="Calibri"/>
          <w:color w:val="000000" w:themeColor="text1"/>
          <w:sz w:val="24"/>
          <w:szCs w:val="24"/>
        </w:rPr>
        <w:t>a home which lacks complete or adequate plumbing facilities</w:t>
      </w:r>
    </w:p>
    <w:p w14:paraId="3A8A55C7" w14:textId="77777777" w:rsidR="00DE53B6" w:rsidRDefault="009B0FCC" w:rsidP="00DE53B6">
      <w:pPr>
        <w:pStyle w:val="ListParagraph"/>
        <w:numPr>
          <w:ilvl w:val="3"/>
          <w:numId w:val="28"/>
        </w:numPr>
        <w:spacing w:beforeAutospacing="1" w:afterAutospacing="1"/>
        <w:ind w:left="270" w:hanging="270"/>
        <w:rPr>
          <w:rFonts w:cs="Calibri"/>
          <w:color w:val="000000" w:themeColor="text1"/>
          <w:sz w:val="24"/>
          <w:szCs w:val="24"/>
        </w:rPr>
      </w:pPr>
      <w:r w:rsidRPr="00FD58D2">
        <w:rPr>
          <w:rFonts w:cs="Calibri"/>
          <w:color w:val="000000" w:themeColor="text1"/>
          <w:sz w:val="24"/>
          <w:szCs w:val="24"/>
        </w:rPr>
        <w:t>a home which is overcrowded (having more than one person per room)</w:t>
      </w:r>
    </w:p>
    <w:p w14:paraId="754DB4D6" w14:textId="0ACECC90" w:rsidR="009B0FCC" w:rsidRPr="00FD58D2" w:rsidRDefault="009B0FCC" w:rsidP="00DE53B6">
      <w:pPr>
        <w:pStyle w:val="ListParagraph"/>
        <w:numPr>
          <w:ilvl w:val="3"/>
          <w:numId w:val="28"/>
        </w:numPr>
        <w:spacing w:beforeAutospacing="1" w:afterAutospacing="1"/>
        <w:ind w:left="270" w:hanging="270"/>
        <w:rPr>
          <w:rFonts w:cs="Calibri"/>
          <w:color w:val="000000" w:themeColor="text1"/>
          <w:sz w:val="24"/>
          <w:szCs w:val="24"/>
        </w:rPr>
      </w:pPr>
      <w:r w:rsidRPr="00FD58D2">
        <w:rPr>
          <w:rFonts w:cs="Calibri"/>
          <w:color w:val="000000" w:themeColor="text1"/>
          <w:sz w:val="24"/>
          <w:szCs w:val="24"/>
        </w:rPr>
        <w:t>a household that is cost burdened (paying 30% or more of their income towards housing costs)</w:t>
      </w:r>
    </w:p>
    <w:p w14:paraId="411F7E1D" w14:textId="77777777" w:rsidR="009B0FCC" w:rsidRDefault="009B0FCC" w:rsidP="00FD58D2">
      <w:pPr>
        <w:spacing w:line="204" w:lineRule="auto"/>
        <w:jc w:val="both"/>
      </w:pPr>
      <w:r w:rsidRPr="497B8E2D">
        <w:rPr>
          <w:rFonts w:cs="Calibri"/>
          <w:color w:val="000000" w:themeColor="text1"/>
          <w:sz w:val="24"/>
          <w:szCs w:val="24"/>
        </w:rPr>
        <w:t>Renter-occupied units are much more likely to have at least one housing problem than owner-occupied units. This is primarily due to cost burden.</w:t>
      </w:r>
    </w:p>
    <w:p w14:paraId="7035E87D" w14:textId="2160A29A" w:rsidR="009B0FCC" w:rsidRDefault="009B0FCC" w:rsidP="00FD58D2">
      <w:pPr>
        <w:jc w:val="both"/>
        <w:rPr>
          <w:b/>
          <w:bCs/>
          <w:sz w:val="24"/>
          <w:szCs w:val="24"/>
        </w:rPr>
      </w:pPr>
      <w:r w:rsidRPr="787E070B">
        <w:rPr>
          <w:b/>
          <w:bCs/>
          <w:sz w:val="24"/>
          <w:szCs w:val="24"/>
        </w:rPr>
        <w:t>Describe the jurisdiction's definition of "standard condition" and "substandard condition but suitable for rehabilitation":</w:t>
      </w:r>
    </w:p>
    <w:p w14:paraId="5C9F91B1" w14:textId="27910CE3" w:rsidR="74295598" w:rsidRPr="00C157B9" w:rsidRDefault="74295598" w:rsidP="00FD58D2">
      <w:pPr>
        <w:spacing w:after="120"/>
        <w:jc w:val="both"/>
        <w:rPr>
          <w:i/>
          <w:iCs/>
          <w:sz w:val="24"/>
          <w:szCs w:val="24"/>
        </w:rPr>
      </w:pPr>
      <w:r w:rsidRPr="00C157B9">
        <w:rPr>
          <w:i/>
          <w:iCs/>
          <w:sz w:val="24"/>
          <w:szCs w:val="24"/>
        </w:rPr>
        <w:t>Language from Chapter 2A:</w:t>
      </w:r>
    </w:p>
    <w:p w14:paraId="511731DD" w14:textId="2FC2E31F" w:rsidR="00B45EB1" w:rsidRPr="00C157B9" w:rsidRDefault="00B45EB1" w:rsidP="000D0ED5">
      <w:pPr>
        <w:spacing w:after="120"/>
        <w:jc w:val="both"/>
        <w:rPr>
          <w:sz w:val="24"/>
          <w:szCs w:val="24"/>
        </w:rPr>
      </w:pPr>
      <w:r w:rsidRPr="00C157B9">
        <w:rPr>
          <w:i/>
          <w:iCs/>
          <w:sz w:val="24"/>
          <w:szCs w:val="24"/>
        </w:rPr>
        <w:t>Standard Condition</w:t>
      </w:r>
      <w:r w:rsidRPr="00C157B9">
        <w:rPr>
          <w:b/>
          <w:bCs/>
          <w:sz w:val="24"/>
          <w:szCs w:val="24"/>
        </w:rPr>
        <w:t xml:space="preserve"> -</w:t>
      </w:r>
      <w:r w:rsidRPr="00C157B9">
        <w:rPr>
          <w:sz w:val="24"/>
          <w:szCs w:val="24"/>
        </w:rPr>
        <w:t xml:space="preserve"> </w:t>
      </w:r>
      <w:r w:rsidR="30E68438" w:rsidRPr="00C157B9">
        <w:rPr>
          <w:rFonts w:cs="Calibri"/>
          <w:color w:val="000000" w:themeColor="text1"/>
          <w:sz w:val="24"/>
          <w:szCs w:val="24"/>
        </w:rPr>
        <w:t>Prior to acquisition, a residential property meets applicable state and/or local code (for existing structures), local property/housing quality standard, and the program's property stand</w:t>
      </w:r>
      <w:r w:rsidR="30E68438" w:rsidRPr="00C157B9">
        <w:rPr>
          <w:rFonts w:cs="Calibri"/>
          <w:sz w:val="24"/>
          <w:szCs w:val="24"/>
        </w:rPr>
        <w:t>ards found in 92.251 and/or 93.301.</w:t>
      </w:r>
    </w:p>
    <w:p w14:paraId="09203423" w14:textId="628FFB58" w:rsidR="00B45EB1" w:rsidRPr="00C157B9" w:rsidRDefault="00B45EB1" w:rsidP="00FD58D2">
      <w:pPr>
        <w:jc w:val="both"/>
        <w:rPr>
          <w:sz w:val="24"/>
          <w:szCs w:val="24"/>
        </w:rPr>
      </w:pPr>
      <w:r w:rsidRPr="00C157B9">
        <w:rPr>
          <w:i/>
          <w:iCs/>
          <w:sz w:val="24"/>
          <w:szCs w:val="24"/>
        </w:rPr>
        <w:t xml:space="preserve">Substandard Condition </w:t>
      </w:r>
      <w:r w:rsidRPr="00C157B9">
        <w:rPr>
          <w:b/>
          <w:bCs/>
          <w:sz w:val="24"/>
          <w:szCs w:val="24"/>
        </w:rPr>
        <w:t xml:space="preserve">- </w:t>
      </w:r>
      <w:r w:rsidR="2E1DAB56" w:rsidRPr="00C157B9">
        <w:rPr>
          <w:rFonts w:cs="Calibri"/>
          <w:color w:val="000000" w:themeColor="text1"/>
          <w:sz w:val="24"/>
          <w:szCs w:val="24"/>
        </w:rPr>
        <w:t xml:space="preserve">Prior to acquisition, a residential property does not meet </w:t>
      </w:r>
      <w:r w:rsidR="2E1DAB56" w:rsidRPr="00C157B9">
        <w:rPr>
          <w:rFonts w:cs="Calibri"/>
          <w:color w:val="000000" w:themeColor="text1"/>
          <w:sz w:val="24"/>
          <w:szCs w:val="24"/>
          <w:u w:val="single"/>
        </w:rPr>
        <w:t>one</w:t>
      </w:r>
      <w:r w:rsidR="2E1DAB56" w:rsidRPr="00C157B9">
        <w:rPr>
          <w:rFonts w:cs="Calibri"/>
          <w:color w:val="000000" w:themeColor="text1"/>
          <w:sz w:val="24"/>
          <w:szCs w:val="24"/>
        </w:rPr>
        <w:t xml:space="preserve"> of the following: Applicable state and/or local code/property/housing quality standard, </w:t>
      </w:r>
      <w:r w:rsidR="2E1DAB56" w:rsidRPr="00C157B9">
        <w:rPr>
          <w:rFonts w:cs="Calibri"/>
          <w:b/>
          <w:bCs/>
          <w:color w:val="000000" w:themeColor="text1"/>
          <w:sz w:val="24"/>
          <w:szCs w:val="24"/>
          <w:u w:val="single"/>
        </w:rPr>
        <w:t>or</w:t>
      </w:r>
      <w:r w:rsidR="2E1DAB56" w:rsidRPr="00C157B9">
        <w:rPr>
          <w:rFonts w:cs="Calibri"/>
          <w:color w:val="000000" w:themeColor="text1"/>
          <w:sz w:val="24"/>
          <w:szCs w:val="24"/>
        </w:rPr>
        <w:t xml:space="preserve"> Idaho </w:t>
      </w:r>
      <w:r w:rsidR="2E1DAB56" w:rsidRPr="00C157B9">
        <w:rPr>
          <w:rFonts w:cs="Calibri"/>
          <w:sz w:val="24"/>
          <w:szCs w:val="24"/>
        </w:rPr>
        <w:t xml:space="preserve">State or local building code (for existing structures), </w:t>
      </w:r>
      <w:r w:rsidR="2E1DAB56" w:rsidRPr="00C157B9">
        <w:rPr>
          <w:rFonts w:cs="Calibri"/>
          <w:b/>
          <w:bCs/>
          <w:sz w:val="24"/>
          <w:szCs w:val="24"/>
          <w:u w:val="single"/>
        </w:rPr>
        <w:t>or</w:t>
      </w:r>
      <w:r w:rsidR="2E1DAB56" w:rsidRPr="00C157B9">
        <w:rPr>
          <w:rFonts w:cs="Calibri"/>
          <w:b/>
          <w:bCs/>
          <w:sz w:val="24"/>
          <w:szCs w:val="24"/>
        </w:rPr>
        <w:t xml:space="preserve"> </w:t>
      </w:r>
      <w:r w:rsidR="2E1DAB56" w:rsidRPr="00C157B9">
        <w:rPr>
          <w:rFonts w:cs="Calibri"/>
          <w:sz w:val="24"/>
          <w:szCs w:val="24"/>
        </w:rPr>
        <w:t>the program's applicable property standards found in 92.251 and/or 93.301.</w:t>
      </w:r>
    </w:p>
    <w:p w14:paraId="77A6B18E" w14:textId="636CFC2B" w:rsidR="009B0FCC" w:rsidRPr="00C157B9" w:rsidRDefault="00B45EB1" w:rsidP="00FD58D2">
      <w:pPr>
        <w:jc w:val="both"/>
        <w:rPr>
          <w:rFonts w:cs="Calibri"/>
          <w:b/>
          <w:bCs/>
          <w:color w:val="000000" w:themeColor="text1"/>
          <w:sz w:val="24"/>
          <w:szCs w:val="24"/>
        </w:rPr>
      </w:pPr>
      <w:r w:rsidRPr="00C157B9">
        <w:rPr>
          <w:i/>
          <w:iCs/>
          <w:sz w:val="24"/>
          <w:szCs w:val="24"/>
        </w:rPr>
        <w:t xml:space="preserve">Substandard Condition but Suitable for Rehabilitation </w:t>
      </w:r>
      <w:proofErr w:type="gramStart"/>
      <w:r w:rsidRPr="00C157B9">
        <w:rPr>
          <w:b/>
          <w:bCs/>
          <w:sz w:val="24"/>
          <w:szCs w:val="24"/>
        </w:rPr>
        <w:t xml:space="preserve">- </w:t>
      </w:r>
      <w:r w:rsidR="4A16F89C" w:rsidRPr="00C157B9">
        <w:rPr>
          <w:rFonts w:cs="Calibri"/>
          <w:color w:val="000000" w:themeColor="text1"/>
          <w:sz w:val="24"/>
          <w:szCs w:val="24"/>
        </w:rPr>
        <w:t xml:space="preserve"> Prior</w:t>
      </w:r>
      <w:proofErr w:type="gramEnd"/>
      <w:r w:rsidR="4A16F89C" w:rsidRPr="00C157B9">
        <w:rPr>
          <w:rFonts w:cs="Calibri"/>
          <w:color w:val="000000" w:themeColor="text1"/>
          <w:sz w:val="24"/>
          <w:szCs w:val="24"/>
        </w:rPr>
        <w:t xml:space="preserve"> to acquisition, a residential property is defined as Substandard but can be brought up to the applicable existing state and local (applicable) code for existing structures and property/housing quality standards, and the applicable property standard, at a total project cost that is less than &lt;75% of the property's replacement cost</w:t>
      </w:r>
      <w:r w:rsidR="4A16F89C" w:rsidRPr="00C157B9">
        <w:rPr>
          <w:rFonts w:cs="Calibri"/>
          <w:b/>
          <w:bCs/>
          <w:color w:val="000000" w:themeColor="text1"/>
          <w:sz w:val="24"/>
          <w:szCs w:val="24"/>
        </w:rPr>
        <w:t>.</w:t>
      </w:r>
    </w:p>
    <w:p w14:paraId="5F24E7F6" w14:textId="3281FDAD" w:rsidR="009B0FCC" w:rsidRPr="00C157B9" w:rsidRDefault="009B0FCC" w:rsidP="00B45EB1">
      <w:pPr>
        <w:rPr>
          <w:sz w:val="24"/>
          <w:szCs w:val="24"/>
        </w:rPr>
      </w:pPr>
    </w:p>
    <w:p w14:paraId="25E3BF94" w14:textId="77777777" w:rsidR="009B0FCC" w:rsidRDefault="009B0FCC" w:rsidP="009B0FCC">
      <w:pPr>
        <w:keepNext/>
        <w:widowControl w:val="0"/>
        <w:rPr>
          <w:b/>
          <w:sz w:val="24"/>
          <w:szCs w:val="24"/>
        </w:rPr>
      </w:pPr>
      <w:r>
        <w:rPr>
          <w:b/>
          <w:sz w:val="24"/>
          <w:szCs w:val="24"/>
        </w:rPr>
        <w:lastRenderedPageBreak/>
        <w:t>Condition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7"/>
        <w:gridCol w:w="1429"/>
        <w:gridCol w:w="1601"/>
        <w:gridCol w:w="1429"/>
        <w:gridCol w:w="1704"/>
      </w:tblGrid>
      <w:tr w:rsidR="009B0FCC" w14:paraId="24D8D79E" w14:textId="77777777" w:rsidTr="00721F16">
        <w:trPr>
          <w:cantSplit/>
          <w:tblHeader/>
        </w:trPr>
        <w:tc>
          <w:tcPr>
            <w:tcW w:w="3233" w:type="dxa"/>
            <w:vMerge w:val="restart"/>
          </w:tcPr>
          <w:p w14:paraId="2D396A3B" w14:textId="77777777" w:rsidR="009B0FCC" w:rsidRDefault="009B0FCC" w:rsidP="00721F16">
            <w:pPr>
              <w:keepNext/>
              <w:widowControl w:val="0"/>
              <w:spacing w:after="0" w:line="240" w:lineRule="auto"/>
              <w:jc w:val="center"/>
            </w:pPr>
            <w:r>
              <w:rPr>
                <w:b/>
                <w:bCs/>
              </w:rPr>
              <w:t>Condition of Units</w:t>
            </w:r>
          </w:p>
        </w:tc>
        <w:tc>
          <w:tcPr>
            <w:tcW w:w="3060" w:type="dxa"/>
            <w:gridSpan w:val="2"/>
          </w:tcPr>
          <w:p w14:paraId="0EAD2EA1" w14:textId="77777777" w:rsidR="009B0FCC" w:rsidRDefault="009B0FCC" w:rsidP="00721F16">
            <w:pPr>
              <w:keepNext/>
              <w:widowControl w:val="0"/>
              <w:spacing w:after="0" w:line="240" w:lineRule="auto"/>
              <w:jc w:val="center"/>
            </w:pPr>
            <w:r>
              <w:rPr>
                <w:b/>
                <w:bCs/>
              </w:rPr>
              <w:t>Owner-Occupied</w:t>
            </w:r>
          </w:p>
        </w:tc>
        <w:tc>
          <w:tcPr>
            <w:tcW w:w="3168" w:type="dxa"/>
            <w:gridSpan w:val="2"/>
          </w:tcPr>
          <w:p w14:paraId="24E29E1F" w14:textId="77777777" w:rsidR="009B0FCC" w:rsidRDefault="009B0FCC" w:rsidP="00721F16">
            <w:pPr>
              <w:keepNext/>
              <w:widowControl w:val="0"/>
              <w:spacing w:after="0" w:line="240" w:lineRule="auto"/>
              <w:jc w:val="center"/>
              <w:rPr>
                <w:b/>
                <w:bCs/>
              </w:rPr>
            </w:pPr>
            <w:r>
              <w:rPr>
                <w:b/>
                <w:bCs/>
              </w:rPr>
              <w:t>Renter-Occupied</w:t>
            </w:r>
          </w:p>
        </w:tc>
      </w:tr>
      <w:tr w:rsidR="009B0FCC" w14:paraId="33116C22" w14:textId="77777777" w:rsidTr="00721F16">
        <w:trPr>
          <w:cantSplit/>
          <w:tblHeader/>
        </w:trPr>
        <w:tc>
          <w:tcPr>
            <w:tcW w:w="3233" w:type="dxa"/>
            <w:vMerge/>
          </w:tcPr>
          <w:p w14:paraId="2DD47F66" w14:textId="77777777" w:rsidR="009B0FCC" w:rsidRDefault="009B0FCC" w:rsidP="00721F16">
            <w:pPr>
              <w:keepNext/>
              <w:widowControl w:val="0"/>
              <w:spacing w:after="0" w:line="240" w:lineRule="auto"/>
              <w:jc w:val="center"/>
            </w:pPr>
          </w:p>
        </w:tc>
        <w:tc>
          <w:tcPr>
            <w:tcW w:w="1440" w:type="dxa"/>
          </w:tcPr>
          <w:p w14:paraId="4C282BF8" w14:textId="77777777" w:rsidR="009B0FCC" w:rsidRDefault="009B0FCC" w:rsidP="00721F16">
            <w:pPr>
              <w:keepNext/>
              <w:widowControl w:val="0"/>
              <w:spacing w:after="0" w:line="240" w:lineRule="auto"/>
              <w:jc w:val="center"/>
            </w:pPr>
            <w:r>
              <w:rPr>
                <w:b/>
                <w:bCs/>
              </w:rPr>
              <w:t>Number</w:t>
            </w:r>
          </w:p>
        </w:tc>
        <w:tc>
          <w:tcPr>
            <w:tcW w:w="1620" w:type="dxa"/>
          </w:tcPr>
          <w:p w14:paraId="3C2BA09C" w14:textId="77777777" w:rsidR="009B0FCC" w:rsidRDefault="009B0FCC" w:rsidP="00721F16">
            <w:pPr>
              <w:keepNext/>
              <w:widowControl w:val="0"/>
              <w:spacing w:after="0" w:line="240" w:lineRule="auto"/>
              <w:jc w:val="center"/>
            </w:pPr>
            <w:r>
              <w:rPr>
                <w:b/>
                <w:bCs/>
              </w:rPr>
              <w:t>%</w:t>
            </w:r>
          </w:p>
        </w:tc>
        <w:tc>
          <w:tcPr>
            <w:tcW w:w="1440" w:type="dxa"/>
          </w:tcPr>
          <w:p w14:paraId="70BD6081" w14:textId="77777777" w:rsidR="009B0FCC" w:rsidRDefault="009B0FCC" w:rsidP="00721F16">
            <w:pPr>
              <w:keepNext/>
              <w:widowControl w:val="0"/>
              <w:spacing w:after="0" w:line="240" w:lineRule="auto"/>
              <w:jc w:val="center"/>
            </w:pPr>
            <w:r>
              <w:rPr>
                <w:b/>
                <w:bCs/>
              </w:rPr>
              <w:t>Number</w:t>
            </w:r>
          </w:p>
        </w:tc>
        <w:tc>
          <w:tcPr>
            <w:tcW w:w="1728" w:type="dxa"/>
          </w:tcPr>
          <w:p w14:paraId="2C2C1AEB" w14:textId="77777777" w:rsidR="009B0FCC" w:rsidRDefault="009B0FCC" w:rsidP="00721F16">
            <w:pPr>
              <w:keepNext/>
              <w:widowControl w:val="0"/>
              <w:spacing w:after="0" w:line="240" w:lineRule="auto"/>
              <w:jc w:val="center"/>
            </w:pPr>
            <w:r>
              <w:rPr>
                <w:b/>
                <w:bCs/>
              </w:rPr>
              <w:t>%</w:t>
            </w:r>
          </w:p>
        </w:tc>
      </w:tr>
      <w:tr w:rsidR="009B0FCC" w14:paraId="013B891A" w14:textId="77777777" w:rsidTr="00721F16">
        <w:trPr>
          <w:cantSplit/>
        </w:trPr>
        <w:tc>
          <w:tcPr>
            <w:tcW w:w="0" w:type="auto"/>
          </w:tcPr>
          <w:p w14:paraId="3E6E281F" w14:textId="77777777" w:rsidR="009B0FCC" w:rsidRDefault="009B0FCC" w:rsidP="00721F16">
            <w:pPr>
              <w:spacing w:beforeAutospacing="1" w:afterAutospacing="1"/>
            </w:pPr>
            <w:r>
              <w:rPr>
                <w:color w:val="000000"/>
              </w:rPr>
              <w:t>With one selected Condition</w:t>
            </w:r>
          </w:p>
        </w:tc>
        <w:tc>
          <w:tcPr>
            <w:tcW w:w="0" w:type="auto"/>
            <w:vAlign w:val="bottom"/>
          </w:tcPr>
          <w:p w14:paraId="230609F3" w14:textId="77777777" w:rsidR="009B0FCC" w:rsidRDefault="009B0FCC" w:rsidP="00721F16">
            <w:pPr>
              <w:spacing w:beforeAutospacing="1" w:afterAutospacing="1"/>
              <w:jc w:val="right"/>
            </w:pPr>
            <w:r>
              <w:rPr>
                <w:color w:val="000000"/>
              </w:rPr>
              <w:t>88,138</w:t>
            </w:r>
          </w:p>
        </w:tc>
        <w:tc>
          <w:tcPr>
            <w:tcW w:w="0" w:type="auto"/>
            <w:vAlign w:val="bottom"/>
          </w:tcPr>
          <w:p w14:paraId="39B87D34" w14:textId="77777777" w:rsidR="009B0FCC" w:rsidRDefault="009B0FCC" w:rsidP="00721F16">
            <w:pPr>
              <w:spacing w:beforeAutospacing="1" w:afterAutospacing="1"/>
              <w:jc w:val="right"/>
            </w:pPr>
            <w:r>
              <w:rPr>
                <w:color w:val="000000"/>
              </w:rPr>
              <w:t>21%</w:t>
            </w:r>
          </w:p>
        </w:tc>
        <w:tc>
          <w:tcPr>
            <w:tcW w:w="0" w:type="auto"/>
            <w:vAlign w:val="bottom"/>
          </w:tcPr>
          <w:p w14:paraId="75A80A21" w14:textId="77777777" w:rsidR="009B0FCC" w:rsidRDefault="009B0FCC" w:rsidP="00721F16">
            <w:pPr>
              <w:spacing w:beforeAutospacing="1" w:afterAutospacing="1"/>
              <w:jc w:val="right"/>
            </w:pPr>
            <w:r>
              <w:rPr>
                <w:color w:val="000000"/>
              </w:rPr>
              <w:t>75,952</w:t>
            </w:r>
          </w:p>
        </w:tc>
        <w:tc>
          <w:tcPr>
            <w:tcW w:w="0" w:type="auto"/>
            <w:vAlign w:val="bottom"/>
          </w:tcPr>
          <w:p w14:paraId="4A9996D0" w14:textId="77777777" w:rsidR="009B0FCC" w:rsidRDefault="009B0FCC" w:rsidP="00721F16">
            <w:pPr>
              <w:spacing w:beforeAutospacing="1" w:afterAutospacing="1"/>
              <w:jc w:val="right"/>
            </w:pPr>
            <w:r>
              <w:rPr>
                <w:color w:val="000000"/>
              </w:rPr>
              <w:t>40%</w:t>
            </w:r>
          </w:p>
        </w:tc>
      </w:tr>
      <w:tr w:rsidR="009B0FCC" w14:paraId="00AE8812" w14:textId="77777777" w:rsidTr="00721F16">
        <w:trPr>
          <w:cantSplit/>
        </w:trPr>
        <w:tc>
          <w:tcPr>
            <w:tcW w:w="0" w:type="auto"/>
          </w:tcPr>
          <w:p w14:paraId="64074E42" w14:textId="77777777" w:rsidR="009B0FCC" w:rsidRDefault="009B0FCC" w:rsidP="00721F16">
            <w:pPr>
              <w:spacing w:beforeAutospacing="1" w:afterAutospacing="1"/>
            </w:pPr>
            <w:r>
              <w:rPr>
                <w:color w:val="000000"/>
              </w:rPr>
              <w:t>With two selected Conditions</w:t>
            </w:r>
          </w:p>
        </w:tc>
        <w:tc>
          <w:tcPr>
            <w:tcW w:w="0" w:type="auto"/>
            <w:vAlign w:val="bottom"/>
          </w:tcPr>
          <w:p w14:paraId="07523371" w14:textId="77777777" w:rsidR="009B0FCC" w:rsidRDefault="009B0FCC" w:rsidP="00721F16">
            <w:pPr>
              <w:spacing w:beforeAutospacing="1" w:afterAutospacing="1"/>
              <w:jc w:val="right"/>
            </w:pPr>
            <w:r>
              <w:rPr>
                <w:color w:val="000000"/>
              </w:rPr>
              <w:t>2,817</w:t>
            </w:r>
          </w:p>
        </w:tc>
        <w:tc>
          <w:tcPr>
            <w:tcW w:w="0" w:type="auto"/>
            <w:vAlign w:val="bottom"/>
          </w:tcPr>
          <w:p w14:paraId="778C1F7C" w14:textId="77777777" w:rsidR="009B0FCC" w:rsidRDefault="009B0FCC" w:rsidP="00721F16">
            <w:pPr>
              <w:spacing w:beforeAutospacing="1" w:afterAutospacing="1"/>
              <w:jc w:val="right"/>
            </w:pPr>
            <w:r>
              <w:rPr>
                <w:color w:val="000000"/>
              </w:rPr>
              <w:t>1%</w:t>
            </w:r>
          </w:p>
        </w:tc>
        <w:tc>
          <w:tcPr>
            <w:tcW w:w="0" w:type="auto"/>
            <w:vAlign w:val="bottom"/>
          </w:tcPr>
          <w:p w14:paraId="55A0C30B" w14:textId="77777777" w:rsidR="009B0FCC" w:rsidRDefault="009B0FCC" w:rsidP="00721F16">
            <w:pPr>
              <w:spacing w:beforeAutospacing="1" w:afterAutospacing="1"/>
              <w:jc w:val="right"/>
            </w:pPr>
            <w:r>
              <w:rPr>
                <w:color w:val="000000"/>
              </w:rPr>
              <w:t>6,414</w:t>
            </w:r>
          </w:p>
        </w:tc>
        <w:tc>
          <w:tcPr>
            <w:tcW w:w="0" w:type="auto"/>
            <w:vAlign w:val="bottom"/>
          </w:tcPr>
          <w:p w14:paraId="13676586" w14:textId="77777777" w:rsidR="009B0FCC" w:rsidRDefault="009B0FCC" w:rsidP="00721F16">
            <w:pPr>
              <w:spacing w:beforeAutospacing="1" w:afterAutospacing="1"/>
              <w:jc w:val="right"/>
            </w:pPr>
            <w:r>
              <w:rPr>
                <w:color w:val="000000"/>
              </w:rPr>
              <w:t>3%</w:t>
            </w:r>
          </w:p>
        </w:tc>
      </w:tr>
      <w:tr w:rsidR="009B0FCC" w14:paraId="76D58AC8" w14:textId="77777777" w:rsidTr="00721F16">
        <w:trPr>
          <w:cantSplit/>
        </w:trPr>
        <w:tc>
          <w:tcPr>
            <w:tcW w:w="0" w:type="auto"/>
          </w:tcPr>
          <w:p w14:paraId="42A6CB78" w14:textId="77777777" w:rsidR="009B0FCC" w:rsidRDefault="009B0FCC" w:rsidP="00721F16">
            <w:pPr>
              <w:spacing w:beforeAutospacing="1" w:afterAutospacing="1"/>
            </w:pPr>
            <w:r>
              <w:rPr>
                <w:color w:val="000000"/>
              </w:rPr>
              <w:t>With three selected Conditions</w:t>
            </w:r>
          </w:p>
        </w:tc>
        <w:tc>
          <w:tcPr>
            <w:tcW w:w="0" w:type="auto"/>
            <w:vAlign w:val="bottom"/>
          </w:tcPr>
          <w:p w14:paraId="13D88587" w14:textId="77777777" w:rsidR="009B0FCC" w:rsidRDefault="009B0FCC" w:rsidP="00721F16">
            <w:pPr>
              <w:spacing w:beforeAutospacing="1" w:afterAutospacing="1"/>
              <w:jc w:val="right"/>
            </w:pPr>
            <w:r>
              <w:rPr>
                <w:color w:val="000000"/>
              </w:rPr>
              <w:t>192</w:t>
            </w:r>
          </w:p>
        </w:tc>
        <w:tc>
          <w:tcPr>
            <w:tcW w:w="0" w:type="auto"/>
            <w:vAlign w:val="bottom"/>
          </w:tcPr>
          <w:p w14:paraId="74873D31" w14:textId="77777777" w:rsidR="009B0FCC" w:rsidRDefault="009B0FCC" w:rsidP="00721F16">
            <w:pPr>
              <w:spacing w:beforeAutospacing="1" w:afterAutospacing="1"/>
              <w:jc w:val="right"/>
            </w:pPr>
            <w:r>
              <w:rPr>
                <w:color w:val="000000"/>
              </w:rPr>
              <w:t>0%</w:t>
            </w:r>
          </w:p>
        </w:tc>
        <w:tc>
          <w:tcPr>
            <w:tcW w:w="0" w:type="auto"/>
            <w:vAlign w:val="bottom"/>
          </w:tcPr>
          <w:p w14:paraId="03438700" w14:textId="77777777" w:rsidR="009B0FCC" w:rsidRDefault="009B0FCC" w:rsidP="00721F16">
            <w:pPr>
              <w:spacing w:beforeAutospacing="1" w:afterAutospacing="1"/>
              <w:jc w:val="right"/>
            </w:pPr>
            <w:r>
              <w:rPr>
                <w:color w:val="000000"/>
              </w:rPr>
              <w:t>792</w:t>
            </w:r>
          </w:p>
        </w:tc>
        <w:tc>
          <w:tcPr>
            <w:tcW w:w="0" w:type="auto"/>
            <w:vAlign w:val="bottom"/>
          </w:tcPr>
          <w:p w14:paraId="509ECAC3" w14:textId="77777777" w:rsidR="009B0FCC" w:rsidRDefault="009B0FCC" w:rsidP="00721F16">
            <w:pPr>
              <w:spacing w:beforeAutospacing="1" w:afterAutospacing="1"/>
              <w:jc w:val="right"/>
            </w:pPr>
            <w:r>
              <w:rPr>
                <w:color w:val="000000"/>
              </w:rPr>
              <w:t>0%</w:t>
            </w:r>
          </w:p>
        </w:tc>
      </w:tr>
      <w:tr w:rsidR="009B0FCC" w14:paraId="26B6C749" w14:textId="77777777" w:rsidTr="00721F16">
        <w:trPr>
          <w:cantSplit/>
        </w:trPr>
        <w:tc>
          <w:tcPr>
            <w:tcW w:w="0" w:type="auto"/>
          </w:tcPr>
          <w:p w14:paraId="793A19BB" w14:textId="77777777" w:rsidR="009B0FCC" w:rsidRDefault="009B0FCC" w:rsidP="00721F16">
            <w:pPr>
              <w:spacing w:beforeAutospacing="1" w:afterAutospacing="1"/>
            </w:pPr>
            <w:r>
              <w:rPr>
                <w:color w:val="000000"/>
              </w:rPr>
              <w:t>With four selected Conditions</w:t>
            </w:r>
          </w:p>
        </w:tc>
        <w:tc>
          <w:tcPr>
            <w:tcW w:w="0" w:type="auto"/>
            <w:vAlign w:val="bottom"/>
          </w:tcPr>
          <w:p w14:paraId="44FA1D89" w14:textId="77777777" w:rsidR="009B0FCC" w:rsidRDefault="009B0FCC" w:rsidP="00721F16">
            <w:pPr>
              <w:spacing w:beforeAutospacing="1" w:afterAutospacing="1"/>
              <w:jc w:val="right"/>
            </w:pPr>
            <w:r>
              <w:rPr>
                <w:color w:val="000000"/>
              </w:rPr>
              <w:t>1</w:t>
            </w:r>
          </w:p>
        </w:tc>
        <w:tc>
          <w:tcPr>
            <w:tcW w:w="0" w:type="auto"/>
            <w:vAlign w:val="bottom"/>
          </w:tcPr>
          <w:p w14:paraId="4A4BDB53" w14:textId="77777777" w:rsidR="009B0FCC" w:rsidRDefault="009B0FCC" w:rsidP="00721F16">
            <w:pPr>
              <w:spacing w:beforeAutospacing="1" w:afterAutospacing="1"/>
              <w:jc w:val="right"/>
            </w:pPr>
            <w:r>
              <w:rPr>
                <w:color w:val="000000"/>
              </w:rPr>
              <w:t>0%</w:t>
            </w:r>
          </w:p>
        </w:tc>
        <w:tc>
          <w:tcPr>
            <w:tcW w:w="0" w:type="auto"/>
            <w:vAlign w:val="bottom"/>
          </w:tcPr>
          <w:p w14:paraId="5B29CEBA" w14:textId="77777777" w:rsidR="009B0FCC" w:rsidRDefault="009B0FCC" w:rsidP="00721F16">
            <w:pPr>
              <w:spacing w:beforeAutospacing="1" w:afterAutospacing="1"/>
              <w:jc w:val="right"/>
            </w:pPr>
            <w:r>
              <w:rPr>
                <w:color w:val="000000"/>
              </w:rPr>
              <w:t>40</w:t>
            </w:r>
          </w:p>
        </w:tc>
        <w:tc>
          <w:tcPr>
            <w:tcW w:w="0" w:type="auto"/>
            <w:vAlign w:val="bottom"/>
          </w:tcPr>
          <w:p w14:paraId="6DEC8BA9" w14:textId="77777777" w:rsidR="009B0FCC" w:rsidRDefault="009B0FCC" w:rsidP="00721F16">
            <w:pPr>
              <w:spacing w:beforeAutospacing="1" w:afterAutospacing="1"/>
              <w:jc w:val="right"/>
            </w:pPr>
            <w:r>
              <w:rPr>
                <w:color w:val="000000"/>
              </w:rPr>
              <w:t>0%</w:t>
            </w:r>
          </w:p>
        </w:tc>
      </w:tr>
      <w:tr w:rsidR="009B0FCC" w14:paraId="3B0991DD" w14:textId="77777777" w:rsidTr="00721F16">
        <w:trPr>
          <w:cantSplit/>
        </w:trPr>
        <w:tc>
          <w:tcPr>
            <w:tcW w:w="0" w:type="auto"/>
          </w:tcPr>
          <w:p w14:paraId="4D07FCC8" w14:textId="77777777" w:rsidR="009B0FCC" w:rsidRDefault="009B0FCC" w:rsidP="00721F16">
            <w:pPr>
              <w:spacing w:beforeAutospacing="1" w:afterAutospacing="1"/>
            </w:pPr>
            <w:r>
              <w:rPr>
                <w:color w:val="000000"/>
              </w:rPr>
              <w:t>No selected Conditions</w:t>
            </w:r>
          </w:p>
        </w:tc>
        <w:tc>
          <w:tcPr>
            <w:tcW w:w="0" w:type="auto"/>
            <w:vAlign w:val="bottom"/>
          </w:tcPr>
          <w:p w14:paraId="46796683" w14:textId="77777777" w:rsidR="009B0FCC" w:rsidRDefault="009B0FCC" w:rsidP="00721F16">
            <w:pPr>
              <w:spacing w:beforeAutospacing="1" w:afterAutospacing="1"/>
              <w:jc w:val="right"/>
            </w:pPr>
            <w:r>
              <w:rPr>
                <w:color w:val="000000"/>
              </w:rPr>
              <w:t>330,291</w:t>
            </w:r>
          </w:p>
        </w:tc>
        <w:tc>
          <w:tcPr>
            <w:tcW w:w="0" w:type="auto"/>
            <w:vAlign w:val="bottom"/>
          </w:tcPr>
          <w:p w14:paraId="3A5E91F9" w14:textId="77777777" w:rsidR="009B0FCC" w:rsidRDefault="009B0FCC" w:rsidP="00721F16">
            <w:pPr>
              <w:spacing w:beforeAutospacing="1" w:afterAutospacing="1"/>
              <w:jc w:val="right"/>
            </w:pPr>
            <w:r>
              <w:rPr>
                <w:color w:val="000000"/>
              </w:rPr>
              <w:t>78%</w:t>
            </w:r>
          </w:p>
        </w:tc>
        <w:tc>
          <w:tcPr>
            <w:tcW w:w="0" w:type="auto"/>
            <w:vAlign w:val="bottom"/>
          </w:tcPr>
          <w:p w14:paraId="5912C3E3" w14:textId="77777777" w:rsidR="009B0FCC" w:rsidRDefault="009B0FCC" w:rsidP="00721F16">
            <w:pPr>
              <w:spacing w:beforeAutospacing="1" w:afterAutospacing="1"/>
              <w:jc w:val="right"/>
            </w:pPr>
            <w:r>
              <w:rPr>
                <w:color w:val="000000"/>
              </w:rPr>
              <w:t>104,487</w:t>
            </w:r>
          </w:p>
        </w:tc>
        <w:tc>
          <w:tcPr>
            <w:tcW w:w="0" w:type="auto"/>
            <w:vAlign w:val="bottom"/>
          </w:tcPr>
          <w:p w14:paraId="3FF1D1C7" w14:textId="77777777" w:rsidR="009B0FCC" w:rsidRDefault="009B0FCC" w:rsidP="00721F16">
            <w:pPr>
              <w:spacing w:beforeAutospacing="1" w:afterAutospacing="1"/>
              <w:jc w:val="right"/>
            </w:pPr>
            <w:r>
              <w:rPr>
                <w:color w:val="000000"/>
              </w:rPr>
              <w:t>56%</w:t>
            </w:r>
          </w:p>
        </w:tc>
      </w:tr>
      <w:tr w:rsidR="009B0FCC" w14:paraId="3FFBCD95" w14:textId="77777777" w:rsidTr="00721F16">
        <w:trPr>
          <w:cantSplit/>
        </w:trPr>
        <w:tc>
          <w:tcPr>
            <w:tcW w:w="0" w:type="auto"/>
          </w:tcPr>
          <w:p w14:paraId="792DAB91" w14:textId="77777777" w:rsidR="009B0FCC" w:rsidRDefault="009B0FCC" w:rsidP="00721F16">
            <w:pPr>
              <w:spacing w:beforeAutospacing="1" w:afterAutospacing="1"/>
            </w:pPr>
            <w:r>
              <w:rPr>
                <w:rFonts w:ascii="Verdana" w:hAnsi="Verdana"/>
                <w:b/>
                <w:i/>
                <w:color w:val="000000"/>
                <w:sz w:val="16"/>
              </w:rPr>
              <w:t>Total</w:t>
            </w:r>
          </w:p>
        </w:tc>
        <w:tc>
          <w:tcPr>
            <w:tcW w:w="0" w:type="auto"/>
          </w:tcPr>
          <w:p w14:paraId="681BC32C" w14:textId="77777777" w:rsidR="009B0FCC" w:rsidRDefault="009B0FCC" w:rsidP="00721F16">
            <w:pPr>
              <w:spacing w:beforeAutospacing="1" w:afterAutospacing="1"/>
              <w:jc w:val="right"/>
            </w:pPr>
            <w:r>
              <w:rPr>
                <w:rFonts w:ascii="Verdana" w:hAnsi="Verdana"/>
                <w:b/>
                <w:i/>
                <w:color w:val="000000"/>
                <w:sz w:val="16"/>
              </w:rPr>
              <w:t>421,439</w:t>
            </w:r>
          </w:p>
        </w:tc>
        <w:tc>
          <w:tcPr>
            <w:tcW w:w="0" w:type="auto"/>
          </w:tcPr>
          <w:p w14:paraId="0C1B6599" w14:textId="77777777" w:rsidR="009B0FCC" w:rsidRDefault="009B0FCC" w:rsidP="00721F16">
            <w:pPr>
              <w:spacing w:beforeAutospacing="1" w:afterAutospacing="1"/>
              <w:jc w:val="right"/>
            </w:pPr>
            <w:r>
              <w:rPr>
                <w:rFonts w:ascii="Verdana" w:hAnsi="Verdana"/>
                <w:b/>
                <w:i/>
                <w:color w:val="000000"/>
                <w:sz w:val="16"/>
              </w:rPr>
              <w:t>100%</w:t>
            </w:r>
          </w:p>
        </w:tc>
        <w:tc>
          <w:tcPr>
            <w:tcW w:w="0" w:type="auto"/>
          </w:tcPr>
          <w:p w14:paraId="121566AB" w14:textId="77777777" w:rsidR="009B0FCC" w:rsidRDefault="009B0FCC" w:rsidP="00721F16">
            <w:pPr>
              <w:spacing w:beforeAutospacing="1" w:afterAutospacing="1"/>
              <w:jc w:val="right"/>
            </w:pPr>
            <w:r>
              <w:rPr>
                <w:rFonts w:ascii="Verdana" w:hAnsi="Verdana"/>
                <w:b/>
                <w:i/>
                <w:color w:val="000000"/>
                <w:sz w:val="16"/>
              </w:rPr>
              <w:t>187,685</w:t>
            </w:r>
          </w:p>
        </w:tc>
        <w:tc>
          <w:tcPr>
            <w:tcW w:w="0" w:type="auto"/>
          </w:tcPr>
          <w:p w14:paraId="5A10578E" w14:textId="77777777" w:rsidR="009B0FCC" w:rsidRDefault="009B0FCC" w:rsidP="00721F16">
            <w:pPr>
              <w:spacing w:beforeAutospacing="1" w:afterAutospacing="1"/>
              <w:jc w:val="right"/>
            </w:pPr>
            <w:r>
              <w:rPr>
                <w:rFonts w:ascii="Verdana" w:hAnsi="Verdana"/>
                <w:b/>
                <w:i/>
                <w:color w:val="000000"/>
                <w:sz w:val="16"/>
              </w:rPr>
              <w:t>99%</w:t>
            </w:r>
          </w:p>
        </w:tc>
      </w:tr>
    </w:tbl>
    <w:p w14:paraId="3A0AB5A8"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Condition of Units</w:t>
      </w:r>
    </w:p>
    <w:tbl>
      <w:tblPr>
        <w:tblW w:w="5000" w:type="pct"/>
        <w:tblInd w:w="115" w:type="dxa"/>
        <w:tblLook w:val="01E0" w:firstRow="1" w:lastRow="1" w:firstColumn="1" w:lastColumn="1" w:noHBand="0" w:noVBand="0"/>
      </w:tblPr>
      <w:tblGrid>
        <w:gridCol w:w="1064"/>
        <w:gridCol w:w="8296"/>
      </w:tblGrid>
      <w:tr w:rsidR="009B0FCC" w14:paraId="0FA9A630" w14:textId="77777777" w:rsidTr="00721F16">
        <w:trPr>
          <w:cantSplit/>
        </w:trPr>
        <w:tc>
          <w:tcPr>
            <w:tcW w:w="1073" w:type="dxa"/>
          </w:tcPr>
          <w:p w14:paraId="47E7B06B"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1E67D02A"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7A594B7D" w14:textId="77777777" w:rsidR="009B0FCC" w:rsidRDefault="009B0FCC" w:rsidP="009B0FCC">
      <w:pPr>
        <w:rPr>
          <w:vanish/>
        </w:rPr>
      </w:pPr>
    </w:p>
    <w:p w14:paraId="4EB1E243" w14:textId="77777777" w:rsidR="009B0FCC" w:rsidRDefault="009B0FCC" w:rsidP="009B0FCC">
      <w:pPr>
        <w:rPr>
          <w:b/>
          <w:bCs/>
          <w:vanish/>
          <w:sz w:val="16"/>
          <w:szCs w:val="16"/>
        </w:rPr>
      </w:pPr>
    </w:p>
    <w:p w14:paraId="1941F4E4" w14:textId="77777777" w:rsidR="009B0FCC" w:rsidRDefault="009B0FCC" w:rsidP="009B0FCC">
      <w:pPr>
        <w:spacing w:after="0" w:line="240" w:lineRule="auto"/>
      </w:pPr>
    </w:p>
    <w:p w14:paraId="125C8C6C" w14:textId="77777777" w:rsidR="009B0FCC" w:rsidRDefault="009B0FCC" w:rsidP="009B0FCC">
      <w:pPr>
        <w:spacing w:after="0" w:line="240" w:lineRule="auto"/>
      </w:pPr>
    </w:p>
    <w:p w14:paraId="0383CA8E" w14:textId="77777777" w:rsidR="009B0FCC" w:rsidRDefault="009B0FCC" w:rsidP="009B0FCC">
      <w:pPr>
        <w:keepNext/>
        <w:widowControl w:val="0"/>
        <w:rPr>
          <w:b/>
          <w:sz w:val="24"/>
          <w:szCs w:val="24"/>
        </w:rPr>
      </w:pPr>
      <w:r>
        <w:rPr>
          <w:b/>
          <w:sz w:val="24"/>
          <w:szCs w:val="24"/>
        </w:rPr>
        <w:t>Year Unit Built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9"/>
        <w:gridCol w:w="1437"/>
        <w:gridCol w:w="1599"/>
        <w:gridCol w:w="1437"/>
        <w:gridCol w:w="1708"/>
      </w:tblGrid>
      <w:tr w:rsidR="009B0FCC" w14:paraId="59A60774" w14:textId="77777777" w:rsidTr="00721F16">
        <w:trPr>
          <w:cantSplit/>
          <w:tblHeader/>
        </w:trPr>
        <w:tc>
          <w:tcPr>
            <w:tcW w:w="3271" w:type="dxa"/>
            <w:vMerge w:val="restart"/>
          </w:tcPr>
          <w:p w14:paraId="71FE495A" w14:textId="77777777" w:rsidR="009B0FCC" w:rsidRDefault="009B0FCC" w:rsidP="00721F16">
            <w:pPr>
              <w:keepNext/>
              <w:widowControl w:val="0"/>
              <w:spacing w:after="0" w:line="240" w:lineRule="auto"/>
              <w:jc w:val="center"/>
            </w:pPr>
            <w:r>
              <w:rPr>
                <w:b/>
                <w:bCs/>
              </w:rPr>
              <w:t>Year Unit Built</w:t>
            </w:r>
          </w:p>
        </w:tc>
        <w:tc>
          <w:tcPr>
            <w:tcW w:w="3098" w:type="dxa"/>
            <w:gridSpan w:val="2"/>
          </w:tcPr>
          <w:p w14:paraId="4351027F" w14:textId="77777777" w:rsidR="009B0FCC" w:rsidRDefault="009B0FCC" w:rsidP="00721F16">
            <w:pPr>
              <w:keepNext/>
              <w:widowControl w:val="0"/>
              <w:spacing w:after="0" w:line="240" w:lineRule="auto"/>
              <w:jc w:val="center"/>
            </w:pPr>
            <w:r>
              <w:rPr>
                <w:b/>
                <w:bCs/>
              </w:rPr>
              <w:t>Owner-Occupied</w:t>
            </w:r>
          </w:p>
        </w:tc>
        <w:tc>
          <w:tcPr>
            <w:tcW w:w="3207" w:type="dxa"/>
            <w:gridSpan w:val="2"/>
          </w:tcPr>
          <w:p w14:paraId="15D9A545" w14:textId="77777777" w:rsidR="009B0FCC" w:rsidRDefault="009B0FCC" w:rsidP="00721F16">
            <w:pPr>
              <w:keepNext/>
              <w:widowControl w:val="0"/>
              <w:spacing w:after="0" w:line="240" w:lineRule="auto"/>
              <w:jc w:val="center"/>
              <w:rPr>
                <w:b/>
                <w:bCs/>
              </w:rPr>
            </w:pPr>
            <w:r>
              <w:rPr>
                <w:b/>
                <w:bCs/>
              </w:rPr>
              <w:t>Renter-Occupied</w:t>
            </w:r>
          </w:p>
        </w:tc>
      </w:tr>
      <w:tr w:rsidR="009B0FCC" w14:paraId="2E83E174" w14:textId="77777777" w:rsidTr="00721F16">
        <w:trPr>
          <w:cantSplit/>
          <w:tblHeader/>
        </w:trPr>
        <w:tc>
          <w:tcPr>
            <w:tcW w:w="3271" w:type="dxa"/>
            <w:vMerge/>
          </w:tcPr>
          <w:p w14:paraId="5178E09B" w14:textId="77777777" w:rsidR="009B0FCC" w:rsidRDefault="009B0FCC" w:rsidP="00721F16">
            <w:pPr>
              <w:keepNext/>
              <w:widowControl w:val="0"/>
              <w:spacing w:after="0" w:line="240" w:lineRule="auto"/>
              <w:jc w:val="center"/>
            </w:pPr>
          </w:p>
        </w:tc>
        <w:tc>
          <w:tcPr>
            <w:tcW w:w="1458" w:type="dxa"/>
          </w:tcPr>
          <w:p w14:paraId="254D70A1" w14:textId="77777777" w:rsidR="009B0FCC" w:rsidRDefault="009B0FCC" w:rsidP="00721F16">
            <w:pPr>
              <w:keepNext/>
              <w:widowControl w:val="0"/>
              <w:spacing w:after="0" w:line="240" w:lineRule="auto"/>
              <w:jc w:val="center"/>
            </w:pPr>
            <w:r>
              <w:rPr>
                <w:b/>
                <w:bCs/>
              </w:rPr>
              <w:t>Number</w:t>
            </w:r>
          </w:p>
        </w:tc>
        <w:tc>
          <w:tcPr>
            <w:tcW w:w="1640" w:type="dxa"/>
          </w:tcPr>
          <w:p w14:paraId="26E68D8F" w14:textId="77777777" w:rsidR="009B0FCC" w:rsidRDefault="009B0FCC" w:rsidP="00721F16">
            <w:pPr>
              <w:keepNext/>
              <w:widowControl w:val="0"/>
              <w:spacing w:after="0" w:line="240" w:lineRule="auto"/>
              <w:jc w:val="center"/>
            </w:pPr>
            <w:r>
              <w:rPr>
                <w:b/>
                <w:bCs/>
              </w:rPr>
              <w:t>%</w:t>
            </w:r>
          </w:p>
        </w:tc>
        <w:tc>
          <w:tcPr>
            <w:tcW w:w="1458" w:type="dxa"/>
          </w:tcPr>
          <w:p w14:paraId="75D15BD8" w14:textId="77777777" w:rsidR="009B0FCC" w:rsidRDefault="009B0FCC" w:rsidP="00721F16">
            <w:pPr>
              <w:keepNext/>
              <w:widowControl w:val="0"/>
              <w:spacing w:after="0" w:line="240" w:lineRule="auto"/>
              <w:jc w:val="center"/>
            </w:pPr>
            <w:r>
              <w:rPr>
                <w:b/>
                <w:bCs/>
              </w:rPr>
              <w:t>Number</w:t>
            </w:r>
          </w:p>
        </w:tc>
        <w:tc>
          <w:tcPr>
            <w:tcW w:w="1749" w:type="dxa"/>
          </w:tcPr>
          <w:p w14:paraId="7BBD76CF" w14:textId="77777777" w:rsidR="009B0FCC" w:rsidRDefault="009B0FCC" w:rsidP="00721F16">
            <w:pPr>
              <w:keepNext/>
              <w:widowControl w:val="0"/>
              <w:spacing w:after="0" w:line="240" w:lineRule="auto"/>
              <w:jc w:val="center"/>
            </w:pPr>
            <w:r>
              <w:rPr>
                <w:b/>
                <w:bCs/>
              </w:rPr>
              <w:t>%</w:t>
            </w:r>
          </w:p>
        </w:tc>
      </w:tr>
      <w:tr w:rsidR="009B0FCC" w14:paraId="6045AC31" w14:textId="77777777" w:rsidTr="00721F16">
        <w:trPr>
          <w:cantSplit/>
        </w:trPr>
        <w:tc>
          <w:tcPr>
            <w:tcW w:w="0" w:type="auto"/>
          </w:tcPr>
          <w:p w14:paraId="146CFB88" w14:textId="77777777" w:rsidR="009B0FCC" w:rsidRDefault="009B0FCC" w:rsidP="00721F16">
            <w:pPr>
              <w:spacing w:beforeAutospacing="1" w:afterAutospacing="1"/>
            </w:pPr>
            <w:r>
              <w:rPr>
                <w:color w:val="000000"/>
              </w:rPr>
              <w:t>2000 or later</w:t>
            </w:r>
          </w:p>
        </w:tc>
        <w:tc>
          <w:tcPr>
            <w:tcW w:w="0" w:type="auto"/>
            <w:vAlign w:val="bottom"/>
          </w:tcPr>
          <w:p w14:paraId="33FA4276" w14:textId="77777777" w:rsidR="009B0FCC" w:rsidRDefault="009B0FCC" w:rsidP="00721F16">
            <w:pPr>
              <w:spacing w:beforeAutospacing="1" w:afterAutospacing="1"/>
              <w:jc w:val="right"/>
            </w:pPr>
            <w:r>
              <w:rPr>
                <w:color w:val="000000"/>
              </w:rPr>
              <w:t>122,769</w:t>
            </w:r>
          </w:p>
        </w:tc>
        <w:tc>
          <w:tcPr>
            <w:tcW w:w="0" w:type="auto"/>
            <w:vAlign w:val="bottom"/>
          </w:tcPr>
          <w:p w14:paraId="22D4693C" w14:textId="77777777" w:rsidR="009B0FCC" w:rsidRDefault="009B0FCC" w:rsidP="00721F16">
            <w:pPr>
              <w:spacing w:beforeAutospacing="1" w:afterAutospacing="1"/>
              <w:jc w:val="right"/>
            </w:pPr>
            <w:r>
              <w:rPr>
                <w:color w:val="000000"/>
              </w:rPr>
              <w:t>29%</w:t>
            </w:r>
          </w:p>
        </w:tc>
        <w:tc>
          <w:tcPr>
            <w:tcW w:w="0" w:type="auto"/>
            <w:vAlign w:val="bottom"/>
          </w:tcPr>
          <w:p w14:paraId="49D5D765" w14:textId="77777777" w:rsidR="009B0FCC" w:rsidRDefault="009B0FCC" w:rsidP="00721F16">
            <w:pPr>
              <w:spacing w:beforeAutospacing="1" w:afterAutospacing="1"/>
              <w:jc w:val="right"/>
            </w:pPr>
            <w:r>
              <w:rPr>
                <w:color w:val="000000"/>
              </w:rPr>
              <w:t>41,401</w:t>
            </w:r>
          </w:p>
        </w:tc>
        <w:tc>
          <w:tcPr>
            <w:tcW w:w="0" w:type="auto"/>
            <w:vAlign w:val="bottom"/>
          </w:tcPr>
          <w:p w14:paraId="2BB52B2A" w14:textId="77777777" w:rsidR="009B0FCC" w:rsidRDefault="009B0FCC" w:rsidP="00721F16">
            <w:pPr>
              <w:spacing w:beforeAutospacing="1" w:afterAutospacing="1"/>
              <w:jc w:val="right"/>
            </w:pPr>
            <w:r>
              <w:rPr>
                <w:color w:val="000000"/>
              </w:rPr>
              <w:t>22%</w:t>
            </w:r>
          </w:p>
        </w:tc>
      </w:tr>
      <w:tr w:rsidR="009B0FCC" w14:paraId="36B1ADE6" w14:textId="77777777" w:rsidTr="00721F16">
        <w:trPr>
          <w:cantSplit/>
        </w:trPr>
        <w:tc>
          <w:tcPr>
            <w:tcW w:w="0" w:type="auto"/>
          </w:tcPr>
          <w:p w14:paraId="6BEBCE02" w14:textId="77777777" w:rsidR="009B0FCC" w:rsidRDefault="009B0FCC" w:rsidP="00721F16">
            <w:pPr>
              <w:spacing w:beforeAutospacing="1" w:afterAutospacing="1"/>
            </w:pPr>
            <w:r>
              <w:rPr>
                <w:color w:val="000000"/>
              </w:rPr>
              <w:t>1980-1999</w:t>
            </w:r>
          </w:p>
        </w:tc>
        <w:tc>
          <w:tcPr>
            <w:tcW w:w="0" w:type="auto"/>
            <w:vAlign w:val="bottom"/>
          </w:tcPr>
          <w:p w14:paraId="504B0661" w14:textId="77777777" w:rsidR="009B0FCC" w:rsidRDefault="009B0FCC" w:rsidP="00721F16">
            <w:pPr>
              <w:spacing w:beforeAutospacing="1" w:afterAutospacing="1"/>
              <w:jc w:val="right"/>
            </w:pPr>
            <w:r>
              <w:rPr>
                <w:color w:val="000000"/>
              </w:rPr>
              <w:t>119,784</w:t>
            </w:r>
          </w:p>
        </w:tc>
        <w:tc>
          <w:tcPr>
            <w:tcW w:w="0" w:type="auto"/>
            <w:vAlign w:val="bottom"/>
          </w:tcPr>
          <w:p w14:paraId="6940A78E" w14:textId="77777777" w:rsidR="009B0FCC" w:rsidRDefault="009B0FCC" w:rsidP="00721F16">
            <w:pPr>
              <w:spacing w:beforeAutospacing="1" w:afterAutospacing="1"/>
              <w:jc w:val="right"/>
            </w:pPr>
            <w:r>
              <w:rPr>
                <w:color w:val="000000"/>
              </w:rPr>
              <w:t>28%</w:t>
            </w:r>
          </w:p>
        </w:tc>
        <w:tc>
          <w:tcPr>
            <w:tcW w:w="0" w:type="auto"/>
            <w:vAlign w:val="bottom"/>
          </w:tcPr>
          <w:p w14:paraId="7068D723" w14:textId="77777777" w:rsidR="009B0FCC" w:rsidRDefault="009B0FCC" w:rsidP="00721F16">
            <w:pPr>
              <w:spacing w:beforeAutospacing="1" w:afterAutospacing="1"/>
              <w:jc w:val="right"/>
            </w:pPr>
            <w:r>
              <w:rPr>
                <w:color w:val="000000"/>
              </w:rPr>
              <w:t>58,177</w:t>
            </w:r>
          </w:p>
        </w:tc>
        <w:tc>
          <w:tcPr>
            <w:tcW w:w="0" w:type="auto"/>
            <w:vAlign w:val="bottom"/>
          </w:tcPr>
          <w:p w14:paraId="011250C8" w14:textId="77777777" w:rsidR="009B0FCC" w:rsidRDefault="009B0FCC" w:rsidP="00721F16">
            <w:pPr>
              <w:spacing w:beforeAutospacing="1" w:afterAutospacing="1"/>
              <w:jc w:val="right"/>
            </w:pPr>
            <w:r>
              <w:rPr>
                <w:color w:val="000000"/>
              </w:rPr>
              <w:t>31%</w:t>
            </w:r>
          </w:p>
        </w:tc>
      </w:tr>
      <w:tr w:rsidR="009B0FCC" w14:paraId="5E73E16A" w14:textId="77777777" w:rsidTr="00721F16">
        <w:trPr>
          <w:cantSplit/>
        </w:trPr>
        <w:tc>
          <w:tcPr>
            <w:tcW w:w="0" w:type="auto"/>
          </w:tcPr>
          <w:p w14:paraId="59690E98" w14:textId="77777777" w:rsidR="009B0FCC" w:rsidRDefault="009B0FCC" w:rsidP="00721F16">
            <w:pPr>
              <w:spacing w:beforeAutospacing="1" w:afterAutospacing="1"/>
            </w:pPr>
            <w:r>
              <w:rPr>
                <w:color w:val="000000"/>
              </w:rPr>
              <w:t>1950-1979</w:t>
            </w:r>
          </w:p>
        </w:tc>
        <w:tc>
          <w:tcPr>
            <w:tcW w:w="0" w:type="auto"/>
            <w:vAlign w:val="bottom"/>
          </w:tcPr>
          <w:p w14:paraId="2E61D1CF" w14:textId="77777777" w:rsidR="009B0FCC" w:rsidRDefault="009B0FCC" w:rsidP="00721F16">
            <w:pPr>
              <w:spacing w:beforeAutospacing="1" w:afterAutospacing="1"/>
              <w:jc w:val="right"/>
            </w:pPr>
            <w:r>
              <w:rPr>
                <w:color w:val="000000"/>
              </w:rPr>
              <w:t>127,994</w:t>
            </w:r>
          </w:p>
        </w:tc>
        <w:tc>
          <w:tcPr>
            <w:tcW w:w="0" w:type="auto"/>
            <w:vAlign w:val="bottom"/>
          </w:tcPr>
          <w:p w14:paraId="79BABDF3" w14:textId="77777777" w:rsidR="009B0FCC" w:rsidRDefault="009B0FCC" w:rsidP="00721F16">
            <w:pPr>
              <w:spacing w:beforeAutospacing="1" w:afterAutospacing="1"/>
              <w:jc w:val="right"/>
            </w:pPr>
            <w:r>
              <w:rPr>
                <w:color w:val="000000"/>
              </w:rPr>
              <w:t>30%</w:t>
            </w:r>
          </w:p>
        </w:tc>
        <w:tc>
          <w:tcPr>
            <w:tcW w:w="0" w:type="auto"/>
            <w:vAlign w:val="bottom"/>
          </w:tcPr>
          <w:p w14:paraId="0C16059F" w14:textId="77777777" w:rsidR="009B0FCC" w:rsidRDefault="009B0FCC" w:rsidP="00721F16">
            <w:pPr>
              <w:spacing w:beforeAutospacing="1" w:afterAutospacing="1"/>
              <w:jc w:val="right"/>
            </w:pPr>
            <w:r>
              <w:rPr>
                <w:color w:val="000000"/>
              </w:rPr>
              <w:t>63,406</w:t>
            </w:r>
          </w:p>
        </w:tc>
        <w:tc>
          <w:tcPr>
            <w:tcW w:w="0" w:type="auto"/>
            <w:vAlign w:val="bottom"/>
          </w:tcPr>
          <w:p w14:paraId="43E25F6E" w14:textId="77777777" w:rsidR="009B0FCC" w:rsidRDefault="009B0FCC" w:rsidP="00721F16">
            <w:pPr>
              <w:spacing w:beforeAutospacing="1" w:afterAutospacing="1"/>
              <w:jc w:val="right"/>
            </w:pPr>
            <w:r>
              <w:rPr>
                <w:color w:val="000000"/>
              </w:rPr>
              <w:t>34%</w:t>
            </w:r>
          </w:p>
        </w:tc>
      </w:tr>
      <w:tr w:rsidR="009B0FCC" w14:paraId="4E22D5C5" w14:textId="77777777" w:rsidTr="00721F16">
        <w:trPr>
          <w:cantSplit/>
        </w:trPr>
        <w:tc>
          <w:tcPr>
            <w:tcW w:w="0" w:type="auto"/>
          </w:tcPr>
          <w:p w14:paraId="1E9B9346" w14:textId="77777777" w:rsidR="009B0FCC" w:rsidRDefault="009B0FCC" w:rsidP="00721F16">
            <w:pPr>
              <w:spacing w:beforeAutospacing="1" w:afterAutospacing="1"/>
            </w:pPr>
            <w:r>
              <w:rPr>
                <w:color w:val="000000"/>
              </w:rPr>
              <w:t>Before 1950</w:t>
            </w:r>
          </w:p>
        </w:tc>
        <w:tc>
          <w:tcPr>
            <w:tcW w:w="0" w:type="auto"/>
            <w:vAlign w:val="bottom"/>
          </w:tcPr>
          <w:p w14:paraId="516DB042" w14:textId="77777777" w:rsidR="009B0FCC" w:rsidRDefault="009B0FCC" w:rsidP="00721F16">
            <w:pPr>
              <w:spacing w:beforeAutospacing="1" w:afterAutospacing="1"/>
              <w:jc w:val="right"/>
            </w:pPr>
            <w:r>
              <w:rPr>
                <w:color w:val="000000"/>
              </w:rPr>
              <w:t>50,892</w:t>
            </w:r>
          </w:p>
        </w:tc>
        <w:tc>
          <w:tcPr>
            <w:tcW w:w="0" w:type="auto"/>
            <w:vAlign w:val="bottom"/>
          </w:tcPr>
          <w:p w14:paraId="780FA6EB" w14:textId="77777777" w:rsidR="009B0FCC" w:rsidRDefault="009B0FCC" w:rsidP="00721F16">
            <w:pPr>
              <w:spacing w:beforeAutospacing="1" w:afterAutospacing="1"/>
              <w:jc w:val="right"/>
            </w:pPr>
            <w:r>
              <w:rPr>
                <w:color w:val="000000"/>
              </w:rPr>
              <w:t>12%</w:t>
            </w:r>
          </w:p>
        </w:tc>
        <w:tc>
          <w:tcPr>
            <w:tcW w:w="0" w:type="auto"/>
            <w:vAlign w:val="bottom"/>
          </w:tcPr>
          <w:p w14:paraId="0B838880" w14:textId="77777777" w:rsidR="009B0FCC" w:rsidRDefault="009B0FCC" w:rsidP="00721F16">
            <w:pPr>
              <w:spacing w:beforeAutospacing="1" w:afterAutospacing="1"/>
              <w:jc w:val="right"/>
            </w:pPr>
            <w:r>
              <w:rPr>
                <w:color w:val="000000"/>
              </w:rPr>
              <w:t>24,701</w:t>
            </w:r>
          </w:p>
        </w:tc>
        <w:tc>
          <w:tcPr>
            <w:tcW w:w="0" w:type="auto"/>
            <w:vAlign w:val="bottom"/>
          </w:tcPr>
          <w:p w14:paraId="5018452E" w14:textId="77777777" w:rsidR="009B0FCC" w:rsidRDefault="009B0FCC" w:rsidP="00721F16">
            <w:pPr>
              <w:spacing w:beforeAutospacing="1" w:afterAutospacing="1"/>
              <w:jc w:val="right"/>
            </w:pPr>
            <w:r>
              <w:rPr>
                <w:color w:val="000000"/>
              </w:rPr>
              <w:t>13%</w:t>
            </w:r>
          </w:p>
        </w:tc>
      </w:tr>
      <w:tr w:rsidR="009B0FCC" w14:paraId="2DD729D7" w14:textId="77777777" w:rsidTr="00721F16">
        <w:trPr>
          <w:cantSplit/>
        </w:trPr>
        <w:tc>
          <w:tcPr>
            <w:tcW w:w="0" w:type="auto"/>
          </w:tcPr>
          <w:p w14:paraId="296FBB2A" w14:textId="77777777" w:rsidR="009B0FCC" w:rsidRDefault="009B0FCC" w:rsidP="00721F16">
            <w:pPr>
              <w:spacing w:beforeAutospacing="1" w:afterAutospacing="1"/>
            </w:pPr>
            <w:r>
              <w:rPr>
                <w:rFonts w:ascii="Verdana" w:hAnsi="Verdana"/>
                <w:b/>
                <w:i/>
                <w:color w:val="000000"/>
                <w:sz w:val="16"/>
              </w:rPr>
              <w:t>Total</w:t>
            </w:r>
          </w:p>
        </w:tc>
        <w:tc>
          <w:tcPr>
            <w:tcW w:w="0" w:type="auto"/>
          </w:tcPr>
          <w:p w14:paraId="3E6BF082" w14:textId="77777777" w:rsidR="009B0FCC" w:rsidRDefault="009B0FCC" w:rsidP="00721F16">
            <w:pPr>
              <w:spacing w:beforeAutospacing="1" w:afterAutospacing="1"/>
              <w:jc w:val="right"/>
            </w:pPr>
            <w:r>
              <w:rPr>
                <w:rFonts w:ascii="Verdana" w:hAnsi="Verdana"/>
                <w:b/>
                <w:i/>
                <w:color w:val="000000"/>
                <w:sz w:val="16"/>
              </w:rPr>
              <w:t>421,439</w:t>
            </w:r>
          </w:p>
        </w:tc>
        <w:tc>
          <w:tcPr>
            <w:tcW w:w="0" w:type="auto"/>
          </w:tcPr>
          <w:p w14:paraId="4DF6722F" w14:textId="77777777" w:rsidR="009B0FCC" w:rsidRDefault="009B0FCC" w:rsidP="00721F16">
            <w:pPr>
              <w:spacing w:beforeAutospacing="1" w:afterAutospacing="1"/>
              <w:jc w:val="right"/>
            </w:pPr>
            <w:r>
              <w:rPr>
                <w:rFonts w:ascii="Verdana" w:hAnsi="Verdana"/>
                <w:b/>
                <w:i/>
                <w:color w:val="000000"/>
                <w:sz w:val="16"/>
              </w:rPr>
              <w:t>99%</w:t>
            </w:r>
          </w:p>
        </w:tc>
        <w:tc>
          <w:tcPr>
            <w:tcW w:w="0" w:type="auto"/>
          </w:tcPr>
          <w:p w14:paraId="02874F71" w14:textId="77777777" w:rsidR="009B0FCC" w:rsidRDefault="009B0FCC" w:rsidP="00721F16">
            <w:pPr>
              <w:spacing w:beforeAutospacing="1" w:afterAutospacing="1"/>
              <w:jc w:val="right"/>
            </w:pPr>
            <w:r>
              <w:rPr>
                <w:rFonts w:ascii="Verdana" w:hAnsi="Verdana"/>
                <w:b/>
                <w:i/>
                <w:color w:val="000000"/>
                <w:sz w:val="16"/>
              </w:rPr>
              <w:t>187,685</w:t>
            </w:r>
          </w:p>
        </w:tc>
        <w:tc>
          <w:tcPr>
            <w:tcW w:w="0" w:type="auto"/>
          </w:tcPr>
          <w:p w14:paraId="1BFF57C7" w14:textId="77777777" w:rsidR="009B0FCC" w:rsidRDefault="009B0FCC" w:rsidP="00721F16">
            <w:pPr>
              <w:spacing w:beforeAutospacing="1" w:afterAutospacing="1"/>
              <w:jc w:val="right"/>
            </w:pPr>
            <w:r>
              <w:rPr>
                <w:rFonts w:ascii="Verdana" w:hAnsi="Verdana"/>
                <w:b/>
                <w:i/>
                <w:color w:val="000000"/>
                <w:sz w:val="16"/>
              </w:rPr>
              <w:t>100%</w:t>
            </w:r>
          </w:p>
        </w:tc>
      </w:tr>
    </w:tbl>
    <w:p w14:paraId="326CDE98"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Year Unit Built</w:t>
      </w:r>
    </w:p>
    <w:tbl>
      <w:tblPr>
        <w:tblW w:w="5000" w:type="pct"/>
        <w:tblInd w:w="115" w:type="dxa"/>
        <w:tblLook w:val="01E0" w:firstRow="1" w:lastRow="1" w:firstColumn="1" w:lastColumn="1" w:noHBand="0" w:noVBand="0"/>
      </w:tblPr>
      <w:tblGrid>
        <w:gridCol w:w="1064"/>
        <w:gridCol w:w="8296"/>
      </w:tblGrid>
      <w:tr w:rsidR="009B0FCC" w14:paraId="24CF4C6E" w14:textId="77777777" w:rsidTr="00721F16">
        <w:trPr>
          <w:cantSplit/>
        </w:trPr>
        <w:tc>
          <w:tcPr>
            <w:tcW w:w="1073" w:type="dxa"/>
          </w:tcPr>
          <w:p w14:paraId="15A43D9F"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58DCAC6A" w14:textId="77777777" w:rsidR="009B0FCC" w:rsidRDefault="009B0FCC" w:rsidP="00721F16">
            <w:pPr>
              <w:spacing w:beforeAutospacing="1" w:afterAutospacing="1"/>
              <w:rPr>
                <w:rFonts w:cs="Arial"/>
                <w:sz w:val="16"/>
                <w:szCs w:val="16"/>
              </w:rPr>
            </w:pPr>
            <w:r>
              <w:rPr>
                <w:rFonts w:cs="Arial"/>
                <w:sz w:val="16"/>
                <w:szCs w:val="16"/>
              </w:rPr>
              <w:t>2016-2020 CHAS</w:t>
            </w:r>
          </w:p>
        </w:tc>
      </w:tr>
    </w:tbl>
    <w:p w14:paraId="3FB3DD58" w14:textId="77777777" w:rsidR="009B0FCC" w:rsidRDefault="009B0FCC" w:rsidP="009B0FCC">
      <w:pPr>
        <w:rPr>
          <w:vanish/>
        </w:rPr>
      </w:pPr>
    </w:p>
    <w:p w14:paraId="723F5A73" w14:textId="77777777" w:rsidR="009B0FCC" w:rsidRDefault="009B0FCC" w:rsidP="009B0FCC">
      <w:pPr>
        <w:rPr>
          <w:b/>
          <w:bCs/>
          <w:vanish/>
          <w:sz w:val="16"/>
          <w:szCs w:val="16"/>
        </w:rPr>
      </w:pPr>
    </w:p>
    <w:p w14:paraId="037DD3AF" w14:textId="77777777" w:rsidR="009B0FCC" w:rsidRDefault="009B0FCC" w:rsidP="009B0FCC">
      <w:pPr>
        <w:spacing w:after="0" w:line="240" w:lineRule="auto"/>
      </w:pPr>
    </w:p>
    <w:p w14:paraId="0D2E9541" w14:textId="77777777" w:rsidR="009B0FCC" w:rsidRDefault="009B0FCC" w:rsidP="009B0FCC">
      <w:pPr>
        <w:spacing w:after="0" w:line="240" w:lineRule="auto"/>
      </w:pPr>
    </w:p>
    <w:p w14:paraId="4F208653" w14:textId="77777777" w:rsidR="009B0FCC" w:rsidRDefault="009B0FCC" w:rsidP="009B0FCC">
      <w:pPr>
        <w:keepNext/>
        <w:widowControl w:val="0"/>
        <w:spacing w:after="0" w:line="240" w:lineRule="auto"/>
        <w:rPr>
          <w:b/>
          <w:sz w:val="24"/>
          <w:szCs w:val="24"/>
        </w:rPr>
      </w:pPr>
      <w:r>
        <w:rPr>
          <w:b/>
          <w:sz w:val="24"/>
          <w:szCs w:val="24"/>
        </w:rPr>
        <w:t>Risk of Lead-Based Paint Hazard</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9B0FCC" w14:paraId="3A6EBF8B" w14:textId="77777777" w:rsidTr="00721F16">
        <w:trPr>
          <w:cantSplit/>
          <w:tblHeader/>
        </w:trPr>
        <w:tc>
          <w:tcPr>
            <w:tcW w:w="5314" w:type="dxa"/>
            <w:vMerge w:val="restart"/>
          </w:tcPr>
          <w:p w14:paraId="2DCE0255" w14:textId="77777777" w:rsidR="009B0FCC" w:rsidRDefault="009B0FCC" w:rsidP="00721F16">
            <w:pPr>
              <w:keepNext/>
              <w:widowControl w:val="0"/>
              <w:spacing w:after="0" w:line="240" w:lineRule="auto"/>
              <w:jc w:val="center"/>
            </w:pPr>
            <w:r>
              <w:rPr>
                <w:b/>
                <w:bCs/>
              </w:rPr>
              <w:t>Risk of Lead-Based Paint Hazard</w:t>
            </w:r>
          </w:p>
        </w:tc>
        <w:tc>
          <w:tcPr>
            <w:tcW w:w="1080" w:type="dxa"/>
            <w:gridSpan w:val="2"/>
          </w:tcPr>
          <w:p w14:paraId="533C4B19" w14:textId="77777777" w:rsidR="009B0FCC" w:rsidRDefault="009B0FCC" w:rsidP="00721F16">
            <w:pPr>
              <w:keepNext/>
              <w:widowControl w:val="0"/>
              <w:spacing w:after="0" w:line="240" w:lineRule="auto"/>
              <w:jc w:val="center"/>
            </w:pPr>
            <w:r>
              <w:rPr>
                <w:b/>
                <w:bCs/>
              </w:rPr>
              <w:t>Owner-Occupied</w:t>
            </w:r>
          </w:p>
        </w:tc>
        <w:tc>
          <w:tcPr>
            <w:tcW w:w="1080" w:type="dxa"/>
            <w:gridSpan w:val="2"/>
          </w:tcPr>
          <w:p w14:paraId="4B19DE37" w14:textId="77777777" w:rsidR="009B0FCC" w:rsidRDefault="009B0FCC" w:rsidP="00721F16">
            <w:pPr>
              <w:keepNext/>
              <w:widowControl w:val="0"/>
              <w:spacing w:after="0" w:line="240" w:lineRule="auto"/>
              <w:jc w:val="center"/>
              <w:rPr>
                <w:b/>
                <w:bCs/>
              </w:rPr>
            </w:pPr>
            <w:r>
              <w:rPr>
                <w:b/>
                <w:bCs/>
              </w:rPr>
              <w:t>Renter-Occupied</w:t>
            </w:r>
          </w:p>
        </w:tc>
      </w:tr>
      <w:tr w:rsidR="009B0FCC" w14:paraId="5FD5754E" w14:textId="77777777" w:rsidTr="00721F16">
        <w:trPr>
          <w:cantSplit/>
          <w:tblHeader/>
        </w:trPr>
        <w:tc>
          <w:tcPr>
            <w:tcW w:w="5314" w:type="dxa"/>
            <w:vMerge/>
          </w:tcPr>
          <w:p w14:paraId="45B70FFD" w14:textId="77777777" w:rsidR="009B0FCC" w:rsidRDefault="009B0FCC" w:rsidP="00721F16">
            <w:pPr>
              <w:keepNext/>
              <w:widowControl w:val="0"/>
              <w:spacing w:after="0" w:line="240" w:lineRule="auto"/>
              <w:jc w:val="center"/>
            </w:pPr>
          </w:p>
        </w:tc>
        <w:tc>
          <w:tcPr>
            <w:tcW w:w="1080" w:type="dxa"/>
          </w:tcPr>
          <w:p w14:paraId="1AED243F" w14:textId="77777777" w:rsidR="009B0FCC" w:rsidRDefault="009B0FCC" w:rsidP="00721F16">
            <w:pPr>
              <w:keepNext/>
              <w:widowControl w:val="0"/>
              <w:spacing w:after="0" w:line="240" w:lineRule="auto"/>
              <w:jc w:val="center"/>
            </w:pPr>
            <w:r>
              <w:rPr>
                <w:b/>
                <w:bCs/>
              </w:rPr>
              <w:t>Number</w:t>
            </w:r>
          </w:p>
        </w:tc>
        <w:tc>
          <w:tcPr>
            <w:tcW w:w="1080" w:type="dxa"/>
          </w:tcPr>
          <w:p w14:paraId="1694355E" w14:textId="77777777" w:rsidR="009B0FCC" w:rsidRDefault="009B0FCC" w:rsidP="00721F16">
            <w:pPr>
              <w:keepNext/>
              <w:widowControl w:val="0"/>
              <w:spacing w:after="0" w:line="240" w:lineRule="auto"/>
              <w:jc w:val="center"/>
            </w:pPr>
            <w:r>
              <w:rPr>
                <w:b/>
                <w:bCs/>
              </w:rPr>
              <w:t>%</w:t>
            </w:r>
          </w:p>
        </w:tc>
        <w:tc>
          <w:tcPr>
            <w:tcW w:w="1080" w:type="dxa"/>
          </w:tcPr>
          <w:p w14:paraId="4ED01EA1" w14:textId="77777777" w:rsidR="009B0FCC" w:rsidRDefault="009B0FCC" w:rsidP="00721F16">
            <w:pPr>
              <w:keepNext/>
              <w:widowControl w:val="0"/>
              <w:spacing w:after="0" w:line="240" w:lineRule="auto"/>
              <w:jc w:val="center"/>
            </w:pPr>
            <w:r>
              <w:rPr>
                <w:b/>
                <w:bCs/>
              </w:rPr>
              <w:t>Number</w:t>
            </w:r>
          </w:p>
        </w:tc>
        <w:tc>
          <w:tcPr>
            <w:tcW w:w="1080" w:type="dxa"/>
          </w:tcPr>
          <w:p w14:paraId="2133EB45" w14:textId="77777777" w:rsidR="009B0FCC" w:rsidRDefault="009B0FCC" w:rsidP="00721F16">
            <w:pPr>
              <w:keepNext/>
              <w:widowControl w:val="0"/>
              <w:spacing w:after="0" w:line="240" w:lineRule="auto"/>
              <w:jc w:val="center"/>
            </w:pPr>
            <w:r>
              <w:rPr>
                <w:b/>
                <w:bCs/>
              </w:rPr>
              <w:t>%</w:t>
            </w:r>
          </w:p>
        </w:tc>
      </w:tr>
      <w:tr w:rsidR="009B0FCC" w14:paraId="025C1F13" w14:textId="77777777" w:rsidTr="00721F16">
        <w:trPr>
          <w:cantSplit/>
        </w:trPr>
        <w:tc>
          <w:tcPr>
            <w:tcW w:w="5280" w:type="dxa"/>
          </w:tcPr>
          <w:p w14:paraId="1B0216DE" w14:textId="77777777" w:rsidR="009B0FCC" w:rsidRDefault="009B0FCC" w:rsidP="00721F16">
            <w:pPr>
              <w:spacing w:beforeAutospacing="1" w:afterAutospacing="1"/>
            </w:pPr>
            <w:r>
              <w:rPr>
                <w:color w:val="000000"/>
              </w:rPr>
              <w:t>Total Number of Units Built Before 1980</w:t>
            </w:r>
          </w:p>
        </w:tc>
        <w:tc>
          <w:tcPr>
            <w:tcW w:w="1074" w:type="dxa"/>
            <w:vAlign w:val="bottom"/>
          </w:tcPr>
          <w:p w14:paraId="3A33FAD8" w14:textId="77777777" w:rsidR="009B0FCC" w:rsidRDefault="009B0FCC" w:rsidP="00721F16">
            <w:pPr>
              <w:spacing w:beforeAutospacing="1" w:afterAutospacing="1"/>
              <w:jc w:val="right"/>
            </w:pPr>
            <w:r>
              <w:rPr>
                <w:color w:val="000000"/>
              </w:rPr>
              <w:t>178,886</w:t>
            </w:r>
          </w:p>
        </w:tc>
        <w:tc>
          <w:tcPr>
            <w:tcW w:w="1074" w:type="dxa"/>
            <w:vAlign w:val="bottom"/>
          </w:tcPr>
          <w:p w14:paraId="772B1325" w14:textId="77777777" w:rsidR="009B0FCC" w:rsidRDefault="009B0FCC" w:rsidP="00721F16">
            <w:pPr>
              <w:spacing w:beforeAutospacing="1" w:afterAutospacing="1"/>
              <w:jc w:val="right"/>
            </w:pPr>
            <w:r>
              <w:rPr>
                <w:color w:val="000000"/>
              </w:rPr>
              <w:t>42%</w:t>
            </w:r>
          </w:p>
        </w:tc>
        <w:tc>
          <w:tcPr>
            <w:tcW w:w="1074" w:type="dxa"/>
            <w:vAlign w:val="bottom"/>
          </w:tcPr>
          <w:p w14:paraId="4A8A7B1C" w14:textId="77777777" w:rsidR="009B0FCC" w:rsidRDefault="009B0FCC" w:rsidP="00721F16">
            <w:pPr>
              <w:spacing w:beforeAutospacing="1" w:afterAutospacing="1"/>
              <w:jc w:val="right"/>
            </w:pPr>
            <w:r>
              <w:rPr>
                <w:color w:val="000000"/>
              </w:rPr>
              <w:t>88,107</w:t>
            </w:r>
          </w:p>
        </w:tc>
        <w:tc>
          <w:tcPr>
            <w:tcW w:w="1074" w:type="dxa"/>
            <w:vAlign w:val="bottom"/>
          </w:tcPr>
          <w:p w14:paraId="3DA1C700" w14:textId="77777777" w:rsidR="009B0FCC" w:rsidRDefault="009B0FCC" w:rsidP="00721F16">
            <w:pPr>
              <w:spacing w:beforeAutospacing="1" w:afterAutospacing="1"/>
              <w:jc w:val="right"/>
            </w:pPr>
            <w:r>
              <w:rPr>
                <w:color w:val="000000"/>
              </w:rPr>
              <w:t>47%</w:t>
            </w:r>
          </w:p>
        </w:tc>
      </w:tr>
    </w:tbl>
    <w:p w14:paraId="2320C7BD" w14:textId="77777777" w:rsidR="009B0FCC" w:rsidRDefault="009B0FCC" w:rsidP="009B0FCC">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2"/>
        <w:gridCol w:w="1052"/>
        <w:gridCol w:w="1052"/>
        <w:gridCol w:w="1052"/>
        <w:gridCol w:w="1052"/>
      </w:tblGrid>
      <w:tr w:rsidR="009B0FCC" w14:paraId="3488CF3F" w14:textId="77777777" w:rsidTr="00721F16">
        <w:trPr>
          <w:cantSplit/>
          <w:hidden/>
        </w:trPr>
        <w:tc>
          <w:tcPr>
            <w:tcW w:w="5314" w:type="dxa"/>
            <w:tcBorders>
              <w:top w:val="nil"/>
            </w:tcBorders>
          </w:tcPr>
          <w:p w14:paraId="3B9B5B1B" w14:textId="77777777" w:rsidR="009B0FCC" w:rsidRDefault="009B0FCC" w:rsidP="00721F16">
            <w:pPr>
              <w:keepNext/>
              <w:widowControl w:val="0"/>
              <w:spacing w:after="0" w:line="240" w:lineRule="auto"/>
              <w:rPr>
                <w:vanish/>
              </w:rPr>
            </w:pPr>
          </w:p>
        </w:tc>
        <w:tc>
          <w:tcPr>
            <w:tcW w:w="1080" w:type="dxa"/>
            <w:tcBorders>
              <w:top w:val="nil"/>
            </w:tcBorders>
          </w:tcPr>
          <w:p w14:paraId="5202E330" w14:textId="77777777" w:rsidR="009B0FCC" w:rsidRDefault="009B0FCC" w:rsidP="00721F16">
            <w:pPr>
              <w:keepNext/>
              <w:widowControl w:val="0"/>
              <w:spacing w:after="0" w:line="240" w:lineRule="auto"/>
              <w:rPr>
                <w:vanish/>
              </w:rPr>
            </w:pPr>
          </w:p>
        </w:tc>
        <w:tc>
          <w:tcPr>
            <w:tcW w:w="1080" w:type="dxa"/>
            <w:tcBorders>
              <w:top w:val="nil"/>
            </w:tcBorders>
          </w:tcPr>
          <w:p w14:paraId="53D2941C" w14:textId="77777777" w:rsidR="009B0FCC" w:rsidRDefault="009B0FCC" w:rsidP="00721F16">
            <w:pPr>
              <w:keepNext/>
              <w:widowControl w:val="0"/>
              <w:spacing w:after="0" w:line="240" w:lineRule="auto"/>
              <w:rPr>
                <w:vanish/>
              </w:rPr>
            </w:pPr>
          </w:p>
        </w:tc>
        <w:tc>
          <w:tcPr>
            <w:tcW w:w="1080" w:type="dxa"/>
            <w:tcBorders>
              <w:top w:val="nil"/>
            </w:tcBorders>
          </w:tcPr>
          <w:p w14:paraId="5088D0AF" w14:textId="77777777" w:rsidR="009B0FCC" w:rsidRDefault="009B0FCC" w:rsidP="00721F16">
            <w:pPr>
              <w:keepNext/>
              <w:widowControl w:val="0"/>
              <w:spacing w:after="0" w:line="240" w:lineRule="auto"/>
              <w:rPr>
                <w:vanish/>
              </w:rPr>
            </w:pPr>
          </w:p>
        </w:tc>
        <w:tc>
          <w:tcPr>
            <w:tcW w:w="1080" w:type="dxa"/>
            <w:tcBorders>
              <w:top w:val="nil"/>
            </w:tcBorders>
          </w:tcPr>
          <w:p w14:paraId="2BBAB399" w14:textId="77777777" w:rsidR="009B0FCC" w:rsidRDefault="009B0FCC" w:rsidP="00721F16">
            <w:pPr>
              <w:keepNext/>
              <w:widowControl w:val="0"/>
              <w:spacing w:after="0" w:line="240" w:lineRule="auto"/>
              <w:rPr>
                <w:vanish/>
              </w:rPr>
            </w:pPr>
          </w:p>
        </w:tc>
      </w:tr>
      <w:tr w:rsidR="009B0FCC" w14:paraId="7B2D9C87" w14:textId="77777777" w:rsidTr="00721F16">
        <w:trPr>
          <w:cantSplit/>
        </w:trPr>
        <w:tc>
          <w:tcPr>
            <w:tcW w:w="5280" w:type="dxa"/>
          </w:tcPr>
          <w:p w14:paraId="7F83757B" w14:textId="77777777" w:rsidR="009B0FCC" w:rsidRDefault="009B0FCC" w:rsidP="00721F16">
            <w:pPr>
              <w:spacing w:beforeAutospacing="1" w:afterAutospacing="1"/>
            </w:pPr>
            <w:r>
              <w:rPr>
                <w:color w:val="000000"/>
              </w:rPr>
              <w:t>Housing Units build before 1980 with children present</w:t>
            </w:r>
          </w:p>
        </w:tc>
        <w:tc>
          <w:tcPr>
            <w:tcW w:w="1074" w:type="dxa"/>
            <w:vAlign w:val="bottom"/>
          </w:tcPr>
          <w:p w14:paraId="713EE877" w14:textId="77777777" w:rsidR="009B0FCC" w:rsidRDefault="009B0FCC" w:rsidP="00721F16">
            <w:pPr>
              <w:spacing w:beforeAutospacing="1" w:afterAutospacing="1"/>
              <w:jc w:val="right"/>
            </w:pPr>
            <w:r>
              <w:rPr>
                <w:color w:val="000000"/>
              </w:rPr>
              <w:t>61,090</w:t>
            </w:r>
          </w:p>
        </w:tc>
        <w:tc>
          <w:tcPr>
            <w:tcW w:w="1074" w:type="dxa"/>
            <w:vAlign w:val="bottom"/>
          </w:tcPr>
          <w:p w14:paraId="156915F1" w14:textId="77777777" w:rsidR="009B0FCC" w:rsidRDefault="009B0FCC" w:rsidP="00721F16">
            <w:pPr>
              <w:spacing w:beforeAutospacing="1" w:afterAutospacing="1"/>
              <w:jc w:val="right"/>
            </w:pPr>
            <w:r>
              <w:rPr>
                <w:color w:val="000000"/>
              </w:rPr>
              <w:t>14%</w:t>
            </w:r>
          </w:p>
        </w:tc>
        <w:tc>
          <w:tcPr>
            <w:tcW w:w="1074" w:type="dxa"/>
            <w:vAlign w:val="bottom"/>
          </w:tcPr>
          <w:p w14:paraId="7B7B8A00" w14:textId="77777777" w:rsidR="009B0FCC" w:rsidRDefault="009B0FCC" w:rsidP="00721F16">
            <w:pPr>
              <w:spacing w:beforeAutospacing="1" w:afterAutospacing="1"/>
              <w:jc w:val="right"/>
            </w:pPr>
            <w:r>
              <w:rPr>
                <w:color w:val="000000"/>
              </w:rPr>
              <w:t>38,735</w:t>
            </w:r>
          </w:p>
        </w:tc>
        <w:tc>
          <w:tcPr>
            <w:tcW w:w="1074" w:type="dxa"/>
            <w:vAlign w:val="bottom"/>
          </w:tcPr>
          <w:p w14:paraId="4D6A1ED4" w14:textId="77777777" w:rsidR="009B0FCC" w:rsidRDefault="009B0FCC" w:rsidP="00721F16">
            <w:pPr>
              <w:spacing w:beforeAutospacing="1" w:afterAutospacing="1"/>
              <w:jc w:val="right"/>
            </w:pPr>
            <w:r>
              <w:rPr>
                <w:color w:val="000000"/>
              </w:rPr>
              <w:t>21%</w:t>
            </w:r>
          </w:p>
        </w:tc>
      </w:tr>
    </w:tbl>
    <w:p w14:paraId="1FDAEE5E"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Risk of Lead-Based Paint</w:t>
      </w:r>
    </w:p>
    <w:tbl>
      <w:tblPr>
        <w:tblW w:w="5000" w:type="pct"/>
        <w:tblInd w:w="115" w:type="dxa"/>
        <w:tblLook w:val="01E0" w:firstRow="1" w:lastRow="1" w:firstColumn="1" w:lastColumn="1" w:noHBand="0" w:noVBand="0"/>
      </w:tblPr>
      <w:tblGrid>
        <w:gridCol w:w="1063"/>
        <w:gridCol w:w="8297"/>
      </w:tblGrid>
      <w:tr w:rsidR="009B0FCC" w14:paraId="1CE88EE1" w14:textId="77777777" w:rsidTr="00721F16">
        <w:trPr>
          <w:cantSplit/>
        </w:trPr>
        <w:tc>
          <w:tcPr>
            <w:tcW w:w="1073" w:type="dxa"/>
          </w:tcPr>
          <w:p w14:paraId="2CF7416D"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2495ABB2" w14:textId="77777777" w:rsidR="009B0FCC" w:rsidRDefault="009B0FCC" w:rsidP="00721F16">
            <w:pPr>
              <w:spacing w:beforeAutospacing="1" w:afterAutospacing="1"/>
              <w:rPr>
                <w:rFonts w:cs="Arial"/>
                <w:sz w:val="16"/>
                <w:szCs w:val="16"/>
              </w:rPr>
            </w:pPr>
            <w:r>
              <w:rPr>
                <w:rFonts w:cs="Arial"/>
                <w:sz w:val="16"/>
                <w:szCs w:val="16"/>
              </w:rPr>
              <w:t>2016-2020 ACS (Total Units) 2016-2020 CHAS (Units with Children present)</w:t>
            </w:r>
          </w:p>
        </w:tc>
      </w:tr>
    </w:tbl>
    <w:p w14:paraId="20BDFE98" w14:textId="77777777" w:rsidR="009B0FCC" w:rsidRDefault="009B0FCC" w:rsidP="009B0FCC">
      <w:pPr>
        <w:rPr>
          <w:vanish/>
        </w:rPr>
      </w:pPr>
    </w:p>
    <w:p w14:paraId="33DCD12E" w14:textId="77777777" w:rsidR="009B0FCC" w:rsidRDefault="009B0FCC" w:rsidP="009B0FCC">
      <w:pPr>
        <w:rPr>
          <w:b/>
          <w:bCs/>
          <w:vanish/>
          <w:sz w:val="16"/>
          <w:szCs w:val="16"/>
        </w:rPr>
      </w:pPr>
    </w:p>
    <w:p w14:paraId="3951A1E3" w14:textId="77777777" w:rsidR="009B0FCC" w:rsidRDefault="009B0FCC" w:rsidP="009B0FCC">
      <w:pPr>
        <w:spacing w:after="0" w:line="240" w:lineRule="auto"/>
      </w:pPr>
    </w:p>
    <w:p w14:paraId="0BBC4295" w14:textId="77777777" w:rsidR="009B0FCC" w:rsidRDefault="009B0FCC" w:rsidP="009B0FCC">
      <w:pPr>
        <w:spacing w:after="0" w:line="240" w:lineRule="auto"/>
      </w:pPr>
    </w:p>
    <w:p w14:paraId="6064C123" w14:textId="77777777" w:rsidR="001770B0" w:rsidRDefault="009B0FCC" w:rsidP="009B0FCC">
      <w:pPr>
        <w:keepNext/>
        <w:widowControl w:val="0"/>
        <w:rPr>
          <w:b/>
          <w:sz w:val="24"/>
          <w:szCs w:val="24"/>
        </w:rPr>
      </w:pPr>
      <w:r>
        <w:rPr>
          <w:b/>
          <w:sz w:val="24"/>
          <w:szCs w:val="24"/>
        </w:rPr>
        <w:lastRenderedPageBreak/>
        <w:t>Vacant Units</w:t>
      </w:r>
      <w:r w:rsidR="00FD58D2">
        <w:rPr>
          <w:b/>
          <w:sz w:val="24"/>
          <w:szCs w:val="24"/>
        </w:rPr>
        <w:t xml:space="preserve"> – </w:t>
      </w:r>
    </w:p>
    <w:p w14:paraId="5052FBAF" w14:textId="76456C9D" w:rsidR="009B0FCC" w:rsidRPr="001770B0" w:rsidRDefault="00FD58D2" w:rsidP="009B0FCC">
      <w:pPr>
        <w:keepNext/>
        <w:widowControl w:val="0"/>
        <w:rPr>
          <w:bCs/>
          <w:sz w:val="24"/>
          <w:szCs w:val="24"/>
        </w:rPr>
      </w:pPr>
      <w:r w:rsidRPr="001770B0">
        <w:rPr>
          <w:bCs/>
          <w:sz w:val="24"/>
          <w:szCs w:val="24"/>
        </w:rPr>
        <w:t xml:space="preserve">See Unique Appendices for vacancy information.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2003"/>
        <w:gridCol w:w="2003"/>
        <w:gridCol w:w="1981"/>
      </w:tblGrid>
      <w:tr w:rsidR="009B0FCC" w14:paraId="4A2D9FE4" w14:textId="77777777" w:rsidTr="00721F16">
        <w:trPr>
          <w:cantSplit/>
          <w:tblHeader/>
        </w:trPr>
        <w:tc>
          <w:tcPr>
            <w:tcW w:w="3420" w:type="dxa"/>
          </w:tcPr>
          <w:p w14:paraId="1A8E5333" w14:textId="77777777" w:rsidR="009B0FCC" w:rsidRDefault="009B0FCC" w:rsidP="00721F16">
            <w:pPr>
              <w:keepNext/>
              <w:widowControl w:val="0"/>
              <w:spacing w:after="0" w:line="240" w:lineRule="auto"/>
              <w:jc w:val="center"/>
              <w:rPr>
                <w:b/>
                <w:i/>
              </w:rPr>
            </w:pPr>
          </w:p>
        </w:tc>
        <w:tc>
          <w:tcPr>
            <w:tcW w:w="2016" w:type="dxa"/>
          </w:tcPr>
          <w:p w14:paraId="611A9135" w14:textId="77777777" w:rsidR="009B0FCC" w:rsidRDefault="009B0FCC" w:rsidP="00721F16">
            <w:pPr>
              <w:keepNext/>
              <w:widowControl w:val="0"/>
              <w:spacing w:after="0" w:line="240" w:lineRule="auto"/>
              <w:jc w:val="center"/>
              <w:rPr>
                <w:b/>
                <w:i/>
              </w:rPr>
            </w:pPr>
            <w:r>
              <w:rPr>
                <w:b/>
              </w:rPr>
              <w:t>Suitable for Rehabilitation</w:t>
            </w:r>
          </w:p>
        </w:tc>
        <w:tc>
          <w:tcPr>
            <w:tcW w:w="2016" w:type="dxa"/>
          </w:tcPr>
          <w:p w14:paraId="53419B9C" w14:textId="77777777" w:rsidR="009B0FCC" w:rsidRDefault="009B0FCC" w:rsidP="00721F16">
            <w:pPr>
              <w:keepNext/>
              <w:widowControl w:val="0"/>
              <w:spacing w:after="0" w:line="240" w:lineRule="auto"/>
              <w:jc w:val="center"/>
              <w:rPr>
                <w:b/>
                <w:i/>
              </w:rPr>
            </w:pPr>
            <w:r>
              <w:rPr>
                <w:b/>
              </w:rPr>
              <w:t>Not Suitable for Rehabilitation</w:t>
            </w:r>
          </w:p>
        </w:tc>
        <w:tc>
          <w:tcPr>
            <w:tcW w:w="2016" w:type="dxa"/>
          </w:tcPr>
          <w:p w14:paraId="16FB8518" w14:textId="77777777" w:rsidR="009B0FCC" w:rsidRDefault="009B0FCC" w:rsidP="00721F16">
            <w:pPr>
              <w:keepNext/>
              <w:widowControl w:val="0"/>
              <w:spacing w:after="0" w:line="240" w:lineRule="auto"/>
              <w:jc w:val="center"/>
              <w:rPr>
                <w:b/>
                <w:i/>
              </w:rPr>
            </w:pPr>
            <w:r>
              <w:rPr>
                <w:b/>
              </w:rPr>
              <w:t>Total</w:t>
            </w:r>
          </w:p>
        </w:tc>
      </w:tr>
      <w:tr w:rsidR="009B0FCC" w14:paraId="41649CED" w14:textId="77777777" w:rsidTr="00721F16">
        <w:trPr>
          <w:cantSplit/>
        </w:trPr>
        <w:tc>
          <w:tcPr>
            <w:tcW w:w="3420" w:type="dxa"/>
          </w:tcPr>
          <w:p w14:paraId="535BD42E" w14:textId="77777777" w:rsidR="009B0FCC" w:rsidRDefault="009B0FCC" w:rsidP="00721F16">
            <w:pPr>
              <w:keepNext/>
              <w:widowControl w:val="0"/>
              <w:spacing w:after="0" w:line="240" w:lineRule="auto"/>
            </w:pPr>
            <w:r>
              <w:t>Vacant Units</w:t>
            </w:r>
          </w:p>
        </w:tc>
        <w:tc>
          <w:tcPr>
            <w:tcW w:w="2016" w:type="dxa"/>
          </w:tcPr>
          <w:p w14:paraId="04E7C733" w14:textId="77777777" w:rsidR="009B0FCC" w:rsidRDefault="009B0FCC" w:rsidP="00721F16">
            <w:pPr>
              <w:keepNext/>
              <w:widowControl w:val="0"/>
              <w:spacing w:after="0" w:line="240" w:lineRule="auto"/>
            </w:pPr>
          </w:p>
        </w:tc>
        <w:tc>
          <w:tcPr>
            <w:tcW w:w="2016" w:type="dxa"/>
          </w:tcPr>
          <w:p w14:paraId="4AD1A4E0" w14:textId="77777777" w:rsidR="009B0FCC" w:rsidRDefault="009B0FCC" w:rsidP="00721F16">
            <w:pPr>
              <w:keepNext/>
              <w:widowControl w:val="0"/>
              <w:spacing w:after="0" w:line="240" w:lineRule="auto"/>
            </w:pPr>
          </w:p>
        </w:tc>
        <w:tc>
          <w:tcPr>
            <w:tcW w:w="2016" w:type="dxa"/>
          </w:tcPr>
          <w:p w14:paraId="67AF0BCD" w14:textId="77777777" w:rsidR="009B0FCC" w:rsidRDefault="009B0FCC" w:rsidP="00721F16">
            <w:pPr>
              <w:keepNext/>
              <w:widowControl w:val="0"/>
              <w:spacing w:after="0" w:line="240" w:lineRule="auto"/>
            </w:pPr>
          </w:p>
        </w:tc>
      </w:tr>
      <w:tr w:rsidR="009B0FCC" w14:paraId="2C77BE91" w14:textId="77777777" w:rsidTr="00721F16">
        <w:trPr>
          <w:cantSplit/>
        </w:trPr>
        <w:tc>
          <w:tcPr>
            <w:tcW w:w="3420" w:type="dxa"/>
          </w:tcPr>
          <w:p w14:paraId="4BE507B0" w14:textId="77777777" w:rsidR="009B0FCC" w:rsidRDefault="009B0FCC" w:rsidP="00721F16">
            <w:pPr>
              <w:keepNext/>
              <w:widowControl w:val="0"/>
              <w:spacing w:after="0" w:line="240" w:lineRule="auto"/>
            </w:pPr>
            <w:r>
              <w:rPr>
                <w:iCs/>
              </w:rPr>
              <w:t>Abandoned Vacant Units</w:t>
            </w:r>
          </w:p>
        </w:tc>
        <w:tc>
          <w:tcPr>
            <w:tcW w:w="2016" w:type="dxa"/>
          </w:tcPr>
          <w:p w14:paraId="2C64D1BE" w14:textId="77777777" w:rsidR="009B0FCC" w:rsidRDefault="009B0FCC" w:rsidP="00721F16">
            <w:pPr>
              <w:keepNext/>
              <w:widowControl w:val="0"/>
              <w:spacing w:after="0" w:line="240" w:lineRule="auto"/>
            </w:pPr>
          </w:p>
        </w:tc>
        <w:tc>
          <w:tcPr>
            <w:tcW w:w="2016" w:type="dxa"/>
          </w:tcPr>
          <w:p w14:paraId="32CF2198" w14:textId="77777777" w:rsidR="009B0FCC" w:rsidRDefault="009B0FCC" w:rsidP="00721F16">
            <w:pPr>
              <w:keepNext/>
              <w:widowControl w:val="0"/>
              <w:spacing w:after="0" w:line="240" w:lineRule="auto"/>
            </w:pPr>
          </w:p>
        </w:tc>
        <w:tc>
          <w:tcPr>
            <w:tcW w:w="2016" w:type="dxa"/>
          </w:tcPr>
          <w:p w14:paraId="4F488734" w14:textId="77777777" w:rsidR="009B0FCC" w:rsidRDefault="009B0FCC" w:rsidP="00721F16">
            <w:pPr>
              <w:keepNext/>
              <w:widowControl w:val="0"/>
              <w:spacing w:after="0" w:line="240" w:lineRule="auto"/>
            </w:pPr>
          </w:p>
        </w:tc>
      </w:tr>
      <w:tr w:rsidR="009B0FCC" w14:paraId="5868B89A" w14:textId="77777777" w:rsidTr="00721F16">
        <w:trPr>
          <w:cantSplit/>
        </w:trPr>
        <w:tc>
          <w:tcPr>
            <w:tcW w:w="3420" w:type="dxa"/>
          </w:tcPr>
          <w:p w14:paraId="08D69101" w14:textId="77777777" w:rsidR="009B0FCC" w:rsidRDefault="009B0FCC" w:rsidP="00721F16">
            <w:pPr>
              <w:keepNext/>
              <w:widowControl w:val="0"/>
              <w:spacing w:after="0" w:line="240" w:lineRule="auto"/>
            </w:pPr>
            <w:r>
              <w:t>REO Properties</w:t>
            </w:r>
          </w:p>
        </w:tc>
        <w:tc>
          <w:tcPr>
            <w:tcW w:w="2016" w:type="dxa"/>
          </w:tcPr>
          <w:p w14:paraId="2A857C0D" w14:textId="77777777" w:rsidR="009B0FCC" w:rsidRDefault="009B0FCC" w:rsidP="00721F16">
            <w:pPr>
              <w:keepNext/>
              <w:widowControl w:val="0"/>
              <w:spacing w:after="0" w:line="240" w:lineRule="auto"/>
            </w:pPr>
          </w:p>
        </w:tc>
        <w:tc>
          <w:tcPr>
            <w:tcW w:w="2016" w:type="dxa"/>
          </w:tcPr>
          <w:p w14:paraId="5DF4CA66" w14:textId="77777777" w:rsidR="009B0FCC" w:rsidRDefault="009B0FCC" w:rsidP="00721F16">
            <w:pPr>
              <w:keepNext/>
              <w:widowControl w:val="0"/>
              <w:spacing w:after="0" w:line="240" w:lineRule="auto"/>
            </w:pPr>
          </w:p>
        </w:tc>
        <w:tc>
          <w:tcPr>
            <w:tcW w:w="2016" w:type="dxa"/>
          </w:tcPr>
          <w:p w14:paraId="1305966E" w14:textId="77777777" w:rsidR="009B0FCC" w:rsidRDefault="009B0FCC" w:rsidP="00721F16">
            <w:pPr>
              <w:keepNext/>
              <w:widowControl w:val="0"/>
              <w:spacing w:after="0" w:line="240" w:lineRule="auto"/>
            </w:pPr>
          </w:p>
        </w:tc>
      </w:tr>
      <w:tr w:rsidR="009B0FCC" w14:paraId="0B47B6C1" w14:textId="77777777" w:rsidTr="00721F16">
        <w:trPr>
          <w:cantSplit/>
        </w:trPr>
        <w:tc>
          <w:tcPr>
            <w:tcW w:w="3420" w:type="dxa"/>
          </w:tcPr>
          <w:p w14:paraId="447EC017" w14:textId="77777777" w:rsidR="009B0FCC" w:rsidRDefault="009B0FCC" w:rsidP="00721F16">
            <w:pPr>
              <w:keepNext/>
              <w:widowControl w:val="0"/>
              <w:spacing w:after="0" w:line="240" w:lineRule="auto"/>
            </w:pPr>
            <w:r>
              <w:rPr>
                <w:iCs/>
              </w:rPr>
              <w:t>Abandoned REO Properties</w:t>
            </w:r>
          </w:p>
        </w:tc>
        <w:tc>
          <w:tcPr>
            <w:tcW w:w="2016" w:type="dxa"/>
          </w:tcPr>
          <w:p w14:paraId="4D9C0B85" w14:textId="77777777" w:rsidR="009B0FCC" w:rsidRDefault="009B0FCC" w:rsidP="00721F16">
            <w:pPr>
              <w:keepNext/>
              <w:widowControl w:val="0"/>
              <w:spacing w:after="0" w:line="240" w:lineRule="auto"/>
            </w:pPr>
          </w:p>
        </w:tc>
        <w:tc>
          <w:tcPr>
            <w:tcW w:w="2016" w:type="dxa"/>
          </w:tcPr>
          <w:p w14:paraId="7672CCFF" w14:textId="77777777" w:rsidR="009B0FCC" w:rsidRDefault="009B0FCC" w:rsidP="00721F16">
            <w:pPr>
              <w:keepNext/>
              <w:widowControl w:val="0"/>
              <w:spacing w:after="0" w:line="240" w:lineRule="auto"/>
            </w:pPr>
          </w:p>
        </w:tc>
        <w:tc>
          <w:tcPr>
            <w:tcW w:w="2016" w:type="dxa"/>
          </w:tcPr>
          <w:p w14:paraId="2D2F511E" w14:textId="77777777" w:rsidR="009B0FCC" w:rsidRDefault="009B0FCC" w:rsidP="00721F16">
            <w:pPr>
              <w:keepNext/>
              <w:widowControl w:val="0"/>
              <w:spacing w:after="0" w:line="240" w:lineRule="auto"/>
            </w:pPr>
          </w:p>
        </w:tc>
      </w:tr>
    </w:tbl>
    <w:p w14:paraId="593ACF32" w14:textId="134AC2EB" w:rsidR="009B0FCC" w:rsidRDefault="009B0FCC" w:rsidP="787E070B">
      <w:pPr>
        <w:pStyle w:val="Caption"/>
        <w:jc w:val="center"/>
        <w:rPr>
          <w:rFonts w:asciiTheme="minorHAnsi" w:hAnsiTheme="minorHAnsi"/>
        </w:rPr>
      </w:pPr>
      <w:r w:rsidRPr="787E070B">
        <w:rPr>
          <w:rFonts w:asciiTheme="minorHAnsi" w:hAnsiTheme="minorHAnsi"/>
        </w:rPr>
        <w:t xml:space="preserve">Table </w:t>
      </w:r>
      <w:r w:rsidRPr="787E070B">
        <w:rPr>
          <w:rFonts w:asciiTheme="minorHAnsi" w:hAnsiTheme="minorHAnsi"/>
        </w:rPr>
        <w:fldChar w:fldCharType="begin"/>
      </w:r>
      <w:r w:rsidRPr="787E070B">
        <w:rPr>
          <w:rFonts w:asciiTheme="minorHAnsi" w:hAnsiTheme="minorHAnsi"/>
        </w:rPr>
        <w:instrText xml:space="preserve"> SEQ Table \* ARABIC </w:instrText>
      </w:r>
      <w:r w:rsidRPr="787E070B">
        <w:rPr>
          <w:rFonts w:asciiTheme="minorHAnsi" w:hAnsiTheme="minorHAnsi"/>
        </w:rPr>
        <w:fldChar w:fldCharType="separate"/>
      </w:r>
      <w:r w:rsidRPr="787E070B">
        <w:rPr>
          <w:rFonts w:asciiTheme="minorHAnsi" w:hAnsiTheme="minorHAnsi"/>
        </w:rPr>
        <w:t>39</w:t>
      </w:r>
      <w:r w:rsidRPr="787E070B">
        <w:rPr>
          <w:rFonts w:asciiTheme="minorHAnsi" w:hAnsiTheme="minorHAnsi"/>
        </w:rPr>
        <w:fldChar w:fldCharType="end"/>
      </w:r>
      <w:r w:rsidRPr="787E070B">
        <w:rPr>
          <w:rFonts w:asciiTheme="minorHAnsi" w:hAnsiTheme="minorHAnsi"/>
        </w:rPr>
        <w:t xml:space="preserve"> - Vacant Units</w:t>
      </w:r>
    </w:p>
    <w:p w14:paraId="6C30D3D8" w14:textId="77777777" w:rsidR="00AD228E" w:rsidRDefault="00AD228E" w:rsidP="5857EA85">
      <w:pPr>
        <w:rPr>
          <w:b/>
          <w:bCs/>
          <w:sz w:val="16"/>
          <w:szCs w:val="16"/>
        </w:rPr>
      </w:pPr>
    </w:p>
    <w:p w14:paraId="4579C8D0" w14:textId="77777777" w:rsidR="009B0FCC" w:rsidRDefault="009B0FCC" w:rsidP="009B0FCC">
      <w:pPr>
        <w:rPr>
          <w:b/>
          <w:sz w:val="24"/>
          <w:szCs w:val="24"/>
        </w:rPr>
      </w:pPr>
      <w:r w:rsidRPr="497B8E2D">
        <w:rPr>
          <w:b/>
          <w:bCs/>
          <w:sz w:val="24"/>
          <w:szCs w:val="24"/>
        </w:rPr>
        <w:t>Need for Owner and Rental Rehabilitation</w:t>
      </w:r>
    </w:p>
    <w:p w14:paraId="491C51E3" w14:textId="14525088" w:rsidR="009B0FCC" w:rsidRDefault="00263999" w:rsidP="098FA5AC">
      <w:r>
        <w:rPr>
          <w:rFonts w:cs="Calibri"/>
          <w:color w:val="000000" w:themeColor="text1"/>
          <w:sz w:val="24"/>
          <w:szCs w:val="24"/>
        </w:rPr>
        <w:t xml:space="preserve">See </w:t>
      </w:r>
      <w:r w:rsidR="00DE53B6">
        <w:rPr>
          <w:rFonts w:cs="Calibri"/>
          <w:color w:val="000000" w:themeColor="text1"/>
          <w:sz w:val="24"/>
          <w:szCs w:val="24"/>
        </w:rPr>
        <w:t>U</w:t>
      </w:r>
      <w:r>
        <w:rPr>
          <w:rFonts w:cs="Calibri"/>
          <w:color w:val="000000" w:themeColor="text1"/>
          <w:sz w:val="24"/>
          <w:szCs w:val="24"/>
        </w:rPr>
        <w:t xml:space="preserve">nique </w:t>
      </w:r>
      <w:r w:rsidR="00DE53B6">
        <w:rPr>
          <w:rFonts w:cs="Calibri"/>
          <w:color w:val="000000" w:themeColor="text1"/>
          <w:sz w:val="24"/>
          <w:szCs w:val="24"/>
        </w:rPr>
        <w:t>A</w:t>
      </w:r>
      <w:r>
        <w:rPr>
          <w:rFonts w:cs="Calibri"/>
          <w:color w:val="000000" w:themeColor="text1"/>
          <w:sz w:val="24"/>
          <w:szCs w:val="24"/>
        </w:rPr>
        <w:t>ppendices</w:t>
      </w:r>
      <w:r w:rsidR="001770B0">
        <w:rPr>
          <w:rFonts w:cs="Calibri"/>
          <w:color w:val="000000" w:themeColor="text1"/>
          <w:sz w:val="24"/>
          <w:szCs w:val="24"/>
        </w:rPr>
        <w:t>.</w:t>
      </w:r>
      <w:r w:rsidR="009B0FCC">
        <w:br/>
      </w:r>
    </w:p>
    <w:p w14:paraId="5E7E59C3" w14:textId="77777777" w:rsidR="009B0FCC" w:rsidRDefault="009B0FCC" w:rsidP="009B0FCC">
      <w:pPr>
        <w:rPr>
          <w:b/>
          <w:sz w:val="24"/>
          <w:szCs w:val="24"/>
        </w:rPr>
      </w:pPr>
      <w:r w:rsidRPr="497B8E2D">
        <w:rPr>
          <w:b/>
          <w:bCs/>
          <w:sz w:val="24"/>
          <w:szCs w:val="24"/>
        </w:rPr>
        <w:t xml:space="preserve">Estimated Number of Housing Units Occupied by </w:t>
      </w:r>
      <w:proofErr w:type="gramStart"/>
      <w:r w:rsidRPr="497B8E2D">
        <w:rPr>
          <w:b/>
          <w:bCs/>
          <w:sz w:val="24"/>
          <w:szCs w:val="24"/>
        </w:rPr>
        <w:t>Low or Moderate Income</w:t>
      </w:r>
      <w:proofErr w:type="gramEnd"/>
      <w:r w:rsidRPr="497B8E2D">
        <w:rPr>
          <w:b/>
          <w:bCs/>
          <w:sz w:val="24"/>
          <w:szCs w:val="24"/>
        </w:rPr>
        <w:t xml:space="preserve"> Families with LBP Hazards</w:t>
      </w:r>
    </w:p>
    <w:p w14:paraId="3046880D" w14:textId="77777777" w:rsidR="009B0FCC" w:rsidRDefault="009B0FCC" w:rsidP="00DE53B6">
      <w:pPr>
        <w:spacing w:after="0"/>
        <w:jc w:val="both"/>
        <w:rPr>
          <w:rFonts w:cs="Calibri"/>
          <w:color w:val="000000" w:themeColor="text1"/>
          <w:sz w:val="24"/>
          <w:szCs w:val="24"/>
        </w:rPr>
      </w:pPr>
      <w:r w:rsidRPr="497B8E2D">
        <w:rPr>
          <w:rFonts w:cs="Calibri"/>
          <w:color w:val="000000" w:themeColor="text1"/>
          <w:sz w:val="24"/>
          <w:szCs w:val="24"/>
        </w:rPr>
        <w:t xml:space="preserve">Housing units built prior to 1980 may contain lead-based paint in portions of the home (window and door frames, walls, ceilings, etc.) or throughout the entire home. Housing units built before 1980 have a risk of lead-based paint hazards and should be tested in accordance with HUD standards. Map II.7 (above) shows the prevalence of homes built before 1980 in the State of Idaho. According to Table 39, there were 266,993 housing units in the State of Idaho that were built prior to 1980 and are therefore at-risk of lead-based paint hazards. 42% of all owner-occupied units and 47% of all renter-occupied units fall into this category. There were 99,825 housing units built before 1980 with children present. These risks increase as the housing units age and if the rehabilitation needs are not met. Testing for lead-based paint and the repair, if needed, is another added cost for home rehabilitation.   </w:t>
      </w:r>
    </w:p>
    <w:p w14:paraId="1CDE1804" w14:textId="77777777" w:rsidR="009B0FCC" w:rsidRDefault="009B0FCC" w:rsidP="00DE53B6">
      <w:pPr>
        <w:jc w:val="both"/>
        <w:rPr>
          <w:b/>
          <w:bCs/>
          <w:sz w:val="24"/>
          <w:szCs w:val="24"/>
        </w:rPr>
      </w:pPr>
    </w:p>
    <w:p w14:paraId="0F4C1B43" w14:textId="77777777" w:rsidR="009B0FCC" w:rsidRDefault="009B0FCC" w:rsidP="00DE53B6">
      <w:pPr>
        <w:spacing w:line="204" w:lineRule="auto"/>
        <w:jc w:val="both"/>
        <w:rPr>
          <w:b/>
          <w:sz w:val="24"/>
          <w:szCs w:val="24"/>
        </w:rPr>
      </w:pPr>
      <w:r w:rsidRPr="497B8E2D">
        <w:rPr>
          <w:b/>
          <w:bCs/>
          <w:sz w:val="24"/>
          <w:szCs w:val="24"/>
        </w:rPr>
        <w:t xml:space="preserve">Discussion: </w:t>
      </w:r>
    </w:p>
    <w:p w14:paraId="75BE8997" w14:textId="77777777" w:rsidR="009B0FCC" w:rsidRDefault="009B0FCC" w:rsidP="00DE53B6">
      <w:pPr>
        <w:spacing w:after="0"/>
        <w:jc w:val="both"/>
        <w:rPr>
          <w:rFonts w:cs="Calibri"/>
          <w:color w:val="000000" w:themeColor="text1"/>
          <w:sz w:val="24"/>
          <w:szCs w:val="24"/>
        </w:rPr>
      </w:pPr>
      <w:r w:rsidRPr="71C51053">
        <w:rPr>
          <w:rFonts w:cs="Calibri"/>
          <w:color w:val="000000" w:themeColor="text1"/>
          <w:sz w:val="24"/>
          <w:szCs w:val="24"/>
        </w:rPr>
        <w:t xml:space="preserve">The counties of Butte, Lewis, and Shoshone all have over 70% of their housing units being built prior to 1980 which increases the risk of lead-based paint hazards and the possibility of substandard conditions. As of 2022, nearly one half of renter households experience one or more housing conditions. The vacancy rate in Idaho is low at 1.31% - 0.96% of residential units and 4.34% of business units were vacant as of the 2nd quarter of 2024 (according to </w:t>
      </w:r>
      <w:proofErr w:type="spellStart"/>
      <w:r w:rsidRPr="71C51053">
        <w:rPr>
          <w:rFonts w:cs="Calibri"/>
          <w:color w:val="000000" w:themeColor="text1"/>
          <w:sz w:val="24"/>
          <w:szCs w:val="24"/>
        </w:rPr>
        <w:t>Valassis</w:t>
      </w:r>
      <w:proofErr w:type="spellEnd"/>
      <w:r w:rsidRPr="71C51053">
        <w:rPr>
          <w:rFonts w:cs="Calibri"/>
          <w:color w:val="000000" w:themeColor="text1"/>
          <w:sz w:val="24"/>
          <w:szCs w:val="24"/>
        </w:rPr>
        <w:t xml:space="preserve"> Lists).</w:t>
      </w:r>
    </w:p>
    <w:p w14:paraId="3F69B0DE" w14:textId="77777777" w:rsidR="00C157B9" w:rsidRPr="00B45EB1" w:rsidRDefault="00C157B9" w:rsidP="00DE53B6">
      <w:pPr>
        <w:spacing w:after="0"/>
        <w:jc w:val="both"/>
        <w:rPr>
          <w:rFonts w:cs="Calibri"/>
          <w:color w:val="000000" w:themeColor="text1"/>
          <w:sz w:val="24"/>
          <w:szCs w:val="24"/>
        </w:rPr>
      </w:pPr>
    </w:p>
    <w:p w14:paraId="2F1A7704" w14:textId="38CF924B" w:rsidR="6E19E7F2" w:rsidRDefault="6E19E7F2" w:rsidP="00DE53B6">
      <w:pPr>
        <w:spacing w:after="0"/>
        <w:jc w:val="both"/>
        <w:rPr>
          <w:rFonts w:cs="Calibri"/>
          <w:color w:val="000000" w:themeColor="text1"/>
          <w:sz w:val="24"/>
          <w:szCs w:val="24"/>
        </w:rPr>
      </w:pPr>
      <w:r w:rsidRPr="71C51053">
        <w:rPr>
          <w:rFonts w:cs="Calibri"/>
          <w:color w:val="000000" w:themeColor="text1"/>
          <w:sz w:val="24"/>
          <w:szCs w:val="24"/>
        </w:rPr>
        <w:lastRenderedPageBreak/>
        <w:t>For single-family homebuyer Down Payment Assistance, IHFA will require a Lead-Based Paint Assessment on all units prior to 1978 and 1980 in Butte, Lewis, and Shoshone county if an eligible household chooses to purchase a property in one of these counties.</w:t>
      </w:r>
    </w:p>
    <w:p w14:paraId="2EF7E673" w14:textId="48F5A466" w:rsidR="71C51053" w:rsidRDefault="71C51053" w:rsidP="00DE53B6">
      <w:pPr>
        <w:spacing w:after="0"/>
        <w:jc w:val="both"/>
        <w:rPr>
          <w:rFonts w:cs="Calibri"/>
          <w:color w:val="000000" w:themeColor="text1"/>
          <w:sz w:val="24"/>
          <w:szCs w:val="24"/>
        </w:rPr>
      </w:pPr>
    </w:p>
    <w:p w14:paraId="29B16529" w14:textId="77777777" w:rsidR="009B0FCC" w:rsidRDefault="009B0FCC" w:rsidP="00DE53B6">
      <w:pPr>
        <w:jc w:val="both"/>
        <w:rPr>
          <w:rFonts w:cs="Arial"/>
        </w:rPr>
      </w:pPr>
    </w:p>
    <w:p w14:paraId="1582A0C0" w14:textId="77777777" w:rsidR="009B0FCC" w:rsidRDefault="009B0FCC" w:rsidP="009B0FCC">
      <w:pPr>
        <w:pStyle w:val="Heading2"/>
        <w:pageBreakBefore/>
        <w:rPr>
          <w:rFonts w:ascii="Calibri" w:hAnsi="Calibri"/>
          <w:i/>
        </w:rPr>
        <w:sectPr w:rsidR="009B0FCC" w:rsidSect="009B0FCC">
          <w:headerReference w:type="even" r:id="rId14"/>
          <w:headerReference w:type="default" r:id="rId15"/>
          <w:footerReference w:type="even" r:id="rId16"/>
          <w:headerReference w:type="first" r:id="rId17"/>
          <w:footerReference w:type="first" r:id="rId18"/>
          <w:pgSz w:w="12240" w:h="15840"/>
          <w:pgMar w:top="1440" w:right="1440" w:bottom="1440" w:left="1440" w:header="720" w:footer="720" w:gutter="0"/>
          <w:cols w:space="720"/>
          <w:docGrid w:linePitch="360"/>
        </w:sectPr>
      </w:pPr>
    </w:p>
    <w:p w14:paraId="4F5DAAD5" w14:textId="77777777" w:rsidR="009B0FCC" w:rsidRDefault="009B0FCC" w:rsidP="009B0FCC">
      <w:pPr>
        <w:pStyle w:val="Heading2"/>
        <w:pageBreakBefore/>
        <w:rPr>
          <w:rFonts w:ascii="Calibri" w:hAnsi="Calibri"/>
          <w:i/>
        </w:rPr>
      </w:pPr>
      <w:bookmarkStart w:id="38" w:name="_Toc194673850"/>
      <w:r>
        <w:rPr>
          <w:rFonts w:ascii="Calibri" w:hAnsi="Calibri"/>
        </w:rPr>
        <w:lastRenderedPageBreak/>
        <w:t>MA-25 Public and Assisted Housing – (Optional)</w:t>
      </w:r>
      <w:bookmarkEnd w:id="38"/>
    </w:p>
    <w:p w14:paraId="576F9959" w14:textId="77777777" w:rsidR="009B0FCC" w:rsidRDefault="009B0FCC" w:rsidP="009B0FCC">
      <w:pPr>
        <w:spacing w:line="204" w:lineRule="auto"/>
        <w:rPr>
          <w:b/>
          <w:sz w:val="24"/>
          <w:szCs w:val="24"/>
        </w:rPr>
      </w:pPr>
      <w:r w:rsidRPr="497B8E2D">
        <w:rPr>
          <w:b/>
          <w:bCs/>
          <w:sz w:val="24"/>
          <w:szCs w:val="24"/>
        </w:rPr>
        <w:t xml:space="preserve">Introduction: </w:t>
      </w:r>
    </w:p>
    <w:p w14:paraId="6F5AE1B7" w14:textId="16D4E21D" w:rsidR="009B0FCC" w:rsidRPr="00C157B9" w:rsidRDefault="009B0FCC" w:rsidP="00DE53B6">
      <w:pPr>
        <w:jc w:val="both"/>
        <w:rPr>
          <w:rFonts w:asciiTheme="minorHAnsi" w:hAnsiTheme="minorHAnsi" w:cstheme="minorHAnsi"/>
          <w:sz w:val="24"/>
          <w:szCs w:val="24"/>
        </w:rPr>
      </w:pPr>
      <w:r w:rsidRPr="00C157B9">
        <w:rPr>
          <w:rFonts w:asciiTheme="minorHAnsi" w:hAnsiTheme="minorHAnsi" w:cstheme="minorHAnsi"/>
          <w:sz w:val="24"/>
          <w:szCs w:val="24"/>
        </w:rPr>
        <w:t>Idaho Housing and Finance</w:t>
      </w:r>
      <w:r w:rsidR="6EDC0E0F" w:rsidRPr="00C157B9">
        <w:rPr>
          <w:rFonts w:asciiTheme="minorHAnsi" w:hAnsiTheme="minorHAnsi" w:cstheme="minorHAnsi"/>
          <w:sz w:val="24"/>
          <w:szCs w:val="24"/>
        </w:rPr>
        <w:t xml:space="preserve"> Association</w:t>
      </w:r>
      <w:r w:rsidRPr="00C157B9">
        <w:rPr>
          <w:rFonts w:asciiTheme="minorHAnsi" w:hAnsiTheme="minorHAnsi" w:cstheme="minorHAnsi"/>
          <w:sz w:val="24"/>
          <w:szCs w:val="24"/>
        </w:rPr>
        <w:t xml:space="preserve"> </w:t>
      </w:r>
      <w:r w:rsidR="00DE53B6">
        <w:rPr>
          <w:rFonts w:asciiTheme="minorHAnsi" w:hAnsiTheme="minorHAnsi" w:cstheme="minorHAnsi"/>
          <w:sz w:val="24"/>
          <w:szCs w:val="24"/>
        </w:rPr>
        <w:t xml:space="preserve">(IHFA) </w:t>
      </w:r>
      <w:r w:rsidRPr="00C157B9">
        <w:rPr>
          <w:rFonts w:asciiTheme="minorHAnsi" w:hAnsiTheme="minorHAnsi" w:cstheme="minorHAnsi"/>
          <w:sz w:val="24"/>
          <w:szCs w:val="24"/>
        </w:rPr>
        <w:t xml:space="preserve">administers HUD's Section 8 Housing Choice Voucher program in 34 of 44 counties in Idaho through </w:t>
      </w:r>
      <w:r w:rsidR="1B2F800A" w:rsidRPr="00C157B9">
        <w:rPr>
          <w:rFonts w:asciiTheme="minorHAnsi" w:hAnsiTheme="minorHAnsi" w:cstheme="minorHAnsi"/>
          <w:sz w:val="24"/>
          <w:szCs w:val="24"/>
        </w:rPr>
        <w:t>four (</w:t>
      </w:r>
      <w:r w:rsidRPr="00C157B9">
        <w:rPr>
          <w:rFonts w:asciiTheme="minorHAnsi" w:hAnsiTheme="minorHAnsi" w:cstheme="minorHAnsi"/>
          <w:sz w:val="24"/>
          <w:szCs w:val="24"/>
        </w:rPr>
        <w:t>4</w:t>
      </w:r>
      <w:r w:rsidR="1BA65845" w:rsidRPr="00C157B9">
        <w:rPr>
          <w:rFonts w:asciiTheme="minorHAnsi" w:hAnsiTheme="minorHAnsi" w:cstheme="minorHAnsi"/>
          <w:sz w:val="24"/>
          <w:szCs w:val="24"/>
        </w:rPr>
        <w:t>)</w:t>
      </w:r>
      <w:r w:rsidRPr="00C157B9">
        <w:rPr>
          <w:rFonts w:asciiTheme="minorHAnsi" w:hAnsiTheme="minorHAnsi" w:cstheme="minorHAnsi"/>
          <w:sz w:val="24"/>
          <w:szCs w:val="24"/>
        </w:rPr>
        <w:t xml:space="preserve"> branch offices in Coeur d’Alene, Lewiston, Idaho Falls, and Twin Falls. Through the HCV program, IHFA also administers the Veterans Affairs Supportive Housing (VASH) voucher, the Mainstream Non-Elderly and Disabilities voucher, and other targeted programs. The HCV waiting lists can vary from 12 months to over 2 years. IHFA is one of a statewide network of public housing providers.  IHFA does not oversee any city or county public housing authorities. These local jurisdictions each have a local official governing board, which is responsible for the Public Housing Authority and all its activities.</w:t>
      </w:r>
    </w:p>
    <w:p w14:paraId="104B954F" w14:textId="7F2EDC5E" w:rsidR="49323DD8" w:rsidRPr="00C157B9" w:rsidRDefault="49323DD8" w:rsidP="00DE53B6">
      <w:pPr>
        <w:jc w:val="both"/>
        <w:rPr>
          <w:rFonts w:asciiTheme="minorHAnsi" w:hAnsiTheme="minorHAnsi" w:cstheme="minorHAnsi"/>
          <w:sz w:val="24"/>
          <w:szCs w:val="24"/>
        </w:rPr>
      </w:pPr>
      <w:r w:rsidRPr="00C157B9">
        <w:rPr>
          <w:rFonts w:asciiTheme="minorHAnsi" w:hAnsiTheme="minorHAnsi" w:cstheme="minorHAnsi"/>
          <w:sz w:val="24"/>
          <w:szCs w:val="24"/>
        </w:rPr>
        <w:t xml:space="preserve">IHFA administers the Section 8 Housing Choice Voucher program in 34 of 44 Idaho counties and encourages housing programs statewide, as IHFA is only one in a statewide network of housing providers. IHFA does not oversee any citywide or countywide Participating Jurisdictions (PJs) for public housing. These jurisdictions have local official governing boards responsible to appoint the board of a Public Housing Authority (PHA) and direct PHA activities. </w:t>
      </w:r>
    </w:p>
    <w:p w14:paraId="0C922963" w14:textId="77777777" w:rsidR="009B0FCC" w:rsidRPr="00C157B9" w:rsidRDefault="009B0FCC" w:rsidP="00DE53B6">
      <w:pPr>
        <w:jc w:val="both"/>
        <w:rPr>
          <w:rFonts w:asciiTheme="minorHAnsi" w:hAnsiTheme="minorHAnsi" w:cstheme="minorHAnsi"/>
          <w:sz w:val="24"/>
          <w:szCs w:val="24"/>
        </w:rPr>
      </w:pPr>
      <w:r w:rsidRPr="00C157B9">
        <w:rPr>
          <w:rFonts w:asciiTheme="minorHAnsi" w:hAnsiTheme="minorHAnsi" w:cstheme="minorHAnsi"/>
          <w:sz w:val="24"/>
          <w:szCs w:val="24"/>
        </w:rPr>
        <w:t>The Housing Authorities in the State of Idaho are:</w:t>
      </w:r>
    </w:p>
    <w:p w14:paraId="5E4A70D6" w14:textId="77777777" w:rsidR="009B0FCC" w:rsidRPr="00C157B9" w:rsidRDefault="009B0FCC" w:rsidP="00351170">
      <w:pPr>
        <w:pStyle w:val="ListParagraph"/>
        <w:numPr>
          <w:ilvl w:val="0"/>
          <w:numId w:val="4"/>
        </w:numPr>
        <w:rPr>
          <w:rFonts w:asciiTheme="minorHAnsi" w:hAnsiTheme="minorHAnsi" w:cstheme="minorHAnsi"/>
          <w:sz w:val="24"/>
          <w:szCs w:val="24"/>
        </w:rPr>
      </w:pPr>
      <w:r w:rsidRPr="00C157B9">
        <w:rPr>
          <w:rFonts w:asciiTheme="minorHAnsi" w:hAnsiTheme="minorHAnsi" w:cstheme="minorHAnsi"/>
          <w:sz w:val="24"/>
          <w:szCs w:val="24"/>
        </w:rPr>
        <w:t>Boise City/Ada County Housing Authority</w:t>
      </w:r>
    </w:p>
    <w:p w14:paraId="68D7B295" w14:textId="77777777" w:rsidR="009B0FCC" w:rsidRPr="00C157B9" w:rsidRDefault="009B0FCC" w:rsidP="00351170">
      <w:pPr>
        <w:pStyle w:val="ListParagraph"/>
        <w:numPr>
          <w:ilvl w:val="0"/>
          <w:numId w:val="4"/>
        </w:numPr>
        <w:rPr>
          <w:rFonts w:asciiTheme="minorHAnsi" w:hAnsiTheme="minorHAnsi" w:cstheme="minorHAnsi"/>
          <w:sz w:val="24"/>
          <w:szCs w:val="24"/>
        </w:rPr>
      </w:pPr>
      <w:r w:rsidRPr="00C157B9">
        <w:rPr>
          <w:rFonts w:asciiTheme="minorHAnsi" w:hAnsiTheme="minorHAnsi" w:cstheme="minorHAnsi"/>
          <w:sz w:val="24"/>
          <w:szCs w:val="24"/>
        </w:rPr>
        <w:t>Southwestern Idaho Cooperative Housing Authority</w:t>
      </w:r>
    </w:p>
    <w:p w14:paraId="35EAED19" w14:textId="77777777" w:rsidR="009B0FCC" w:rsidRPr="00C157B9" w:rsidRDefault="009B0FCC" w:rsidP="00351170">
      <w:pPr>
        <w:pStyle w:val="ListParagraph"/>
        <w:numPr>
          <w:ilvl w:val="0"/>
          <w:numId w:val="4"/>
        </w:numPr>
        <w:rPr>
          <w:rFonts w:asciiTheme="minorHAnsi" w:hAnsiTheme="minorHAnsi" w:cstheme="minorHAnsi"/>
          <w:sz w:val="24"/>
          <w:szCs w:val="24"/>
        </w:rPr>
      </w:pPr>
      <w:r w:rsidRPr="00C157B9">
        <w:rPr>
          <w:rFonts w:asciiTheme="minorHAnsi" w:hAnsiTheme="minorHAnsi" w:cstheme="minorHAnsi"/>
          <w:sz w:val="24"/>
          <w:szCs w:val="24"/>
        </w:rPr>
        <w:t>Nampa Housing Authority</w:t>
      </w:r>
    </w:p>
    <w:p w14:paraId="1096B24D" w14:textId="77777777" w:rsidR="009B0FCC" w:rsidRPr="00C157B9" w:rsidRDefault="009B0FCC" w:rsidP="00351170">
      <w:pPr>
        <w:pStyle w:val="ListParagraph"/>
        <w:numPr>
          <w:ilvl w:val="0"/>
          <w:numId w:val="4"/>
        </w:numPr>
        <w:rPr>
          <w:rFonts w:asciiTheme="minorHAnsi" w:hAnsiTheme="minorHAnsi" w:cstheme="minorHAnsi"/>
          <w:sz w:val="24"/>
          <w:szCs w:val="24"/>
        </w:rPr>
      </w:pPr>
      <w:r w:rsidRPr="00C157B9">
        <w:rPr>
          <w:rFonts w:asciiTheme="minorHAnsi" w:hAnsiTheme="minorHAnsi" w:cstheme="minorHAnsi"/>
          <w:sz w:val="24"/>
          <w:szCs w:val="24"/>
        </w:rPr>
        <w:t>Twin Falls Housing Authority</w:t>
      </w:r>
    </w:p>
    <w:p w14:paraId="0042DBC4" w14:textId="77777777" w:rsidR="009B0FCC" w:rsidRPr="00C157B9" w:rsidRDefault="009B0FCC" w:rsidP="00351170">
      <w:pPr>
        <w:pStyle w:val="ListParagraph"/>
        <w:numPr>
          <w:ilvl w:val="0"/>
          <w:numId w:val="4"/>
        </w:numPr>
        <w:rPr>
          <w:rFonts w:asciiTheme="minorHAnsi" w:hAnsiTheme="minorHAnsi" w:cstheme="minorHAnsi"/>
          <w:sz w:val="24"/>
          <w:szCs w:val="24"/>
        </w:rPr>
      </w:pPr>
      <w:r w:rsidRPr="00C157B9">
        <w:rPr>
          <w:rFonts w:asciiTheme="minorHAnsi" w:hAnsiTheme="minorHAnsi" w:cstheme="minorHAnsi"/>
          <w:sz w:val="24"/>
          <w:szCs w:val="24"/>
        </w:rPr>
        <w:t>Housing Authority of the City of Pocatello</w:t>
      </w:r>
    </w:p>
    <w:p w14:paraId="1FF58CA0" w14:textId="77777777" w:rsidR="009B0FCC" w:rsidRPr="00C157B9" w:rsidRDefault="009B0FCC" w:rsidP="009B0FCC">
      <w:pPr>
        <w:spacing w:line="204" w:lineRule="auto"/>
        <w:rPr>
          <w:rFonts w:asciiTheme="minorHAnsi" w:hAnsiTheme="minorHAnsi" w:cstheme="minorHAnsi"/>
          <w:b/>
          <w:bCs/>
          <w:sz w:val="24"/>
          <w:szCs w:val="24"/>
        </w:rPr>
      </w:pPr>
    </w:p>
    <w:p w14:paraId="74FE1347" w14:textId="77777777" w:rsidR="00E56E38" w:rsidRDefault="00E56E38" w:rsidP="009B0FCC">
      <w:pPr>
        <w:keepNext/>
        <w:widowControl w:val="0"/>
        <w:rPr>
          <w:rFonts w:asciiTheme="minorHAnsi" w:hAnsiTheme="minorHAnsi" w:cstheme="minorHAnsi"/>
          <w:b/>
          <w:sz w:val="24"/>
          <w:szCs w:val="24"/>
        </w:rPr>
      </w:pPr>
      <w:r>
        <w:rPr>
          <w:rFonts w:asciiTheme="minorHAnsi" w:hAnsiTheme="minorHAnsi" w:cstheme="minorHAnsi"/>
          <w:b/>
          <w:sz w:val="24"/>
          <w:szCs w:val="24"/>
        </w:rPr>
        <w:br w:type="page"/>
      </w:r>
    </w:p>
    <w:p w14:paraId="2A20A63A" w14:textId="7A1439E6" w:rsidR="009B0FCC" w:rsidRPr="00C157B9" w:rsidRDefault="009B0FCC" w:rsidP="009B0FCC">
      <w:pPr>
        <w:keepNext/>
        <w:widowControl w:val="0"/>
        <w:rPr>
          <w:rFonts w:asciiTheme="minorHAnsi" w:hAnsiTheme="minorHAnsi" w:cstheme="minorHAnsi"/>
          <w:b/>
          <w:sz w:val="24"/>
          <w:szCs w:val="24"/>
        </w:rPr>
      </w:pPr>
      <w:r w:rsidRPr="00C157B9">
        <w:rPr>
          <w:rFonts w:asciiTheme="minorHAnsi" w:hAnsiTheme="minorHAnsi" w:cstheme="minorHAnsi"/>
          <w:b/>
          <w:sz w:val="24"/>
          <w:szCs w:val="24"/>
        </w:rPr>
        <w:lastRenderedPageBreak/>
        <w:t>Totals Number of Units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1305"/>
        <w:gridCol w:w="885"/>
        <w:gridCol w:w="1068"/>
        <w:gridCol w:w="796"/>
        <w:gridCol w:w="964"/>
        <w:gridCol w:w="955"/>
        <w:gridCol w:w="1364"/>
        <w:gridCol w:w="1373"/>
        <w:gridCol w:w="1125"/>
      </w:tblGrid>
      <w:tr w:rsidR="009B0FCC" w:rsidRPr="00C157B9" w14:paraId="2A173231" w14:textId="77777777" w:rsidTr="00721F16">
        <w:trPr>
          <w:cantSplit/>
          <w:tblHeader/>
        </w:trPr>
        <w:tc>
          <w:tcPr>
            <w:tcW w:w="9576" w:type="dxa"/>
            <w:gridSpan w:val="10"/>
          </w:tcPr>
          <w:p w14:paraId="4195C79A"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Program Type</w:t>
            </w:r>
          </w:p>
        </w:tc>
      </w:tr>
      <w:tr w:rsidR="009B0FCC" w:rsidRPr="00C157B9" w14:paraId="0385D649" w14:textId="77777777" w:rsidTr="00721F16">
        <w:trPr>
          <w:cantSplit/>
          <w:tblHeader/>
        </w:trPr>
        <w:tc>
          <w:tcPr>
            <w:tcW w:w="1830" w:type="dxa"/>
            <w:vMerge w:val="restart"/>
          </w:tcPr>
          <w:p w14:paraId="56ED5412"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947" w:type="dxa"/>
            <w:vMerge w:val="restart"/>
          </w:tcPr>
          <w:p w14:paraId="69BF214F"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Certificate</w:t>
            </w:r>
          </w:p>
        </w:tc>
        <w:tc>
          <w:tcPr>
            <w:tcW w:w="745" w:type="dxa"/>
            <w:vMerge w:val="restart"/>
          </w:tcPr>
          <w:p w14:paraId="646DCDAE"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Mod-Rehab</w:t>
            </w:r>
          </w:p>
        </w:tc>
        <w:tc>
          <w:tcPr>
            <w:tcW w:w="833" w:type="dxa"/>
            <w:vMerge w:val="restart"/>
          </w:tcPr>
          <w:p w14:paraId="63788152"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Public Housing</w:t>
            </w:r>
          </w:p>
        </w:tc>
        <w:tc>
          <w:tcPr>
            <w:tcW w:w="5221" w:type="dxa"/>
            <w:gridSpan w:val="6"/>
          </w:tcPr>
          <w:p w14:paraId="21062352"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Vouchers</w:t>
            </w:r>
          </w:p>
        </w:tc>
      </w:tr>
      <w:tr w:rsidR="009B0FCC" w:rsidRPr="00C157B9" w14:paraId="107C2A87" w14:textId="77777777" w:rsidTr="00721F16">
        <w:trPr>
          <w:cantSplit/>
          <w:tblHeader/>
        </w:trPr>
        <w:tc>
          <w:tcPr>
            <w:tcW w:w="1830" w:type="dxa"/>
            <w:vMerge/>
          </w:tcPr>
          <w:p w14:paraId="407A6BA9"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947" w:type="dxa"/>
            <w:vMerge/>
          </w:tcPr>
          <w:p w14:paraId="338114A0"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745" w:type="dxa"/>
            <w:vMerge/>
          </w:tcPr>
          <w:p w14:paraId="7A011CFB"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833" w:type="dxa"/>
            <w:vMerge/>
          </w:tcPr>
          <w:p w14:paraId="17C1C7BE"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726" w:type="dxa"/>
            <w:vMerge w:val="restart"/>
          </w:tcPr>
          <w:p w14:paraId="00186F90"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Total</w:t>
            </w:r>
          </w:p>
        </w:tc>
        <w:tc>
          <w:tcPr>
            <w:tcW w:w="827" w:type="dxa"/>
            <w:vMerge w:val="restart"/>
          </w:tcPr>
          <w:p w14:paraId="447C88E1"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Project -based</w:t>
            </w:r>
          </w:p>
        </w:tc>
        <w:tc>
          <w:tcPr>
            <w:tcW w:w="822" w:type="dxa"/>
            <w:vMerge w:val="restart"/>
          </w:tcPr>
          <w:p w14:paraId="789C07F6" w14:textId="77777777" w:rsidR="009B0FCC" w:rsidRPr="00C157B9" w:rsidRDefault="009B0FCC" w:rsidP="00721F16">
            <w:pPr>
              <w:keepNext/>
              <w:widowControl w:val="0"/>
              <w:spacing w:after="0" w:line="240" w:lineRule="auto"/>
              <w:jc w:val="center"/>
              <w:rPr>
                <w:rFonts w:asciiTheme="minorHAnsi" w:hAnsiTheme="minorHAnsi" w:cstheme="minorHAnsi"/>
                <w:b/>
                <w:sz w:val="24"/>
                <w:szCs w:val="24"/>
              </w:rPr>
            </w:pPr>
            <w:r w:rsidRPr="00C157B9">
              <w:rPr>
                <w:rFonts w:asciiTheme="minorHAnsi" w:hAnsiTheme="minorHAnsi" w:cstheme="minorHAnsi"/>
                <w:b/>
                <w:sz w:val="24"/>
                <w:szCs w:val="24"/>
              </w:rPr>
              <w:t>Tenant -based</w:t>
            </w:r>
          </w:p>
          <w:p w14:paraId="14EA693F"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2846" w:type="dxa"/>
            <w:gridSpan w:val="3"/>
          </w:tcPr>
          <w:p w14:paraId="7FD4598B"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Special Purpose Voucher</w:t>
            </w:r>
          </w:p>
        </w:tc>
      </w:tr>
      <w:tr w:rsidR="009B0FCC" w:rsidRPr="00C157B9" w14:paraId="646C174E" w14:textId="77777777" w:rsidTr="00721F16">
        <w:trPr>
          <w:cantSplit/>
          <w:tblHeader/>
        </w:trPr>
        <w:tc>
          <w:tcPr>
            <w:tcW w:w="1830" w:type="dxa"/>
            <w:vMerge/>
          </w:tcPr>
          <w:p w14:paraId="0678286E"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947" w:type="dxa"/>
            <w:vMerge/>
          </w:tcPr>
          <w:p w14:paraId="4AB3BDF5"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745" w:type="dxa"/>
            <w:vMerge/>
          </w:tcPr>
          <w:p w14:paraId="6C8B2A1B"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833" w:type="dxa"/>
            <w:vMerge/>
          </w:tcPr>
          <w:p w14:paraId="31DB404D"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726" w:type="dxa"/>
            <w:vMerge/>
          </w:tcPr>
          <w:p w14:paraId="433E926E"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827" w:type="dxa"/>
            <w:vMerge/>
          </w:tcPr>
          <w:p w14:paraId="5284523D"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822" w:type="dxa"/>
            <w:vMerge/>
          </w:tcPr>
          <w:p w14:paraId="3953C48E"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p>
        </w:tc>
        <w:tc>
          <w:tcPr>
            <w:tcW w:w="1021" w:type="dxa"/>
          </w:tcPr>
          <w:p w14:paraId="5DA83F9F"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Veterans Affairs Supportive Housing</w:t>
            </w:r>
          </w:p>
        </w:tc>
        <w:tc>
          <w:tcPr>
            <w:tcW w:w="981" w:type="dxa"/>
          </w:tcPr>
          <w:p w14:paraId="1A9D8DE8"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b/>
                <w:sz w:val="24"/>
                <w:szCs w:val="24"/>
              </w:rPr>
              <w:t>Family Unification Program</w:t>
            </w:r>
          </w:p>
        </w:tc>
        <w:tc>
          <w:tcPr>
            <w:tcW w:w="844" w:type="dxa"/>
          </w:tcPr>
          <w:p w14:paraId="2959BA46" w14:textId="77777777" w:rsidR="009B0FCC" w:rsidRPr="00C157B9" w:rsidRDefault="009B0FCC" w:rsidP="00721F16">
            <w:pPr>
              <w:keepNext/>
              <w:widowControl w:val="0"/>
              <w:spacing w:after="0" w:line="240" w:lineRule="auto"/>
              <w:jc w:val="center"/>
              <w:rPr>
                <w:rFonts w:asciiTheme="minorHAnsi" w:hAnsiTheme="minorHAnsi" w:cstheme="minorHAnsi"/>
                <w:b/>
                <w:sz w:val="24"/>
                <w:szCs w:val="24"/>
              </w:rPr>
            </w:pPr>
            <w:r w:rsidRPr="00C157B9">
              <w:rPr>
                <w:rFonts w:asciiTheme="minorHAnsi" w:hAnsiTheme="minorHAnsi" w:cstheme="minorHAnsi"/>
                <w:b/>
                <w:sz w:val="24"/>
                <w:szCs w:val="24"/>
              </w:rPr>
              <w:t>Disabled</w:t>
            </w:r>
          </w:p>
          <w:p w14:paraId="724BE3B9" w14:textId="77777777" w:rsidR="009B0FCC" w:rsidRPr="00C157B9" w:rsidRDefault="009B0FCC" w:rsidP="00721F16">
            <w:pPr>
              <w:keepNext/>
              <w:widowControl w:val="0"/>
              <w:spacing w:after="0" w:line="240" w:lineRule="auto"/>
              <w:jc w:val="center"/>
              <w:rPr>
                <w:rFonts w:asciiTheme="minorHAnsi" w:hAnsiTheme="minorHAnsi" w:cstheme="minorHAnsi"/>
                <w:sz w:val="24"/>
                <w:szCs w:val="24"/>
              </w:rPr>
            </w:pPr>
            <w:r w:rsidRPr="00C157B9">
              <w:rPr>
                <w:rFonts w:asciiTheme="minorHAnsi" w:hAnsiTheme="minorHAnsi" w:cstheme="minorHAnsi"/>
                <w:sz w:val="24"/>
                <w:szCs w:val="24"/>
              </w:rPr>
              <w:t>*</w:t>
            </w:r>
          </w:p>
        </w:tc>
      </w:tr>
      <w:tr w:rsidR="009B0FCC" w:rsidRPr="00C157B9" w14:paraId="0BCF912B" w14:textId="77777777" w:rsidTr="00721F16">
        <w:trPr>
          <w:cantSplit/>
        </w:trPr>
        <w:tc>
          <w:tcPr>
            <w:tcW w:w="0" w:type="auto"/>
          </w:tcPr>
          <w:p w14:paraId="21C70925" w14:textId="77777777" w:rsidR="009B0FCC" w:rsidRPr="00C157B9" w:rsidRDefault="009B0FCC" w:rsidP="00721F16">
            <w:pPr>
              <w:spacing w:beforeAutospacing="1" w:afterAutospacing="1"/>
              <w:rPr>
                <w:rFonts w:asciiTheme="minorHAnsi" w:hAnsiTheme="minorHAnsi" w:cstheme="minorHAnsi"/>
                <w:sz w:val="24"/>
                <w:szCs w:val="24"/>
              </w:rPr>
            </w:pPr>
            <w:r w:rsidRPr="00C157B9">
              <w:rPr>
                <w:rFonts w:asciiTheme="minorHAnsi" w:hAnsiTheme="minorHAnsi" w:cstheme="minorHAnsi"/>
                <w:color w:val="000000"/>
                <w:sz w:val="24"/>
                <w:szCs w:val="24"/>
              </w:rPr>
              <w:t># of units vouchers available</w:t>
            </w:r>
          </w:p>
        </w:tc>
        <w:tc>
          <w:tcPr>
            <w:tcW w:w="0" w:type="auto"/>
            <w:vAlign w:val="bottom"/>
          </w:tcPr>
          <w:p w14:paraId="6BB682F1"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53CA41B9"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11483EE3"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76</w:t>
            </w:r>
          </w:p>
        </w:tc>
        <w:tc>
          <w:tcPr>
            <w:tcW w:w="0" w:type="auto"/>
            <w:vAlign w:val="bottom"/>
          </w:tcPr>
          <w:p w14:paraId="1BA1346D"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3,419</w:t>
            </w:r>
          </w:p>
        </w:tc>
        <w:tc>
          <w:tcPr>
            <w:tcW w:w="0" w:type="auto"/>
            <w:vAlign w:val="bottom"/>
          </w:tcPr>
          <w:p w14:paraId="126508A6"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490993FB"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0F7EEF8F"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34</w:t>
            </w:r>
          </w:p>
        </w:tc>
        <w:tc>
          <w:tcPr>
            <w:tcW w:w="0" w:type="auto"/>
            <w:vAlign w:val="bottom"/>
          </w:tcPr>
          <w:p w14:paraId="13B8FF98"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0</w:t>
            </w:r>
          </w:p>
        </w:tc>
        <w:tc>
          <w:tcPr>
            <w:tcW w:w="0" w:type="auto"/>
            <w:vAlign w:val="bottom"/>
          </w:tcPr>
          <w:p w14:paraId="3B321800"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945</w:t>
            </w:r>
          </w:p>
        </w:tc>
      </w:tr>
      <w:tr w:rsidR="009B0FCC" w:rsidRPr="00C157B9" w14:paraId="3BF3FD7E" w14:textId="77777777" w:rsidTr="00721F16">
        <w:trPr>
          <w:cantSplit/>
        </w:trPr>
        <w:tc>
          <w:tcPr>
            <w:tcW w:w="0" w:type="auto"/>
          </w:tcPr>
          <w:p w14:paraId="3500D7F1" w14:textId="77777777" w:rsidR="009B0FCC" w:rsidRPr="00C157B9" w:rsidRDefault="009B0FCC" w:rsidP="00721F16">
            <w:pPr>
              <w:spacing w:beforeAutospacing="1" w:afterAutospacing="1"/>
              <w:rPr>
                <w:rFonts w:asciiTheme="minorHAnsi" w:hAnsiTheme="minorHAnsi" w:cstheme="minorHAnsi"/>
                <w:sz w:val="24"/>
                <w:szCs w:val="24"/>
              </w:rPr>
            </w:pPr>
            <w:r w:rsidRPr="00C157B9">
              <w:rPr>
                <w:rFonts w:asciiTheme="minorHAnsi" w:hAnsiTheme="minorHAnsi" w:cstheme="minorHAnsi"/>
                <w:color w:val="000000"/>
                <w:sz w:val="24"/>
                <w:szCs w:val="24"/>
              </w:rPr>
              <w:t># of accessible units</w:t>
            </w:r>
          </w:p>
        </w:tc>
        <w:tc>
          <w:tcPr>
            <w:tcW w:w="0" w:type="auto"/>
            <w:vAlign w:val="bottom"/>
          </w:tcPr>
          <w:p w14:paraId="7C6910AA"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65B13AF9"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5B304DFA"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672C62C2"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2CD59EBE"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1A37B8F1"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66BEA7D3"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3B394549"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c>
          <w:tcPr>
            <w:tcW w:w="0" w:type="auto"/>
            <w:vAlign w:val="bottom"/>
          </w:tcPr>
          <w:p w14:paraId="1F23D01F" w14:textId="77777777" w:rsidR="009B0FCC" w:rsidRPr="00C157B9" w:rsidRDefault="009B0FCC" w:rsidP="00721F16">
            <w:pPr>
              <w:spacing w:beforeAutospacing="1" w:afterAutospacing="1"/>
              <w:jc w:val="right"/>
              <w:rPr>
                <w:rFonts w:asciiTheme="minorHAnsi" w:hAnsiTheme="minorHAnsi" w:cstheme="minorHAnsi"/>
                <w:sz w:val="24"/>
                <w:szCs w:val="24"/>
              </w:rPr>
            </w:pPr>
            <w:r w:rsidRPr="00C157B9">
              <w:rPr>
                <w:rFonts w:asciiTheme="minorHAnsi" w:hAnsiTheme="minorHAnsi" w:cstheme="minorHAnsi"/>
                <w:color w:val="000000"/>
                <w:sz w:val="24"/>
                <w:szCs w:val="24"/>
              </w:rPr>
              <w:t xml:space="preserve"> </w:t>
            </w:r>
          </w:p>
        </w:tc>
      </w:tr>
    </w:tbl>
    <w:p w14:paraId="1A50A883" w14:textId="77777777" w:rsidR="009B0FCC" w:rsidRPr="00C157B9" w:rsidRDefault="009B0FCC" w:rsidP="009B0FCC">
      <w:pPr>
        <w:keepNext/>
        <w:widowControl w:val="0"/>
        <w:rPr>
          <w:rFonts w:asciiTheme="minorHAnsi" w:hAnsiTheme="minorHAnsi" w:cstheme="minorHAnsi"/>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9B0FCC" w:rsidRPr="00C157B9" w14:paraId="511E3775" w14:textId="77777777" w:rsidTr="00721F16">
        <w:tc>
          <w:tcPr>
            <w:tcW w:w="13176" w:type="dxa"/>
          </w:tcPr>
          <w:p w14:paraId="235D65FC" w14:textId="77777777" w:rsidR="009B0FCC" w:rsidRPr="00C157B9" w:rsidRDefault="009B0FCC" w:rsidP="00721F16">
            <w:pPr>
              <w:keepNext/>
              <w:widowControl w:val="0"/>
              <w:spacing w:after="0" w:line="240" w:lineRule="auto"/>
              <w:rPr>
                <w:rFonts w:asciiTheme="minorHAnsi" w:hAnsiTheme="minorHAnsi" w:cstheme="minorHAnsi"/>
                <w:b/>
                <w:sz w:val="24"/>
                <w:szCs w:val="24"/>
              </w:rPr>
            </w:pPr>
            <w:r w:rsidRPr="00C157B9">
              <w:rPr>
                <w:rFonts w:asciiTheme="minorHAnsi" w:hAnsiTheme="minorHAnsi" w:cstheme="minorHAnsi"/>
                <w:b/>
                <w:sz w:val="24"/>
                <w:szCs w:val="24"/>
              </w:rPr>
              <w:t>*</w:t>
            </w:r>
            <w:proofErr w:type="gramStart"/>
            <w:r w:rsidRPr="00C157B9">
              <w:rPr>
                <w:rFonts w:asciiTheme="minorHAnsi" w:hAnsiTheme="minorHAnsi" w:cstheme="minorHAnsi"/>
                <w:b/>
                <w:sz w:val="24"/>
                <w:szCs w:val="24"/>
              </w:rPr>
              <w:t>includes</w:t>
            </w:r>
            <w:proofErr w:type="gramEnd"/>
            <w:r w:rsidRPr="00C157B9">
              <w:rPr>
                <w:rFonts w:asciiTheme="minorHAnsi" w:hAnsiTheme="minorHAnsi" w:cstheme="minorHAnsi"/>
                <w:b/>
                <w:sz w:val="24"/>
                <w:szCs w:val="24"/>
              </w:rPr>
              <w:t xml:space="preserve"> Non-Elderly Disabled, Mainstream One-Year, Mainstream Five-year, and Nursing Home Transition</w:t>
            </w:r>
          </w:p>
        </w:tc>
      </w:tr>
    </w:tbl>
    <w:p w14:paraId="0F426537" w14:textId="77777777" w:rsidR="009B0FCC" w:rsidRPr="00C157B9" w:rsidRDefault="009B0FCC" w:rsidP="009B0FCC">
      <w:pPr>
        <w:pStyle w:val="Caption"/>
        <w:jc w:val="center"/>
        <w:rPr>
          <w:rFonts w:asciiTheme="minorHAnsi" w:hAnsiTheme="minorHAnsi" w:cstheme="minorHAnsi"/>
          <w:sz w:val="24"/>
          <w:szCs w:val="24"/>
        </w:rPr>
      </w:pPr>
      <w:r w:rsidRPr="00C157B9">
        <w:rPr>
          <w:rFonts w:asciiTheme="minorHAnsi" w:hAnsiTheme="minorHAnsi" w:cstheme="minorHAnsi"/>
          <w:sz w:val="24"/>
          <w:szCs w:val="24"/>
        </w:rPr>
        <w:t xml:space="preserve">Table </w:t>
      </w:r>
      <w:r w:rsidRPr="00C157B9">
        <w:rPr>
          <w:rFonts w:asciiTheme="minorHAnsi" w:hAnsiTheme="minorHAnsi" w:cstheme="minorHAnsi"/>
          <w:sz w:val="24"/>
          <w:szCs w:val="24"/>
        </w:rPr>
        <w:fldChar w:fldCharType="begin"/>
      </w:r>
      <w:r w:rsidRPr="00C157B9">
        <w:rPr>
          <w:rFonts w:asciiTheme="minorHAnsi" w:hAnsiTheme="minorHAnsi" w:cstheme="minorHAnsi"/>
          <w:sz w:val="24"/>
          <w:szCs w:val="24"/>
        </w:rPr>
        <w:instrText xml:space="preserve"> SEQ Table \* ARABIC </w:instrText>
      </w:r>
      <w:r w:rsidRPr="00C157B9">
        <w:rPr>
          <w:rFonts w:asciiTheme="minorHAnsi" w:hAnsiTheme="minorHAnsi" w:cstheme="minorHAnsi"/>
          <w:sz w:val="24"/>
          <w:szCs w:val="24"/>
        </w:rPr>
        <w:fldChar w:fldCharType="separate"/>
      </w:r>
      <w:r w:rsidRPr="00C157B9">
        <w:rPr>
          <w:rFonts w:asciiTheme="minorHAnsi" w:hAnsiTheme="minorHAnsi" w:cstheme="minorHAnsi"/>
          <w:sz w:val="24"/>
          <w:szCs w:val="24"/>
        </w:rPr>
        <w:t>40</w:t>
      </w:r>
      <w:r w:rsidRPr="00C157B9">
        <w:rPr>
          <w:rFonts w:asciiTheme="minorHAnsi" w:hAnsiTheme="minorHAnsi" w:cstheme="minorHAnsi"/>
          <w:sz w:val="24"/>
          <w:szCs w:val="24"/>
        </w:rPr>
        <w:fldChar w:fldCharType="end"/>
      </w:r>
      <w:r w:rsidRPr="00C157B9">
        <w:rPr>
          <w:rFonts w:asciiTheme="minorHAnsi" w:hAnsiTheme="minorHAnsi" w:cstheme="minorHAnsi"/>
          <w:sz w:val="24"/>
          <w:szCs w:val="24"/>
        </w:rPr>
        <w:t xml:space="preserve"> – Total Number of Units by Program Type</w:t>
      </w:r>
    </w:p>
    <w:tbl>
      <w:tblPr>
        <w:tblW w:w="5000" w:type="pct"/>
        <w:tblInd w:w="115" w:type="dxa"/>
        <w:tblLook w:val="01E0" w:firstRow="1" w:lastRow="1" w:firstColumn="1" w:lastColumn="1" w:noHBand="0" w:noVBand="0"/>
      </w:tblPr>
      <w:tblGrid>
        <w:gridCol w:w="1071"/>
        <w:gridCol w:w="11889"/>
      </w:tblGrid>
      <w:tr w:rsidR="009B0FCC" w:rsidRPr="00C157B9" w14:paraId="653AB39C" w14:textId="77777777" w:rsidTr="00721F16">
        <w:trPr>
          <w:cantSplit/>
        </w:trPr>
        <w:tc>
          <w:tcPr>
            <w:tcW w:w="1073" w:type="dxa"/>
          </w:tcPr>
          <w:p w14:paraId="01319D11" w14:textId="77777777" w:rsidR="009B0FCC" w:rsidRPr="00C157B9" w:rsidRDefault="009B0FCC" w:rsidP="00721F16">
            <w:pPr>
              <w:spacing w:after="0" w:line="240" w:lineRule="auto"/>
              <w:rPr>
                <w:rFonts w:asciiTheme="minorHAnsi" w:hAnsiTheme="minorHAnsi" w:cstheme="minorHAnsi"/>
                <w:sz w:val="24"/>
                <w:szCs w:val="24"/>
              </w:rPr>
            </w:pPr>
            <w:r w:rsidRPr="00C157B9">
              <w:rPr>
                <w:rFonts w:asciiTheme="minorHAnsi" w:hAnsiTheme="minorHAnsi" w:cstheme="minorHAnsi"/>
                <w:b/>
                <w:bCs/>
                <w:sz w:val="24"/>
                <w:szCs w:val="24"/>
              </w:rPr>
              <w:t>Data Source:</w:t>
            </w:r>
          </w:p>
        </w:tc>
        <w:tc>
          <w:tcPr>
            <w:tcW w:w="12103" w:type="dxa"/>
          </w:tcPr>
          <w:p w14:paraId="67633D7C" w14:textId="77777777" w:rsidR="009B0FCC" w:rsidRPr="00C157B9" w:rsidRDefault="009B0FCC" w:rsidP="00721F16">
            <w:pPr>
              <w:spacing w:beforeAutospacing="1" w:afterAutospacing="1"/>
              <w:rPr>
                <w:rFonts w:asciiTheme="minorHAnsi" w:hAnsiTheme="minorHAnsi" w:cstheme="minorHAnsi"/>
                <w:sz w:val="24"/>
                <w:szCs w:val="24"/>
              </w:rPr>
            </w:pPr>
            <w:r w:rsidRPr="00C157B9">
              <w:rPr>
                <w:rFonts w:asciiTheme="minorHAnsi" w:hAnsiTheme="minorHAnsi" w:cstheme="minorHAnsi"/>
                <w:sz w:val="24"/>
                <w:szCs w:val="24"/>
              </w:rPr>
              <w:t>PIC (PIH Information Center)</w:t>
            </w:r>
          </w:p>
        </w:tc>
      </w:tr>
    </w:tbl>
    <w:p w14:paraId="18094CC1" w14:textId="77777777" w:rsidR="009B0FCC" w:rsidRPr="00C157B9" w:rsidRDefault="009B0FCC" w:rsidP="009B0FCC">
      <w:pPr>
        <w:keepNext/>
        <w:widowControl w:val="0"/>
        <w:spacing w:after="0" w:line="240" w:lineRule="auto"/>
        <w:jc w:val="center"/>
        <w:rPr>
          <w:rFonts w:asciiTheme="minorHAnsi" w:hAnsiTheme="minorHAnsi" w:cstheme="minorHAnsi"/>
          <w:b/>
          <w:bCs/>
          <w:vanish/>
          <w:sz w:val="24"/>
          <w:szCs w:val="24"/>
        </w:rPr>
      </w:pPr>
    </w:p>
    <w:p w14:paraId="37D23CDD" w14:textId="77777777" w:rsidR="009B0FCC" w:rsidRPr="00C157B9" w:rsidRDefault="009B0FCC" w:rsidP="009B0FCC">
      <w:pPr>
        <w:rPr>
          <w:rFonts w:asciiTheme="minorHAnsi" w:hAnsiTheme="minorHAnsi" w:cstheme="minorHAnsi"/>
          <w:b/>
          <w:bCs/>
          <w:vanish/>
          <w:sz w:val="24"/>
          <w:szCs w:val="24"/>
        </w:rPr>
      </w:pPr>
    </w:p>
    <w:p w14:paraId="1775BF55" w14:textId="77777777" w:rsidR="009B0FCC" w:rsidRPr="00C157B9" w:rsidRDefault="009B0FCC" w:rsidP="009B0FCC">
      <w:pPr>
        <w:rPr>
          <w:rFonts w:asciiTheme="minorHAnsi" w:hAnsiTheme="minorHAnsi" w:cstheme="minorHAnsi"/>
          <w:sz w:val="24"/>
          <w:szCs w:val="24"/>
        </w:rPr>
      </w:pPr>
    </w:p>
    <w:p w14:paraId="3AF07036" w14:textId="77777777" w:rsidR="00E56E38" w:rsidRDefault="00E56E38" w:rsidP="009B0FCC">
      <w:pPr>
        <w:rPr>
          <w:rFonts w:asciiTheme="minorHAnsi" w:hAnsiTheme="minorHAnsi" w:cstheme="minorHAnsi"/>
          <w:b/>
          <w:bCs/>
          <w:sz w:val="24"/>
          <w:szCs w:val="24"/>
        </w:rPr>
      </w:pPr>
      <w:r>
        <w:rPr>
          <w:rFonts w:asciiTheme="minorHAnsi" w:hAnsiTheme="minorHAnsi" w:cstheme="minorHAnsi"/>
          <w:b/>
          <w:bCs/>
          <w:sz w:val="24"/>
          <w:szCs w:val="24"/>
        </w:rPr>
        <w:br w:type="page"/>
      </w:r>
    </w:p>
    <w:p w14:paraId="1B39D994" w14:textId="11AD2851" w:rsidR="009B0FCC" w:rsidRPr="00C157B9" w:rsidRDefault="009B0FCC" w:rsidP="009B0FCC">
      <w:pPr>
        <w:rPr>
          <w:rFonts w:asciiTheme="minorHAnsi" w:hAnsiTheme="minorHAnsi" w:cstheme="minorHAnsi"/>
          <w:b/>
          <w:bCs/>
          <w:sz w:val="24"/>
          <w:szCs w:val="24"/>
        </w:rPr>
      </w:pPr>
      <w:r w:rsidRPr="00C157B9">
        <w:rPr>
          <w:rFonts w:asciiTheme="minorHAnsi" w:hAnsiTheme="minorHAnsi" w:cstheme="minorHAnsi"/>
          <w:b/>
          <w:bCs/>
          <w:sz w:val="24"/>
          <w:szCs w:val="24"/>
        </w:rPr>
        <w:lastRenderedPageBreak/>
        <w:t>Describe the supply of public housing developments:</w:t>
      </w:r>
    </w:p>
    <w:p w14:paraId="0259EBA7" w14:textId="6C7770E7" w:rsidR="00395532" w:rsidRPr="00C157B9" w:rsidRDefault="00395532" w:rsidP="00395532">
      <w:pPr>
        <w:spacing w:beforeAutospacing="1" w:afterAutospacing="1"/>
        <w:rPr>
          <w:rFonts w:asciiTheme="minorHAnsi" w:hAnsiTheme="minorHAnsi" w:cstheme="minorBidi"/>
          <w:sz w:val="24"/>
          <w:szCs w:val="24"/>
        </w:rPr>
      </w:pPr>
      <w:r w:rsidRPr="098FA5AC">
        <w:rPr>
          <w:rFonts w:asciiTheme="minorHAnsi" w:hAnsiTheme="minorHAnsi" w:cstheme="minorBidi"/>
          <w:sz w:val="24"/>
          <w:szCs w:val="24"/>
        </w:rPr>
        <w:t xml:space="preserve">State response </w:t>
      </w:r>
      <w:r w:rsidR="3274244E" w:rsidRPr="098FA5AC">
        <w:rPr>
          <w:rFonts w:asciiTheme="minorHAnsi" w:hAnsiTheme="minorHAnsi" w:cstheme="minorBidi"/>
          <w:sz w:val="24"/>
          <w:szCs w:val="24"/>
        </w:rPr>
        <w:t>is</w:t>
      </w:r>
      <w:r w:rsidR="5F6E859A" w:rsidRPr="098FA5AC">
        <w:rPr>
          <w:rFonts w:asciiTheme="minorHAnsi" w:hAnsiTheme="minorHAnsi" w:cstheme="minorBidi"/>
          <w:sz w:val="24"/>
          <w:szCs w:val="24"/>
        </w:rPr>
        <w:t xml:space="preserve"> </w:t>
      </w:r>
      <w:r w:rsidRPr="098FA5AC">
        <w:rPr>
          <w:rFonts w:asciiTheme="minorHAnsi" w:hAnsiTheme="minorHAnsi" w:cstheme="minorBidi"/>
          <w:sz w:val="24"/>
          <w:szCs w:val="24"/>
        </w:rPr>
        <w:t>not required</w:t>
      </w:r>
      <w:r w:rsidR="00DE53B6">
        <w:rPr>
          <w:rFonts w:asciiTheme="minorHAnsi" w:hAnsiTheme="minorHAnsi" w:cstheme="minorBidi"/>
          <w:sz w:val="24"/>
          <w:szCs w:val="24"/>
        </w:rPr>
        <w:t>.</w:t>
      </w:r>
    </w:p>
    <w:p w14:paraId="155CB100" w14:textId="77777777" w:rsidR="009B0FCC" w:rsidRPr="00C157B9" w:rsidRDefault="009B0FCC" w:rsidP="009B0FCC">
      <w:pPr>
        <w:rPr>
          <w:rFonts w:asciiTheme="minorHAnsi" w:hAnsiTheme="minorHAnsi" w:cstheme="minorHAnsi"/>
          <w:b/>
          <w:sz w:val="24"/>
          <w:szCs w:val="24"/>
        </w:rPr>
      </w:pPr>
      <w:r w:rsidRPr="00C157B9">
        <w:rPr>
          <w:rFonts w:asciiTheme="minorHAnsi" w:hAnsiTheme="minorHAnsi" w:cstheme="minorHAnsi"/>
          <w:b/>
          <w:sz w:val="24"/>
          <w:szCs w:val="24"/>
        </w:rPr>
        <w:t>Describe the number and physical condition of public housing units in the jurisdiction, including those that are participating in an approved Public Housing Agency Plan:</w:t>
      </w:r>
    </w:p>
    <w:p w14:paraId="663763D7" w14:textId="28FEA884" w:rsidR="00395532" w:rsidRPr="00C157B9" w:rsidRDefault="00395532" w:rsidP="00395532">
      <w:pPr>
        <w:spacing w:beforeAutospacing="1" w:afterAutospacing="1"/>
        <w:rPr>
          <w:rFonts w:asciiTheme="minorHAnsi" w:hAnsiTheme="minorHAnsi" w:cstheme="minorBidi"/>
          <w:sz w:val="24"/>
          <w:szCs w:val="24"/>
        </w:rPr>
      </w:pPr>
      <w:r w:rsidRPr="098FA5AC">
        <w:rPr>
          <w:rFonts w:asciiTheme="minorHAnsi" w:hAnsiTheme="minorHAnsi" w:cstheme="minorBidi"/>
          <w:sz w:val="24"/>
          <w:szCs w:val="24"/>
        </w:rPr>
        <w:t xml:space="preserve">State response </w:t>
      </w:r>
      <w:r w:rsidR="37B17274" w:rsidRPr="098FA5AC">
        <w:rPr>
          <w:rFonts w:asciiTheme="minorHAnsi" w:hAnsiTheme="minorHAnsi" w:cstheme="minorBidi"/>
          <w:sz w:val="24"/>
          <w:szCs w:val="24"/>
        </w:rPr>
        <w:t xml:space="preserve">is </w:t>
      </w:r>
      <w:r w:rsidRPr="098FA5AC">
        <w:rPr>
          <w:rFonts w:asciiTheme="minorHAnsi" w:hAnsiTheme="minorHAnsi" w:cstheme="minorBidi"/>
          <w:sz w:val="24"/>
          <w:szCs w:val="24"/>
        </w:rPr>
        <w:t>not required</w:t>
      </w:r>
      <w:r w:rsidR="00DE53B6">
        <w:rPr>
          <w:rFonts w:asciiTheme="minorHAnsi" w:hAnsiTheme="minorHAnsi" w:cstheme="minorBidi"/>
          <w:sz w:val="24"/>
          <w:szCs w:val="24"/>
        </w:rPr>
        <w:t>.</w:t>
      </w:r>
    </w:p>
    <w:p w14:paraId="1FFF0340" w14:textId="77777777" w:rsidR="009B0FCC" w:rsidRPr="00C157B9" w:rsidRDefault="009B0FCC" w:rsidP="009B0FCC">
      <w:pPr>
        <w:rPr>
          <w:rFonts w:asciiTheme="minorHAnsi" w:hAnsiTheme="minorHAnsi" w:cstheme="minorHAnsi"/>
          <w:b/>
          <w:sz w:val="24"/>
          <w:szCs w:val="24"/>
        </w:rPr>
      </w:pPr>
      <w:r w:rsidRPr="00C157B9">
        <w:rPr>
          <w:rFonts w:asciiTheme="minorHAnsi" w:hAnsiTheme="minorHAnsi" w:cstheme="minorHAnsi"/>
          <w:b/>
          <w:sz w:val="24"/>
          <w:szCs w:val="24"/>
        </w:rPr>
        <w:t>Describe the Restoration and Revitalization Needs of public housing units in the jurisdiction:</w:t>
      </w:r>
    </w:p>
    <w:p w14:paraId="2DB083FD" w14:textId="0832CFF9" w:rsidR="00395532" w:rsidRPr="00C157B9" w:rsidRDefault="00395532" w:rsidP="00395532">
      <w:pPr>
        <w:spacing w:beforeAutospacing="1" w:afterAutospacing="1"/>
        <w:rPr>
          <w:rFonts w:asciiTheme="minorHAnsi" w:hAnsiTheme="minorHAnsi" w:cstheme="minorHAnsi"/>
          <w:sz w:val="24"/>
          <w:szCs w:val="24"/>
        </w:rPr>
      </w:pPr>
      <w:r w:rsidRPr="00C157B9">
        <w:rPr>
          <w:rFonts w:asciiTheme="minorHAnsi" w:hAnsiTheme="minorHAnsi" w:cstheme="minorHAnsi"/>
          <w:sz w:val="24"/>
          <w:szCs w:val="24"/>
        </w:rPr>
        <w:t>State response</w:t>
      </w:r>
      <w:r w:rsidR="00DE53B6">
        <w:rPr>
          <w:rFonts w:asciiTheme="minorHAnsi" w:hAnsiTheme="minorHAnsi" w:cstheme="minorHAnsi"/>
          <w:sz w:val="24"/>
          <w:szCs w:val="24"/>
        </w:rPr>
        <w:t xml:space="preserve"> is</w:t>
      </w:r>
      <w:r w:rsidRPr="00C157B9">
        <w:rPr>
          <w:rFonts w:asciiTheme="minorHAnsi" w:hAnsiTheme="minorHAnsi" w:cstheme="minorHAnsi"/>
          <w:sz w:val="24"/>
          <w:szCs w:val="24"/>
        </w:rPr>
        <w:t xml:space="preserve"> not required</w:t>
      </w:r>
      <w:r w:rsidR="00DE53B6">
        <w:rPr>
          <w:rFonts w:asciiTheme="minorHAnsi" w:hAnsiTheme="minorHAnsi" w:cstheme="minorHAnsi"/>
          <w:sz w:val="24"/>
          <w:szCs w:val="24"/>
        </w:rPr>
        <w:t>.</w:t>
      </w:r>
    </w:p>
    <w:p w14:paraId="152C7536" w14:textId="77777777" w:rsidR="009B0FCC" w:rsidRPr="00C157B9" w:rsidRDefault="009B0FCC" w:rsidP="009B0FCC">
      <w:pPr>
        <w:rPr>
          <w:rFonts w:asciiTheme="minorHAnsi" w:hAnsiTheme="minorHAnsi" w:cstheme="minorHAnsi"/>
          <w:b/>
          <w:sz w:val="24"/>
          <w:szCs w:val="24"/>
        </w:rPr>
      </w:pPr>
      <w:r w:rsidRPr="00C157B9">
        <w:rPr>
          <w:rFonts w:asciiTheme="minorHAnsi" w:hAnsiTheme="minorHAnsi" w:cstheme="minorHAnsi"/>
          <w:b/>
          <w:sz w:val="24"/>
          <w:szCs w:val="24"/>
        </w:rPr>
        <w:t>Describe the public housing agency's strategy for improving the living environment of low- and moderate-income families residing in public housing:</w:t>
      </w:r>
    </w:p>
    <w:p w14:paraId="54BE584E" w14:textId="5FF98966" w:rsidR="00395532" w:rsidRPr="00C157B9" w:rsidRDefault="00395532" w:rsidP="00395532">
      <w:pPr>
        <w:spacing w:beforeAutospacing="1" w:afterAutospacing="1"/>
        <w:rPr>
          <w:rFonts w:asciiTheme="minorHAnsi" w:hAnsiTheme="minorHAnsi" w:cstheme="minorBidi"/>
          <w:sz w:val="24"/>
          <w:szCs w:val="24"/>
        </w:rPr>
      </w:pPr>
      <w:r w:rsidRPr="098FA5AC">
        <w:rPr>
          <w:rFonts w:asciiTheme="minorHAnsi" w:hAnsiTheme="minorHAnsi" w:cstheme="minorBidi"/>
          <w:sz w:val="24"/>
          <w:szCs w:val="24"/>
        </w:rPr>
        <w:t xml:space="preserve">State response </w:t>
      </w:r>
      <w:r w:rsidR="5D56A7FB" w:rsidRPr="098FA5AC">
        <w:rPr>
          <w:rFonts w:asciiTheme="minorHAnsi" w:hAnsiTheme="minorHAnsi" w:cstheme="minorBidi"/>
          <w:sz w:val="24"/>
          <w:szCs w:val="24"/>
        </w:rPr>
        <w:t xml:space="preserve">is </w:t>
      </w:r>
      <w:r w:rsidRPr="098FA5AC">
        <w:rPr>
          <w:rFonts w:asciiTheme="minorHAnsi" w:hAnsiTheme="minorHAnsi" w:cstheme="minorBidi"/>
          <w:sz w:val="24"/>
          <w:szCs w:val="24"/>
        </w:rPr>
        <w:t>not required</w:t>
      </w:r>
      <w:r w:rsidR="00DE53B6">
        <w:rPr>
          <w:rFonts w:asciiTheme="minorHAnsi" w:hAnsiTheme="minorHAnsi" w:cstheme="minorBidi"/>
          <w:sz w:val="24"/>
          <w:szCs w:val="24"/>
        </w:rPr>
        <w:t>.</w:t>
      </w:r>
    </w:p>
    <w:p w14:paraId="65994C9E" w14:textId="77777777" w:rsidR="009B0FCC" w:rsidRPr="00C157B9" w:rsidRDefault="009B0FCC" w:rsidP="009B0FCC">
      <w:pPr>
        <w:spacing w:line="204" w:lineRule="auto"/>
        <w:rPr>
          <w:rFonts w:asciiTheme="minorHAnsi" w:hAnsiTheme="minorHAnsi" w:cstheme="minorHAnsi"/>
          <w:b/>
          <w:bCs/>
          <w:sz w:val="24"/>
          <w:szCs w:val="24"/>
        </w:rPr>
      </w:pPr>
      <w:r w:rsidRPr="00C157B9">
        <w:rPr>
          <w:rFonts w:asciiTheme="minorHAnsi" w:hAnsiTheme="minorHAnsi" w:cstheme="minorHAnsi"/>
          <w:b/>
          <w:bCs/>
          <w:sz w:val="24"/>
          <w:szCs w:val="24"/>
        </w:rPr>
        <w:t xml:space="preserve">Discussion: </w:t>
      </w:r>
    </w:p>
    <w:p w14:paraId="451D257C" w14:textId="77777777" w:rsidR="009B0FCC" w:rsidRPr="00C157B9" w:rsidRDefault="009B0FCC" w:rsidP="009B0FCC">
      <w:pPr>
        <w:pStyle w:val="Heading2"/>
        <w:pageBreakBefore/>
        <w:rPr>
          <w:rFonts w:asciiTheme="minorHAnsi" w:hAnsiTheme="minorHAnsi" w:cstheme="minorHAnsi"/>
          <w:i/>
          <w:sz w:val="24"/>
          <w:szCs w:val="24"/>
        </w:rPr>
        <w:sectPr w:rsidR="009B0FCC" w:rsidRPr="00C157B9" w:rsidSect="00E56E38">
          <w:pgSz w:w="15840" w:h="12240" w:orient="landscape"/>
          <w:pgMar w:top="1440" w:right="1440" w:bottom="1440" w:left="1440" w:header="720" w:footer="720" w:gutter="0"/>
          <w:cols w:space="720"/>
          <w:docGrid w:linePitch="360"/>
        </w:sectPr>
      </w:pPr>
      <w:bookmarkStart w:id="39" w:name="_Toc309810479"/>
    </w:p>
    <w:p w14:paraId="0A33E8F5" w14:textId="77777777" w:rsidR="009B0FCC" w:rsidRPr="00C157B9" w:rsidRDefault="009B0FCC" w:rsidP="009B0FCC">
      <w:pPr>
        <w:pStyle w:val="Heading2"/>
        <w:pageBreakBefore/>
        <w:rPr>
          <w:rFonts w:asciiTheme="minorHAnsi" w:hAnsiTheme="minorHAnsi" w:cstheme="minorHAnsi"/>
          <w:i/>
          <w:sz w:val="28"/>
          <w:szCs w:val="28"/>
        </w:rPr>
      </w:pPr>
      <w:bookmarkStart w:id="40" w:name="_Toc194673851"/>
      <w:r w:rsidRPr="00C157B9">
        <w:rPr>
          <w:rFonts w:asciiTheme="minorHAnsi" w:hAnsiTheme="minorHAnsi" w:cstheme="minorHAnsi"/>
          <w:sz w:val="28"/>
          <w:szCs w:val="28"/>
        </w:rPr>
        <w:lastRenderedPageBreak/>
        <w:t xml:space="preserve">MA-30 Homeless Facilities </w:t>
      </w:r>
      <w:bookmarkEnd w:id="39"/>
      <w:r w:rsidRPr="00C157B9">
        <w:rPr>
          <w:rFonts w:asciiTheme="minorHAnsi" w:hAnsiTheme="minorHAnsi" w:cstheme="minorHAnsi"/>
          <w:sz w:val="28"/>
          <w:szCs w:val="28"/>
        </w:rPr>
        <w:t>– 91.310(b)</w:t>
      </w:r>
      <w:bookmarkEnd w:id="40"/>
    </w:p>
    <w:p w14:paraId="047CA97E" w14:textId="77777777" w:rsidR="009B0FCC" w:rsidRDefault="009B0FCC" w:rsidP="009B0FCC">
      <w:pPr>
        <w:spacing w:line="204" w:lineRule="auto"/>
        <w:rPr>
          <w:b/>
          <w:sz w:val="24"/>
          <w:szCs w:val="24"/>
        </w:rPr>
      </w:pPr>
      <w:r>
        <w:rPr>
          <w:b/>
          <w:sz w:val="24"/>
          <w:szCs w:val="24"/>
        </w:rPr>
        <w:t>Introduction</w:t>
      </w:r>
    </w:p>
    <w:p w14:paraId="2E174E50" w14:textId="53CABC1D" w:rsidR="00C83593" w:rsidRPr="00C83593" w:rsidRDefault="00C83593" w:rsidP="00C83593">
      <w:pPr>
        <w:spacing w:line="259" w:lineRule="auto"/>
        <w:rPr>
          <w:bCs/>
        </w:rPr>
      </w:pPr>
      <w:r w:rsidRPr="00C83593">
        <w:rPr>
          <w:bCs/>
          <w:sz w:val="24"/>
          <w:szCs w:val="24"/>
        </w:rPr>
        <w:t xml:space="preserve">This section summarizes shelter options and services for unhoused people in the state.  </w:t>
      </w:r>
      <w:r>
        <w:rPr>
          <w:bCs/>
          <w:sz w:val="24"/>
          <w:szCs w:val="24"/>
        </w:rPr>
        <w:t xml:space="preserve">The number of emergency shelter beds, transitional housing beds, and permanent supportive housing beds are provided in the chart below.  These are cumulative numbers across various areas of the state. The narratives that follow describe the more qualitative aspects of resources available to those experiencing homelessness. </w:t>
      </w:r>
    </w:p>
    <w:p w14:paraId="3D7EF9E0" w14:textId="77777777" w:rsidR="009B0FCC" w:rsidRDefault="009B0FCC" w:rsidP="009B0FCC">
      <w:pPr>
        <w:keepNext/>
        <w:widowControl w:val="0"/>
        <w:rPr>
          <w:b/>
          <w:sz w:val="24"/>
          <w:szCs w:val="24"/>
        </w:rPr>
      </w:pPr>
      <w:r>
        <w:rPr>
          <w:b/>
          <w:sz w:val="24"/>
          <w:szCs w:val="24"/>
        </w:rPr>
        <w:t>Facilities Targeted to Homeless Persons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8"/>
        <w:gridCol w:w="2132"/>
        <w:gridCol w:w="1961"/>
        <w:gridCol w:w="1796"/>
        <w:gridCol w:w="1781"/>
        <w:gridCol w:w="1732"/>
      </w:tblGrid>
      <w:tr w:rsidR="009B0FCC" w14:paraId="793153DE" w14:textId="77777777" w:rsidTr="787E070B">
        <w:trPr>
          <w:cantSplit/>
          <w:tblHeader/>
        </w:trPr>
        <w:tc>
          <w:tcPr>
            <w:tcW w:w="3548" w:type="dxa"/>
            <w:vMerge w:val="restart"/>
          </w:tcPr>
          <w:p w14:paraId="4B44DB91" w14:textId="77777777" w:rsidR="009B0FCC" w:rsidRDefault="009B0FCC" w:rsidP="00721F16">
            <w:pPr>
              <w:keepNext/>
              <w:widowControl w:val="0"/>
              <w:spacing w:after="0" w:line="240" w:lineRule="auto"/>
              <w:jc w:val="center"/>
              <w:rPr>
                <w:b/>
              </w:rPr>
            </w:pPr>
          </w:p>
        </w:tc>
        <w:tc>
          <w:tcPr>
            <w:tcW w:w="4093" w:type="dxa"/>
            <w:gridSpan w:val="2"/>
          </w:tcPr>
          <w:p w14:paraId="2BA837AC" w14:textId="77777777" w:rsidR="009B0FCC" w:rsidRDefault="009B0FCC" w:rsidP="00721F16">
            <w:pPr>
              <w:keepNext/>
              <w:widowControl w:val="0"/>
              <w:spacing w:after="0" w:line="240" w:lineRule="auto"/>
              <w:jc w:val="center"/>
              <w:rPr>
                <w:b/>
              </w:rPr>
            </w:pPr>
            <w:r>
              <w:rPr>
                <w:b/>
                <w:szCs w:val="26"/>
              </w:rPr>
              <w:t>Emergency Shelter Beds</w:t>
            </w:r>
          </w:p>
        </w:tc>
        <w:tc>
          <w:tcPr>
            <w:tcW w:w="1796" w:type="dxa"/>
          </w:tcPr>
          <w:p w14:paraId="6F6C8DD5" w14:textId="77777777" w:rsidR="009B0FCC" w:rsidRDefault="009B0FCC" w:rsidP="00721F16">
            <w:pPr>
              <w:keepNext/>
              <w:widowControl w:val="0"/>
              <w:spacing w:after="0" w:line="240" w:lineRule="auto"/>
              <w:jc w:val="center"/>
              <w:rPr>
                <w:b/>
              </w:rPr>
            </w:pPr>
            <w:r>
              <w:rPr>
                <w:b/>
                <w:szCs w:val="26"/>
              </w:rPr>
              <w:t>Transitional Housing Beds</w:t>
            </w:r>
          </w:p>
        </w:tc>
        <w:tc>
          <w:tcPr>
            <w:tcW w:w="3513" w:type="dxa"/>
            <w:gridSpan w:val="2"/>
          </w:tcPr>
          <w:p w14:paraId="328A281B" w14:textId="77777777" w:rsidR="009B0FCC" w:rsidRDefault="009B0FCC" w:rsidP="00721F16">
            <w:pPr>
              <w:keepNext/>
              <w:widowControl w:val="0"/>
              <w:spacing w:after="0" w:line="240" w:lineRule="auto"/>
              <w:jc w:val="center"/>
              <w:rPr>
                <w:b/>
                <w:szCs w:val="26"/>
              </w:rPr>
            </w:pPr>
            <w:r>
              <w:rPr>
                <w:b/>
                <w:szCs w:val="26"/>
              </w:rPr>
              <w:t>Permanent Supportive Housing Beds</w:t>
            </w:r>
          </w:p>
        </w:tc>
      </w:tr>
      <w:tr w:rsidR="009B0FCC" w14:paraId="2F317129" w14:textId="77777777" w:rsidTr="787E070B">
        <w:trPr>
          <w:cantSplit/>
          <w:tblHeader/>
        </w:trPr>
        <w:tc>
          <w:tcPr>
            <w:tcW w:w="3548" w:type="dxa"/>
            <w:vMerge/>
          </w:tcPr>
          <w:p w14:paraId="746B7776" w14:textId="77777777" w:rsidR="009B0FCC" w:rsidRDefault="009B0FCC" w:rsidP="00721F16">
            <w:pPr>
              <w:keepNext/>
              <w:widowControl w:val="0"/>
              <w:spacing w:after="0" w:line="240" w:lineRule="auto"/>
              <w:jc w:val="center"/>
              <w:rPr>
                <w:b/>
              </w:rPr>
            </w:pPr>
          </w:p>
        </w:tc>
        <w:tc>
          <w:tcPr>
            <w:tcW w:w="2132" w:type="dxa"/>
          </w:tcPr>
          <w:p w14:paraId="59D2E7F8" w14:textId="77777777" w:rsidR="009B0FCC" w:rsidRDefault="009B0FCC" w:rsidP="00721F16">
            <w:pPr>
              <w:keepNext/>
              <w:widowControl w:val="0"/>
              <w:spacing w:after="0" w:line="240" w:lineRule="auto"/>
              <w:jc w:val="center"/>
              <w:rPr>
                <w:b/>
              </w:rPr>
            </w:pPr>
            <w:proofErr w:type="gramStart"/>
            <w:r>
              <w:rPr>
                <w:b/>
                <w:szCs w:val="26"/>
              </w:rPr>
              <w:t>Year Round</w:t>
            </w:r>
            <w:proofErr w:type="gramEnd"/>
            <w:r>
              <w:rPr>
                <w:b/>
                <w:szCs w:val="26"/>
              </w:rPr>
              <w:t xml:space="preserve"> Beds (Current &amp; New)</w:t>
            </w:r>
          </w:p>
        </w:tc>
        <w:tc>
          <w:tcPr>
            <w:tcW w:w="1961" w:type="dxa"/>
          </w:tcPr>
          <w:p w14:paraId="0B1A09E9" w14:textId="77777777" w:rsidR="009B0FCC" w:rsidRDefault="009B0FCC" w:rsidP="00721F16">
            <w:pPr>
              <w:keepNext/>
              <w:widowControl w:val="0"/>
              <w:spacing w:after="0" w:line="240" w:lineRule="auto"/>
              <w:jc w:val="center"/>
              <w:rPr>
                <w:b/>
              </w:rPr>
            </w:pPr>
            <w:r>
              <w:rPr>
                <w:b/>
                <w:szCs w:val="26"/>
              </w:rPr>
              <w:t>Voucher / Seasonal / Overflow Beds</w:t>
            </w:r>
          </w:p>
        </w:tc>
        <w:tc>
          <w:tcPr>
            <w:tcW w:w="1796" w:type="dxa"/>
          </w:tcPr>
          <w:p w14:paraId="00FAE9F1" w14:textId="77777777" w:rsidR="009B0FCC" w:rsidRDefault="009B0FCC" w:rsidP="00721F16">
            <w:pPr>
              <w:keepNext/>
              <w:widowControl w:val="0"/>
              <w:spacing w:after="0" w:line="240" w:lineRule="auto"/>
              <w:jc w:val="center"/>
              <w:rPr>
                <w:b/>
              </w:rPr>
            </w:pPr>
            <w:r>
              <w:rPr>
                <w:b/>
                <w:szCs w:val="26"/>
              </w:rPr>
              <w:t>Current &amp; New</w:t>
            </w:r>
          </w:p>
        </w:tc>
        <w:tc>
          <w:tcPr>
            <w:tcW w:w="1781" w:type="dxa"/>
          </w:tcPr>
          <w:p w14:paraId="34ED822A" w14:textId="77777777" w:rsidR="009B0FCC" w:rsidRDefault="009B0FCC" w:rsidP="00721F16">
            <w:pPr>
              <w:keepNext/>
              <w:widowControl w:val="0"/>
              <w:spacing w:after="0" w:line="240" w:lineRule="auto"/>
              <w:jc w:val="center"/>
              <w:rPr>
                <w:b/>
              </w:rPr>
            </w:pPr>
            <w:r>
              <w:rPr>
                <w:b/>
                <w:szCs w:val="26"/>
              </w:rPr>
              <w:t>Current &amp; New</w:t>
            </w:r>
          </w:p>
        </w:tc>
        <w:tc>
          <w:tcPr>
            <w:tcW w:w="1732" w:type="dxa"/>
          </w:tcPr>
          <w:p w14:paraId="16A76745" w14:textId="77777777" w:rsidR="009B0FCC" w:rsidRDefault="009B0FCC" w:rsidP="787E070B">
            <w:pPr>
              <w:keepNext/>
              <w:widowControl w:val="0"/>
              <w:spacing w:after="0" w:line="240" w:lineRule="auto"/>
              <w:jc w:val="center"/>
              <w:rPr>
                <w:b/>
                <w:bCs/>
              </w:rPr>
            </w:pPr>
            <w:r w:rsidRPr="787E070B">
              <w:rPr>
                <w:b/>
                <w:bCs/>
              </w:rPr>
              <w:t>Under Development</w:t>
            </w:r>
          </w:p>
        </w:tc>
      </w:tr>
      <w:tr w:rsidR="007501A7" w14:paraId="54D2E7C0" w14:textId="77777777" w:rsidTr="787E070B">
        <w:trPr>
          <w:cantSplit/>
        </w:trPr>
        <w:tc>
          <w:tcPr>
            <w:tcW w:w="3548" w:type="dxa"/>
          </w:tcPr>
          <w:p w14:paraId="16CEFEBD" w14:textId="77777777" w:rsidR="007501A7" w:rsidRDefault="007501A7" w:rsidP="007501A7">
            <w:pPr>
              <w:keepNext/>
              <w:widowControl w:val="0"/>
              <w:spacing w:after="0" w:line="240" w:lineRule="auto"/>
            </w:pPr>
            <w:r>
              <w:rPr>
                <w:bCs/>
              </w:rPr>
              <w:t>Households with Adult(s) and Child(ren)</w:t>
            </w:r>
          </w:p>
        </w:tc>
        <w:tc>
          <w:tcPr>
            <w:tcW w:w="2132" w:type="dxa"/>
          </w:tcPr>
          <w:p w14:paraId="1E0F4369" w14:textId="13502927" w:rsidR="007501A7" w:rsidRDefault="007501A7" w:rsidP="007501A7">
            <w:pPr>
              <w:keepNext/>
              <w:widowControl w:val="0"/>
              <w:spacing w:after="0" w:line="240" w:lineRule="auto"/>
            </w:pPr>
            <w:r>
              <w:t>546</w:t>
            </w:r>
          </w:p>
        </w:tc>
        <w:tc>
          <w:tcPr>
            <w:tcW w:w="1961" w:type="dxa"/>
          </w:tcPr>
          <w:p w14:paraId="4A99CB74" w14:textId="05477A9D" w:rsidR="007501A7" w:rsidRDefault="007501A7" w:rsidP="007501A7">
            <w:pPr>
              <w:keepNext/>
              <w:widowControl w:val="0"/>
              <w:spacing w:after="0" w:line="240" w:lineRule="auto"/>
            </w:pPr>
            <w:r>
              <w:t>2</w:t>
            </w:r>
          </w:p>
        </w:tc>
        <w:tc>
          <w:tcPr>
            <w:tcW w:w="1796" w:type="dxa"/>
          </w:tcPr>
          <w:p w14:paraId="091EFB19" w14:textId="22378A6A" w:rsidR="007501A7" w:rsidRDefault="007501A7" w:rsidP="007501A7">
            <w:pPr>
              <w:keepNext/>
              <w:widowControl w:val="0"/>
              <w:spacing w:after="0" w:line="240" w:lineRule="auto"/>
            </w:pPr>
            <w:r>
              <w:t>127</w:t>
            </w:r>
          </w:p>
        </w:tc>
        <w:tc>
          <w:tcPr>
            <w:tcW w:w="1781" w:type="dxa"/>
          </w:tcPr>
          <w:p w14:paraId="049390B4" w14:textId="47C5D2E2" w:rsidR="007501A7" w:rsidRDefault="007501A7" w:rsidP="007501A7">
            <w:pPr>
              <w:keepNext/>
              <w:widowControl w:val="0"/>
              <w:spacing w:after="0" w:line="240" w:lineRule="auto"/>
            </w:pPr>
            <w:r>
              <w:t>164</w:t>
            </w:r>
          </w:p>
        </w:tc>
        <w:tc>
          <w:tcPr>
            <w:tcW w:w="1732" w:type="dxa"/>
          </w:tcPr>
          <w:p w14:paraId="2C22F9B9" w14:textId="0B3801CB" w:rsidR="007501A7" w:rsidRDefault="007501A7" w:rsidP="007501A7">
            <w:pPr>
              <w:keepNext/>
              <w:widowControl w:val="0"/>
              <w:spacing w:after="0" w:line="240" w:lineRule="auto"/>
            </w:pPr>
            <w:r>
              <w:t>0</w:t>
            </w:r>
          </w:p>
        </w:tc>
      </w:tr>
      <w:tr w:rsidR="007501A7" w14:paraId="030F34D3" w14:textId="77777777" w:rsidTr="787E070B">
        <w:trPr>
          <w:cantSplit/>
        </w:trPr>
        <w:tc>
          <w:tcPr>
            <w:tcW w:w="3548" w:type="dxa"/>
          </w:tcPr>
          <w:p w14:paraId="3A119DC5" w14:textId="77777777" w:rsidR="007501A7" w:rsidRDefault="007501A7" w:rsidP="007501A7">
            <w:pPr>
              <w:keepNext/>
              <w:widowControl w:val="0"/>
              <w:spacing w:after="0" w:line="240" w:lineRule="auto"/>
            </w:pPr>
            <w:r>
              <w:rPr>
                <w:bCs/>
              </w:rPr>
              <w:t>Households with Only Adults</w:t>
            </w:r>
          </w:p>
        </w:tc>
        <w:tc>
          <w:tcPr>
            <w:tcW w:w="2132" w:type="dxa"/>
          </w:tcPr>
          <w:p w14:paraId="50DE736B" w14:textId="7EA98C7A" w:rsidR="007501A7" w:rsidRDefault="007501A7" w:rsidP="007501A7">
            <w:pPr>
              <w:keepNext/>
              <w:widowControl w:val="0"/>
              <w:spacing w:after="0" w:line="240" w:lineRule="auto"/>
            </w:pPr>
            <w:r>
              <w:t>279</w:t>
            </w:r>
          </w:p>
        </w:tc>
        <w:tc>
          <w:tcPr>
            <w:tcW w:w="1961" w:type="dxa"/>
          </w:tcPr>
          <w:p w14:paraId="00FEBC72" w14:textId="497F2C51" w:rsidR="007501A7" w:rsidRDefault="007501A7" w:rsidP="007501A7">
            <w:pPr>
              <w:keepNext/>
              <w:widowControl w:val="0"/>
              <w:spacing w:after="0" w:line="240" w:lineRule="auto"/>
            </w:pPr>
            <w:r>
              <w:t>76</w:t>
            </w:r>
          </w:p>
        </w:tc>
        <w:tc>
          <w:tcPr>
            <w:tcW w:w="1796" w:type="dxa"/>
          </w:tcPr>
          <w:p w14:paraId="47901C75" w14:textId="2ED3ECFA" w:rsidR="007501A7" w:rsidRDefault="007501A7" w:rsidP="007501A7">
            <w:pPr>
              <w:keepNext/>
              <w:widowControl w:val="0"/>
              <w:spacing w:after="0" w:line="240" w:lineRule="auto"/>
            </w:pPr>
            <w:r>
              <w:t>64</w:t>
            </w:r>
          </w:p>
        </w:tc>
        <w:tc>
          <w:tcPr>
            <w:tcW w:w="1781" w:type="dxa"/>
          </w:tcPr>
          <w:p w14:paraId="7EA09370" w14:textId="13370C96" w:rsidR="007501A7" w:rsidRDefault="007501A7" w:rsidP="007501A7">
            <w:pPr>
              <w:keepNext/>
              <w:widowControl w:val="0"/>
              <w:spacing w:after="0" w:line="240" w:lineRule="auto"/>
            </w:pPr>
            <w:r>
              <w:t>262</w:t>
            </w:r>
          </w:p>
        </w:tc>
        <w:tc>
          <w:tcPr>
            <w:tcW w:w="1732" w:type="dxa"/>
          </w:tcPr>
          <w:p w14:paraId="71451A4F" w14:textId="41EAA132" w:rsidR="007501A7" w:rsidRDefault="007501A7" w:rsidP="007501A7">
            <w:pPr>
              <w:keepNext/>
              <w:widowControl w:val="0"/>
              <w:spacing w:after="0" w:line="240" w:lineRule="auto"/>
            </w:pPr>
            <w:r>
              <w:t>0</w:t>
            </w:r>
          </w:p>
        </w:tc>
      </w:tr>
      <w:tr w:rsidR="007501A7" w14:paraId="27AB97F9" w14:textId="77777777" w:rsidTr="787E070B">
        <w:trPr>
          <w:cantSplit/>
        </w:trPr>
        <w:tc>
          <w:tcPr>
            <w:tcW w:w="3548" w:type="dxa"/>
          </w:tcPr>
          <w:p w14:paraId="796A3A52" w14:textId="77777777" w:rsidR="007501A7" w:rsidRDefault="007501A7" w:rsidP="007501A7">
            <w:pPr>
              <w:keepNext/>
              <w:widowControl w:val="0"/>
              <w:spacing w:after="0" w:line="240" w:lineRule="auto"/>
            </w:pPr>
            <w:r>
              <w:rPr>
                <w:bCs/>
              </w:rPr>
              <w:t>Chronically Homeless Households</w:t>
            </w:r>
          </w:p>
        </w:tc>
        <w:tc>
          <w:tcPr>
            <w:tcW w:w="2132" w:type="dxa"/>
          </w:tcPr>
          <w:p w14:paraId="7B4C5A6B" w14:textId="6136D8AC" w:rsidR="007501A7" w:rsidRDefault="007501A7" w:rsidP="007501A7">
            <w:pPr>
              <w:keepNext/>
              <w:widowControl w:val="0"/>
              <w:spacing w:after="0" w:line="240" w:lineRule="auto"/>
            </w:pPr>
            <w:r>
              <w:t>0</w:t>
            </w:r>
          </w:p>
        </w:tc>
        <w:tc>
          <w:tcPr>
            <w:tcW w:w="1961" w:type="dxa"/>
          </w:tcPr>
          <w:p w14:paraId="3B35AABD" w14:textId="102332B4" w:rsidR="007501A7" w:rsidRDefault="007501A7" w:rsidP="007501A7">
            <w:pPr>
              <w:keepNext/>
              <w:widowControl w:val="0"/>
              <w:spacing w:after="0" w:line="240" w:lineRule="auto"/>
            </w:pPr>
            <w:r>
              <w:t>0</w:t>
            </w:r>
          </w:p>
        </w:tc>
        <w:tc>
          <w:tcPr>
            <w:tcW w:w="1796" w:type="dxa"/>
          </w:tcPr>
          <w:p w14:paraId="14E3F5D8" w14:textId="315CCC4D" w:rsidR="007501A7" w:rsidRDefault="007501A7" w:rsidP="007501A7">
            <w:pPr>
              <w:keepNext/>
              <w:widowControl w:val="0"/>
              <w:spacing w:after="0" w:line="240" w:lineRule="auto"/>
            </w:pPr>
            <w:r>
              <w:t>0</w:t>
            </w:r>
          </w:p>
        </w:tc>
        <w:tc>
          <w:tcPr>
            <w:tcW w:w="1781" w:type="dxa"/>
          </w:tcPr>
          <w:p w14:paraId="085B2980" w14:textId="5016868E" w:rsidR="007501A7" w:rsidRDefault="007501A7" w:rsidP="007501A7">
            <w:pPr>
              <w:keepNext/>
              <w:widowControl w:val="0"/>
              <w:spacing w:after="0" w:line="240" w:lineRule="auto"/>
            </w:pPr>
            <w:r>
              <w:t>156</w:t>
            </w:r>
          </w:p>
        </w:tc>
        <w:tc>
          <w:tcPr>
            <w:tcW w:w="1732" w:type="dxa"/>
          </w:tcPr>
          <w:p w14:paraId="2C53D8A9" w14:textId="0B34D499" w:rsidR="007501A7" w:rsidRDefault="007501A7" w:rsidP="007501A7">
            <w:pPr>
              <w:keepNext/>
              <w:widowControl w:val="0"/>
              <w:spacing w:after="0" w:line="240" w:lineRule="auto"/>
            </w:pPr>
            <w:r>
              <w:t>0</w:t>
            </w:r>
          </w:p>
        </w:tc>
      </w:tr>
      <w:tr w:rsidR="007501A7" w14:paraId="43B883B8" w14:textId="77777777" w:rsidTr="787E070B">
        <w:trPr>
          <w:cantSplit/>
        </w:trPr>
        <w:tc>
          <w:tcPr>
            <w:tcW w:w="3548" w:type="dxa"/>
          </w:tcPr>
          <w:p w14:paraId="7CF1F75B" w14:textId="77777777" w:rsidR="007501A7" w:rsidRDefault="007501A7" w:rsidP="007501A7">
            <w:pPr>
              <w:keepNext/>
              <w:widowControl w:val="0"/>
              <w:spacing w:after="0" w:line="240" w:lineRule="auto"/>
            </w:pPr>
            <w:r>
              <w:rPr>
                <w:bCs/>
              </w:rPr>
              <w:t>Veterans</w:t>
            </w:r>
          </w:p>
        </w:tc>
        <w:tc>
          <w:tcPr>
            <w:tcW w:w="2132" w:type="dxa"/>
          </w:tcPr>
          <w:p w14:paraId="69AB5E55" w14:textId="04CCB15A" w:rsidR="007501A7" w:rsidRDefault="007501A7" w:rsidP="007501A7">
            <w:pPr>
              <w:keepNext/>
              <w:widowControl w:val="0"/>
              <w:spacing w:after="0" w:line="240" w:lineRule="auto"/>
            </w:pPr>
            <w:r>
              <w:t>8</w:t>
            </w:r>
          </w:p>
        </w:tc>
        <w:tc>
          <w:tcPr>
            <w:tcW w:w="1961" w:type="dxa"/>
          </w:tcPr>
          <w:p w14:paraId="6E4EE1E1" w14:textId="3BBC6CEA" w:rsidR="007501A7" w:rsidRDefault="007501A7" w:rsidP="007501A7">
            <w:pPr>
              <w:keepNext/>
              <w:widowControl w:val="0"/>
              <w:spacing w:after="0" w:line="240" w:lineRule="auto"/>
            </w:pPr>
            <w:r>
              <w:t>0</w:t>
            </w:r>
          </w:p>
        </w:tc>
        <w:tc>
          <w:tcPr>
            <w:tcW w:w="1796" w:type="dxa"/>
          </w:tcPr>
          <w:p w14:paraId="633C705E" w14:textId="46AB0EB8" w:rsidR="007501A7" w:rsidRDefault="007501A7" w:rsidP="007501A7">
            <w:pPr>
              <w:keepNext/>
              <w:widowControl w:val="0"/>
              <w:spacing w:after="0" w:line="240" w:lineRule="auto"/>
            </w:pPr>
            <w:r>
              <w:t>0</w:t>
            </w:r>
          </w:p>
        </w:tc>
        <w:tc>
          <w:tcPr>
            <w:tcW w:w="1781" w:type="dxa"/>
          </w:tcPr>
          <w:p w14:paraId="20AFBB43" w14:textId="2B608E26" w:rsidR="007501A7" w:rsidRDefault="007501A7" w:rsidP="007501A7">
            <w:pPr>
              <w:keepNext/>
              <w:widowControl w:val="0"/>
              <w:spacing w:after="0" w:line="240" w:lineRule="auto"/>
            </w:pPr>
            <w:r>
              <w:t>237</w:t>
            </w:r>
          </w:p>
        </w:tc>
        <w:tc>
          <w:tcPr>
            <w:tcW w:w="1732" w:type="dxa"/>
          </w:tcPr>
          <w:p w14:paraId="10AFCF83" w14:textId="323A1176" w:rsidR="007501A7" w:rsidRDefault="007501A7" w:rsidP="007501A7">
            <w:pPr>
              <w:keepNext/>
              <w:widowControl w:val="0"/>
              <w:spacing w:after="0" w:line="240" w:lineRule="auto"/>
            </w:pPr>
            <w:r>
              <w:t>0</w:t>
            </w:r>
          </w:p>
        </w:tc>
      </w:tr>
      <w:tr w:rsidR="007501A7" w14:paraId="1A036857" w14:textId="77777777" w:rsidTr="787E070B">
        <w:trPr>
          <w:cantSplit/>
        </w:trPr>
        <w:tc>
          <w:tcPr>
            <w:tcW w:w="3548" w:type="dxa"/>
          </w:tcPr>
          <w:p w14:paraId="18A20D5A" w14:textId="77777777" w:rsidR="007501A7" w:rsidRDefault="007501A7" w:rsidP="007501A7">
            <w:pPr>
              <w:keepNext/>
              <w:widowControl w:val="0"/>
              <w:spacing w:after="0" w:line="240" w:lineRule="auto"/>
            </w:pPr>
            <w:r>
              <w:rPr>
                <w:bCs/>
              </w:rPr>
              <w:t>Unaccompanied Youth</w:t>
            </w:r>
          </w:p>
        </w:tc>
        <w:tc>
          <w:tcPr>
            <w:tcW w:w="2132" w:type="dxa"/>
          </w:tcPr>
          <w:p w14:paraId="1BE6F191" w14:textId="78BCA48B" w:rsidR="007501A7" w:rsidRDefault="007501A7" w:rsidP="007501A7">
            <w:pPr>
              <w:keepNext/>
              <w:widowControl w:val="0"/>
              <w:spacing w:after="0" w:line="240" w:lineRule="auto"/>
            </w:pPr>
            <w:r>
              <w:t>22</w:t>
            </w:r>
          </w:p>
        </w:tc>
        <w:tc>
          <w:tcPr>
            <w:tcW w:w="1961" w:type="dxa"/>
          </w:tcPr>
          <w:p w14:paraId="05CE002D" w14:textId="7801700A" w:rsidR="007501A7" w:rsidRDefault="007501A7" w:rsidP="007501A7">
            <w:pPr>
              <w:keepNext/>
              <w:widowControl w:val="0"/>
              <w:spacing w:after="0" w:line="240" w:lineRule="auto"/>
            </w:pPr>
            <w:r>
              <w:t>0</w:t>
            </w:r>
          </w:p>
        </w:tc>
        <w:tc>
          <w:tcPr>
            <w:tcW w:w="1796" w:type="dxa"/>
          </w:tcPr>
          <w:p w14:paraId="4AE9702D" w14:textId="6A342019" w:rsidR="007501A7" w:rsidRDefault="007501A7" w:rsidP="007501A7">
            <w:pPr>
              <w:keepNext/>
              <w:widowControl w:val="0"/>
              <w:spacing w:after="0" w:line="240" w:lineRule="auto"/>
            </w:pPr>
            <w:r>
              <w:t>0</w:t>
            </w:r>
          </w:p>
        </w:tc>
        <w:tc>
          <w:tcPr>
            <w:tcW w:w="1781" w:type="dxa"/>
          </w:tcPr>
          <w:p w14:paraId="7881402B" w14:textId="6CC051A5" w:rsidR="007501A7" w:rsidRDefault="007501A7" w:rsidP="007501A7">
            <w:pPr>
              <w:keepNext/>
              <w:widowControl w:val="0"/>
              <w:spacing w:after="0" w:line="240" w:lineRule="auto"/>
            </w:pPr>
            <w:r>
              <w:t>0</w:t>
            </w:r>
          </w:p>
        </w:tc>
        <w:tc>
          <w:tcPr>
            <w:tcW w:w="1732" w:type="dxa"/>
          </w:tcPr>
          <w:p w14:paraId="118798F3" w14:textId="29091CBB" w:rsidR="007501A7" w:rsidRDefault="007501A7" w:rsidP="007501A7">
            <w:pPr>
              <w:keepNext/>
              <w:widowControl w:val="0"/>
              <w:spacing w:after="0" w:line="240" w:lineRule="auto"/>
            </w:pPr>
            <w:r>
              <w:t>0</w:t>
            </w:r>
          </w:p>
        </w:tc>
      </w:tr>
    </w:tbl>
    <w:p w14:paraId="0FC67EB7"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 Facilities Targeted to Homeless Persons</w:t>
      </w:r>
    </w:p>
    <w:p w14:paraId="4CF7F34B" w14:textId="77777777" w:rsidR="009B0FCC" w:rsidRDefault="009B0FCC" w:rsidP="009B0FCC">
      <w:pPr>
        <w:keepNext/>
        <w:widowControl w:val="0"/>
        <w:spacing w:after="0" w:line="240" w:lineRule="auto"/>
        <w:jc w:val="center"/>
        <w:rPr>
          <w:b/>
          <w:bCs/>
          <w:vanish/>
          <w:sz w:val="20"/>
          <w:szCs w:val="20"/>
        </w:rPr>
      </w:pPr>
    </w:p>
    <w:p w14:paraId="5F3D62A7" w14:textId="77777777" w:rsidR="009B0FCC" w:rsidRDefault="009B0FCC" w:rsidP="009B0FCC">
      <w:pPr>
        <w:spacing w:after="0" w:line="240" w:lineRule="auto"/>
        <w:rPr>
          <w:b/>
          <w:bCs/>
          <w:vanish/>
          <w:sz w:val="16"/>
          <w:szCs w:val="16"/>
        </w:rPr>
      </w:pPr>
    </w:p>
    <w:p w14:paraId="50FE9BC6" w14:textId="77777777" w:rsidR="009B0FCC" w:rsidRDefault="009B0FCC" w:rsidP="009B0FCC">
      <w:pPr>
        <w:spacing w:line="240" w:lineRule="auto"/>
      </w:pPr>
    </w:p>
    <w:p w14:paraId="52AAE57A" w14:textId="77777777" w:rsidR="009B0FCC" w:rsidRDefault="009B0FCC" w:rsidP="009B0FCC">
      <w:pPr>
        <w:sectPr w:rsidR="009B0FCC" w:rsidSect="009B0FCC">
          <w:pgSz w:w="15840" w:h="12240" w:orient="landscape"/>
          <w:pgMar w:top="1440" w:right="1440" w:bottom="1440" w:left="1440" w:header="720" w:footer="720" w:gutter="0"/>
          <w:cols w:space="720"/>
          <w:docGrid w:linePitch="360"/>
        </w:sectPr>
      </w:pPr>
    </w:p>
    <w:p w14:paraId="01325E67" w14:textId="488C3FD4" w:rsidR="009B0FCC" w:rsidRDefault="009B0FCC" w:rsidP="00DE53B6">
      <w:pPr>
        <w:spacing w:line="204" w:lineRule="auto"/>
        <w:jc w:val="both"/>
        <w:rPr>
          <w:b/>
          <w:sz w:val="24"/>
          <w:szCs w:val="24"/>
        </w:rPr>
      </w:pPr>
      <w:r>
        <w:rPr>
          <w:b/>
          <w:sz w:val="24"/>
          <w:szCs w:val="24"/>
        </w:rPr>
        <w:lastRenderedPageBreak/>
        <w:t xml:space="preserve">Describe mainstream services, such as health, mental health, and employment services to the extent those services are </w:t>
      </w:r>
      <w:proofErr w:type="spellStart"/>
      <w:proofErr w:type="gramStart"/>
      <w:r>
        <w:rPr>
          <w:b/>
          <w:sz w:val="24"/>
          <w:szCs w:val="24"/>
        </w:rPr>
        <w:t>use</w:t>
      </w:r>
      <w:proofErr w:type="spellEnd"/>
      <w:proofErr w:type="gramEnd"/>
      <w:r>
        <w:rPr>
          <w:b/>
          <w:sz w:val="24"/>
          <w:szCs w:val="24"/>
        </w:rPr>
        <w:t xml:space="preserve"> to complement services targeted </w:t>
      </w:r>
      <w:proofErr w:type="gramStart"/>
      <w:r>
        <w:rPr>
          <w:b/>
          <w:sz w:val="24"/>
          <w:szCs w:val="24"/>
        </w:rPr>
        <w:t>to</w:t>
      </w:r>
      <w:proofErr w:type="gramEnd"/>
      <w:r>
        <w:rPr>
          <w:b/>
          <w:sz w:val="24"/>
          <w:szCs w:val="24"/>
        </w:rPr>
        <w:t xml:space="preserve"> homeless persons</w:t>
      </w:r>
      <w:r w:rsidR="5E9B466D" w:rsidRPr="098FA5AC">
        <w:rPr>
          <w:b/>
          <w:bCs/>
          <w:sz w:val="24"/>
          <w:szCs w:val="24"/>
        </w:rPr>
        <w:t>.</w:t>
      </w:r>
    </w:p>
    <w:p w14:paraId="7CCE24CB" w14:textId="72580386" w:rsidR="007501A7" w:rsidRPr="00A83142" w:rsidRDefault="007501A7" w:rsidP="00DE53B6">
      <w:pPr>
        <w:spacing w:beforeAutospacing="1" w:afterAutospacing="1"/>
        <w:jc w:val="both"/>
        <w:rPr>
          <w:rFonts w:cs="Calibri"/>
          <w:color w:val="000000" w:themeColor="text1"/>
          <w:sz w:val="24"/>
          <w:szCs w:val="24"/>
        </w:rPr>
      </w:pPr>
      <w:r w:rsidRPr="00A83142">
        <w:rPr>
          <w:rFonts w:cs="Calibri"/>
          <w:color w:val="000000" w:themeColor="text1"/>
          <w:sz w:val="24"/>
          <w:szCs w:val="24"/>
        </w:rPr>
        <w:t xml:space="preserve">In addition to receiving housing assistance, homeless individuals and families </w:t>
      </w:r>
      <w:proofErr w:type="gramStart"/>
      <w:r w:rsidRPr="00A83142">
        <w:rPr>
          <w:rFonts w:cs="Calibri"/>
          <w:color w:val="000000" w:themeColor="text1"/>
          <w:sz w:val="24"/>
          <w:szCs w:val="24"/>
        </w:rPr>
        <w:t>have the opportunity to</w:t>
      </w:r>
      <w:proofErr w:type="gramEnd"/>
      <w:r w:rsidRPr="00A83142">
        <w:rPr>
          <w:rFonts w:cs="Calibri"/>
          <w:color w:val="000000" w:themeColor="text1"/>
          <w:sz w:val="24"/>
          <w:szCs w:val="24"/>
        </w:rPr>
        <w:t xml:space="preserve"> receive services, whether via the </w:t>
      </w:r>
      <w:r w:rsidR="3CD7B941" w:rsidRPr="098FA5AC">
        <w:rPr>
          <w:rFonts w:cs="Calibri"/>
          <w:color w:val="000000" w:themeColor="text1"/>
          <w:sz w:val="24"/>
          <w:szCs w:val="24"/>
        </w:rPr>
        <w:t>CoC</w:t>
      </w:r>
      <w:r w:rsidRPr="00A83142">
        <w:rPr>
          <w:rFonts w:cs="Calibri"/>
          <w:color w:val="000000" w:themeColor="text1"/>
          <w:sz w:val="24"/>
          <w:szCs w:val="24"/>
        </w:rPr>
        <w:t xml:space="preserve"> or </w:t>
      </w:r>
      <w:r w:rsidR="56021220" w:rsidRPr="098FA5AC">
        <w:rPr>
          <w:rFonts w:cs="Calibri"/>
          <w:color w:val="000000" w:themeColor="text1"/>
          <w:sz w:val="24"/>
          <w:szCs w:val="24"/>
        </w:rPr>
        <w:t>ESG</w:t>
      </w:r>
      <w:r w:rsidRPr="00A83142">
        <w:rPr>
          <w:rFonts w:cs="Calibri"/>
          <w:color w:val="000000" w:themeColor="text1"/>
          <w:sz w:val="24"/>
          <w:szCs w:val="24"/>
        </w:rPr>
        <w:t xml:space="preserve"> programs,</w:t>
      </w:r>
      <w:r w:rsidR="00A83142" w:rsidRPr="00A83142">
        <w:rPr>
          <w:rFonts w:cs="Calibri"/>
          <w:color w:val="000000" w:themeColor="text1"/>
          <w:sz w:val="24"/>
          <w:szCs w:val="24"/>
        </w:rPr>
        <w:t xml:space="preserve"> where available,</w:t>
      </w:r>
      <w:r w:rsidRPr="00A83142">
        <w:rPr>
          <w:rFonts w:cs="Calibri"/>
          <w:color w:val="000000" w:themeColor="text1"/>
          <w:sz w:val="24"/>
          <w:szCs w:val="24"/>
        </w:rPr>
        <w:t xml:space="preserve"> or partnering agencies.  Services may include case management, </w:t>
      </w:r>
      <w:r w:rsidR="56021220" w:rsidRPr="098FA5AC">
        <w:rPr>
          <w:rFonts w:cs="Calibri"/>
          <w:color w:val="000000" w:themeColor="text1"/>
          <w:sz w:val="24"/>
          <w:szCs w:val="24"/>
        </w:rPr>
        <w:t>childcare</w:t>
      </w:r>
      <w:r w:rsidRPr="00A83142">
        <w:rPr>
          <w:rFonts w:cs="Calibri"/>
          <w:color w:val="000000" w:themeColor="text1"/>
          <w:sz w:val="24"/>
          <w:szCs w:val="24"/>
        </w:rPr>
        <w:t xml:space="preserve"> assistance, education and career counseling, employment assistance, job training, health care, mental health services, substance or alcohol abuse treatment, transportation, and utility assistance, among other supportive services.  The level of services and length of care or participation varies greatly.  To the extent that program regulations allow, service providers attempt to offer as much support as possible for as long as needed.  Apart from projects and agencies operating </w:t>
      </w:r>
      <w:r w:rsidR="3CD7B941" w:rsidRPr="098FA5AC">
        <w:rPr>
          <w:rFonts w:cs="Calibri"/>
          <w:color w:val="000000" w:themeColor="text1"/>
          <w:sz w:val="24"/>
          <w:szCs w:val="24"/>
        </w:rPr>
        <w:t>CoC</w:t>
      </w:r>
      <w:r w:rsidRPr="00A83142">
        <w:rPr>
          <w:rFonts w:cs="Calibri"/>
          <w:color w:val="000000" w:themeColor="text1"/>
          <w:sz w:val="24"/>
          <w:szCs w:val="24"/>
        </w:rPr>
        <w:t xml:space="preserve"> and </w:t>
      </w:r>
      <w:r w:rsidR="56021220" w:rsidRPr="098FA5AC">
        <w:rPr>
          <w:rFonts w:cs="Calibri"/>
          <w:color w:val="000000" w:themeColor="text1"/>
          <w:sz w:val="24"/>
          <w:szCs w:val="24"/>
        </w:rPr>
        <w:t>ESG</w:t>
      </w:r>
      <w:r w:rsidRPr="00A83142">
        <w:rPr>
          <w:rFonts w:cs="Calibri"/>
          <w:color w:val="000000" w:themeColor="text1"/>
          <w:sz w:val="24"/>
          <w:szCs w:val="24"/>
        </w:rPr>
        <w:t xml:space="preserve"> programs, the Department of Health and Welfare’s Behavioral Health Division, the Substance Abuse and Mental Health Services Administration, and faith-based welfare programs, along with other federal and/or state agencies, are the primary agencies offering services which target homeless individuals and families.   </w:t>
      </w:r>
    </w:p>
    <w:p w14:paraId="01001FBC" w14:textId="77777777" w:rsidR="007501A7" w:rsidRPr="00A83142" w:rsidRDefault="007501A7" w:rsidP="00DE53B6">
      <w:pPr>
        <w:spacing w:line="204" w:lineRule="auto"/>
        <w:jc w:val="both"/>
        <w:rPr>
          <w:b/>
          <w:sz w:val="24"/>
          <w:szCs w:val="24"/>
          <w:highlight w:val="cyan"/>
        </w:rPr>
      </w:pPr>
    </w:p>
    <w:p w14:paraId="045C4A2C" w14:textId="77777777" w:rsidR="009B0FCC" w:rsidRPr="00A83142" w:rsidRDefault="009B0FCC" w:rsidP="00DE53B6">
      <w:pPr>
        <w:spacing w:line="204" w:lineRule="auto"/>
        <w:jc w:val="both"/>
        <w:rPr>
          <w:b/>
          <w:sz w:val="24"/>
          <w:szCs w:val="24"/>
        </w:rPr>
      </w:pPr>
      <w:r w:rsidRPr="00A83142">
        <w:rPr>
          <w:b/>
          <w:sz w:val="24"/>
          <w:szCs w:val="24"/>
        </w:rPr>
        <w:t>List and describe services and facilities that meet the needs of homeless persons, particularly chronically homeless individuals and families, families with children, veterans and their families, and unaccompanied youth. If the services and facilities are listed on screen SP-40 Institutional Delivery Structure or screen MA-35 Special Needs Facilities and Services, describe how these facilities and services specifically address the needs of these populations.</w:t>
      </w:r>
    </w:p>
    <w:p w14:paraId="227E016E" w14:textId="6A6D10CA" w:rsidR="00A83142" w:rsidRPr="00A83142" w:rsidRDefault="007501A7" w:rsidP="00DE53B6">
      <w:pPr>
        <w:spacing w:beforeAutospacing="1" w:afterAutospacing="1"/>
        <w:jc w:val="both"/>
        <w:rPr>
          <w:rFonts w:cs="Calibri"/>
          <w:color w:val="000000" w:themeColor="text1"/>
          <w:sz w:val="24"/>
          <w:szCs w:val="24"/>
        </w:rPr>
      </w:pPr>
      <w:r w:rsidRPr="00A83142">
        <w:rPr>
          <w:rFonts w:cs="Calibri"/>
          <w:color w:val="000000" w:themeColor="text1"/>
          <w:sz w:val="24"/>
          <w:szCs w:val="24"/>
        </w:rPr>
        <w:t xml:space="preserve">According to homeless individual declarations from past Point </w:t>
      </w:r>
      <w:r w:rsidR="4D49C56A" w:rsidRPr="098FA5AC">
        <w:rPr>
          <w:rFonts w:cs="Calibri"/>
          <w:color w:val="000000" w:themeColor="text1"/>
          <w:sz w:val="24"/>
          <w:szCs w:val="24"/>
        </w:rPr>
        <w:t>i</w:t>
      </w:r>
      <w:r w:rsidR="56021220" w:rsidRPr="098FA5AC">
        <w:rPr>
          <w:rFonts w:cs="Calibri"/>
          <w:color w:val="000000" w:themeColor="text1"/>
          <w:sz w:val="24"/>
          <w:szCs w:val="24"/>
        </w:rPr>
        <w:t>n</w:t>
      </w:r>
      <w:r w:rsidRPr="00A83142">
        <w:rPr>
          <w:rFonts w:cs="Calibri"/>
          <w:color w:val="000000" w:themeColor="text1"/>
          <w:sz w:val="24"/>
          <w:szCs w:val="24"/>
        </w:rPr>
        <w:t xml:space="preserve"> Time count surveys and the expertise of highly involved service providers, the most commonly reported causes homelessness </w:t>
      </w:r>
      <w:proofErr w:type="gramStart"/>
      <w:r w:rsidRPr="00A83142">
        <w:rPr>
          <w:rFonts w:cs="Calibri"/>
          <w:color w:val="000000" w:themeColor="text1"/>
          <w:sz w:val="24"/>
          <w:szCs w:val="24"/>
        </w:rPr>
        <w:t>are</w:t>
      </w:r>
      <w:proofErr w:type="gramEnd"/>
      <w:r w:rsidRPr="00A83142">
        <w:rPr>
          <w:rFonts w:cs="Calibri"/>
          <w:color w:val="000000" w:themeColor="text1"/>
          <w:sz w:val="24"/>
          <w:szCs w:val="24"/>
        </w:rPr>
        <w:t xml:space="preserve"> identified as: 1) unemployment; 2) inability to find affordable housing; 3) divorce/family separation; 4) eviction; 5) substance abuse; and 6) lack of education or job skills.  </w:t>
      </w:r>
      <w:r w:rsidR="00A83142" w:rsidRPr="00A83142">
        <w:rPr>
          <w:rFonts w:cs="Calibri"/>
          <w:color w:val="000000" w:themeColor="text1"/>
          <w:sz w:val="24"/>
          <w:szCs w:val="24"/>
        </w:rPr>
        <w:t xml:space="preserve">Inability to find affordable housing has quickly risen in the top concern for many as across the state stakeholder report more working people experiencing homelessness. </w:t>
      </w:r>
    </w:p>
    <w:p w14:paraId="2FE27E3F" w14:textId="388AE4CF" w:rsidR="007501A7" w:rsidRPr="00A83142" w:rsidRDefault="007501A7" w:rsidP="00DE53B6">
      <w:pPr>
        <w:spacing w:beforeAutospacing="1" w:afterAutospacing="1"/>
        <w:jc w:val="both"/>
        <w:rPr>
          <w:rFonts w:cs="Calibri"/>
          <w:color w:val="000000" w:themeColor="text1"/>
          <w:sz w:val="24"/>
          <w:szCs w:val="24"/>
        </w:rPr>
      </w:pPr>
      <w:r w:rsidRPr="00A83142">
        <w:rPr>
          <w:rFonts w:cs="Calibri"/>
          <w:color w:val="000000" w:themeColor="text1"/>
          <w:sz w:val="24"/>
          <w:szCs w:val="24"/>
        </w:rPr>
        <w:t xml:space="preserve">One prevalent commonality among those experiencing homelessness is the existence of a disabling condition.  With this understanding, the </w:t>
      </w:r>
      <w:r w:rsidR="56021220" w:rsidRPr="098FA5AC">
        <w:rPr>
          <w:rFonts w:cs="Calibri"/>
          <w:color w:val="000000" w:themeColor="text1"/>
          <w:sz w:val="24"/>
          <w:szCs w:val="24"/>
        </w:rPr>
        <w:t>B</w:t>
      </w:r>
      <w:r w:rsidR="2ECF631E" w:rsidRPr="098FA5AC">
        <w:rPr>
          <w:rFonts w:cs="Calibri"/>
          <w:color w:val="000000" w:themeColor="text1"/>
          <w:sz w:val="24"/>
          <w:szCs w:val="24"/>
        </w:rPr>
        <w:t>o</w:t>
      </w:r>
      <w:r w:rsidR="56021220" w:rsidRPr="098FA5AC">
        <w:rPr>
          <w:rFonts w:cs="Calibri"/>
          <w:color w:val="000000" w:themeColor="text1"/>
          <w:sz w:val="24"/>
          <w:szCs w:val="24"/>
        </w:rPr>
        <w:t xml:space="preserve">S </w:t>
      </w:r>
      <w:r w:rsidR="3CD7B941" w:rsidRPr="098FA5AC">
        <w:rPr>
          <w:rFonts w:cs="Calibri"/>
          <w:color w:val="000000" w:themeColor="text1"/>
          <w:sz w:val="24"/>
          <w:szCs w:val="24"/>
        </w:rPr>
        <w:t>CoC</w:t>
      </w:r>
      <w:r w:rsidRPr="00A83142">
        <w:rPr>
          <w:rFonts w:cs="Calibri"/>
          <w:color w:val="000000" w:themeColor="text1"/>
          <w:sz w:val="24"/>
          <w:szCs w:val="24"/>
        </w:rPr>
        <w:t xml:space="preserve"> and staff administering </w:t>
      </w:r>
      <w:r w:rsidR="3CD7B941" w:rsidRPr="098FA5AC">
        <w:rPr>
          <w:rFonts w:cs="Calibri"/>
          <w:color w:val="000000" w:themeColor="text1"/>
          <w:sz w:val="24"/>
          <w:szCs w:val="24"/>
        </w:rPr>
        <w:t>CoC</w:t>
      </w:r>
      <w:r w:rsidR="00A83142" w:rsidRPr="00A83142">
        <w:rPr>
          <w:rFonts w:cs="Calibri"/>
          <w:color w:val="000000" w:themeColor="text1"/>
          <w:sz w:val="24"/>
          <w:szCs w:val="24"/>
        </w:rPr>
        <w:t xml:space="preserve"> and </w:t>
      </w:r>
      <w:r w:rsidRPr="00A83142">
        <w:rPr>
          <w:rFonts w:cs="Calibri"/>
          <w:color w:val="000000" w:themeColor="text1"/>
          <w:sz w:val="24"/>
          <w:szCs w:val="24"/>
        </w:rPr>
        <w:t xml:space="preserve">ESG programs attempt to seek out services and resources linked to the causes of homelessness listed above, as these most certainly become barriers to later locating and securing housing.  To that end, services must also include resources that aid those experiencing homelessness in extinguishing barriers that may have arisen </w:t>
      </w:r>
      <w:proofErr w:type="gramStart"/>
      <w:r w:rsidRPr="00A83142">
        <w:rPr>
          <w:rFonts w:cs="Calibri"/>
          <w:color w:val="000000" w:themeColor="text1"/>
          <w:sz w:val="24"/>
          <w:szCs w:val="24"/>
        </w:rPr>
        <w:t>as a result of</w:t>
      </w:r>
      <w:proofErr w:type="gramEnd"/>
      <w:r w:rsidRPr="00A83142">
        <w:rPr>
          <w:rFonts w:cs="Calibri"/>
          <w:color w:val="000000" w:themeColor="text1"/>
          <w:sz w:val="24"/>
          <w:szCs w:val="24"/>
        </w:rPr>
        <w:t xml:space="preserve"> becoming homeless, such as poor credit, criminal history, poor finances, etc.</w:t>
      </w:r>
      <w:r w:rsidR="00A83142" w:rsidRPr="00A83142">
        <w:rPr>
          <w:rFonts w:cs="Calibri"/>
          <w:color w:val="000000" w:themeColor="text1"/>
          <w:sz w:val="24"/>
          <w:szCs w:val="24"/>
        </w:rPr>
        <w:t xml:space="preserve"> These barriers related to background were a frequent topic of concern throughout community consultation. </w:t>
      </w:r>
    </w:p>
    <w:p w14:paraId="1F12105A" w14:textId="22BE5E2F" w:rsidR="007501A7" w:rsidRPr="00A83142" w:rsidRDefault="007501A7" w:rsidP="00DE53B6">
      <w:pPr>
        <w:spacing w:beforeAutospacing="1" w:afterAutospacing="1"/>
        <w:jc w:val="both"/>
        <w:rPr>
          <w:rFonts w:cs="Calibri"/>
          <w:color w:val="000000" w:themeColor="text1"/>
          <w:sz w:val="24"/>
          <w:szCs w:val="24"/>
        </w:rPr>
      </w:pPr>
      <w:r w:rsidRPr="00A83142">
        <w:rPr>
          <w:rFonts w:cs="Calibri"/>
          <w:color w:val="000000" w:themeColor="text1"/>
          <w:sz w:val="24"/>
          <w:szCs w:val="24"/>
        </w:rPr>
        <w:lastRenderedPageBreak/>
        <w:t xml:space="preserve">Additional efforts will be made to link healthcare and housing providers and promote affordable housing projects which encourage access to supportive services for homeless families and individuals.  IHFA’s efforts in researching homelessness solutions, the receipt of HUD technical assistance to form partnerships between housing and healthcare providers and proactively </w:t>
      </w:r>
      <w:r w:rsidR="56021220" w:rsidRPr="098FA5AC">
        <w:rPr>
          <w:rFonts w:cs="Calibri"/>
          <w:color w:val="000000" w:themeColor="text1"/>
          <w:sz w:val="24"/>
          <w:szCs w:val="24"/>
        </w:rPr>
        <w:t>seek</w:t>
      </w:r>
      <w:r w:rsidRPr="00A83142">
        <w:rPr>
          <w:rFonts w:cs="Calibri"/>
          <w:color w:val="000000" w:themeColor="text1"/>
          <w:sz w:val="24"/>
          <w:szCs w:val="24"/>
        </w:rPr>
        <w:t xml:space="preserve"> systems that successfully pair vulnerable populations to appropriate services will all generate a positive impact on Idaho’s homeless population.  </w:t>
      </w:r>
    </w:p>
    <w:p w14:paraId="5FD6009D" w14:textId="77777777" w:rsidR="007501A7" w:rsidRDefault="007501A7" w:rsidP="00DE53B6">
      <w:pPr>
        <w:spacing w:line="204" w:lineRule="auto"/>
        <w:jc w:val="both"/>
        <w:rPr>
          <w:b/>
          <w:sz w:val="24"/>
          <w:szCs w:val="24"/>
        </w:rPr>
      </w:pPr>
    </w:p>
    <w:p w14:paraId="639628AA" w14:textId="77777777" w:rsidR="009B0FCC" w:rsidRDefault="009B0FCC" w:rsidP="009B0FCC">
      <w:pPr>
        <w:pStyle w:val="Heading2"/>
        <w:pageBreakBefore/>
        <w:rPr>
          <w:rFonts w:ascii="Calibri" w:hAnsi="Calibri"/>
          <w:i/>
        </w:rPr>
      </w:pPr>
      <w:bookmarkStart w:id="41" w:name="_Toc194673852"/>
      <w:r>
        <w:rPr>
          <w:rFonts w:ascii="Calibri" w:hAnsi="Calibri"/>
        </w:rPr>
        <w:lastRenderedPageBreak/>
        <w:t>MA-35 Special Needs Facilities and Services – 91.310(c)</w:t>
      </w:r>
      <w:bookmarkEnd w:id="41"/>
    </w:p>
    <w:p w14:paraId="12A2ED51" w14:textId="77777777" w:rsidR="009B0FCC" w:rsidRDefault="009B0FCC" w:rsidP="00DE53B6">
      <w:pPr>
        <w:keepNext/>
        <w:widowControl w:val="0"/>
        <w:spacing w:after="0" w:line="204" w:lineRule="auto"/>
        <w:jc w:val="both"/>
        <w:rPr>
          <w:b/>
          <w:bCs/>
          <w:sz w:val="24"/>
          <w:szCs w:val="24"/>
        </w:rPr>
      </w:pPr>
      <w:r w:rsidRPr="497B8E2D">
        <w:rPr>
          <w:b/>
          <w:bCs/>
          <w:sz w:val="24"/>
          <w:szCs w:val="24"/>
        </w:rPr>
        <w:t>Introduction</w:t>
      </w:r>
    </w:p>
    <w:p w14:paraId="6D78E7FA" w14:textId="674B8FBC" w:rsidR="009B0FCC" w:rsidRPr="00A83142" w:rsidRDefault="009B0FCC" w:rsidP="00DE53B6">
      <w:pPr>
        <w:jc w:val="both"/>
        <w:rPr>
          <w:rFonts w:cs="Calibri"/>
          <w:sz w:val="24"/>
          <w:szCs w:val="24"/>
        </w:rPr>
      </w:pPr>
      <w:r w:rsidRPr="00A83142">
        <w:rPr>
          <w:rFonts w:cs="Calibri"/>
          <w:sz w:val="24"/>
          <w:szCs w:val="24"/>
        </w:rPr>
        <w:t xml:space="preserve">Many Idaho residents face homelessness, or the risk of becoming homeless, each year.  As the main recipient of homelessness assistance funding, Idaho Housing and Finance Association is the recipient of </w:t>
      </w:r>
      <w:proofErr w:type="gramStart"/>
      <w:r w:rsidRPr="00A83142">
        <w:rPr>
          <w:rFonts w:cs="Calibri"/>
          <w:sz w:val="24"/>
          <w:szCs w:val="24"/>
        </w:rPr>
        <w:t>the majority of</w:t>
      </w:r>
      <w:proofErr w:type="gramEnd"/>
      <w:r w:rsidRPr="00A83142">
        <w:rPr>
          <w:rFonts w:cs="Calibri"/>
          <w:sz w:val="24"/>
          <w:szCs w:val="24"/>
        </w:rPr>
        <w:t xml:space="preserve"> homelessness assistance funds. IHFA administers the </w:t>
      </w:r>
      <w:r w:rsidR="00E13405">
        <w:rPr>
          <w:rFonts w:cs="Calibri"/>
          <w:sz w:val="24"/>
          <w:szCs w:val="24"/>
        </w:rPr>
        <w:t xml:space="preserve">CoC and </w:t>
      </w:r>
      <w:r w:rsidRPr="00A83142">
        <w:rPr>
          <w:rFonts w:cs="Calibri"/>
          <w:sz w:val="24"/>
          <w:szCs w:val="24"/>
        </w:rPr>
        <w:t xml:space="preserve">ESG </w:t>
      </w:r>
      <w:r w:rsidR="6B92611D" w:rsidRPr="098FA5AC">
        <w:rPr>
          <w:rFonts w:cs="Calibri"/>
          <w:sz w:val="24"/>
          <w:szCs w:val="24"/>
        </w:rPr>
        <w:t>program</w:t>
      </w:r>
      <w:r w:rsidR="00E13405">
        <w:rPr>
          <w:rFonts w:cs="Calibri"/>
          <w:sz w:val="24"/>
          <w:szCs w:val="24"/>
        </w:rPr>
        <w:t>s</w:t>
      </w:r>
      <w:r w:rsidRPr="00A83142">
        <w:rPr>
          <w:rFonts w:cs="Calibri"/>
          <w:sz w:val="24"/>
          <w:szCs w:val="24"/>
        </w:rPr>
        <w:t xml:space="preserve"> to meet the special needs and services for communities in the state.  While also maintaining Idaho’s Homeless Management Information System, HOME</w:t>
      </w:r>
      <w:r w:rsidR="76091930" w:rsidRPr="00A83142">
        <w:rPr>
          <w:rFonts w:cs="Calibri"/>
          <w:sz w:val="24"/>
          <w:szCs w:val="24"/>
        </w:rPr>
        <w:t>/HTF,</w:t>
      </w:r>
      <w:r w:rsidRPr="00A83142">
        <w:rPr>
          <w:rFonts w:cs="Calibri"/>
          <w:sz w:val="24"/>
          <w:szCs w:val="24"/>
        </w:rPr>
        <w:t xml:space="preserve"> Low Income Housing Tax Credit allocations, and a large portion of the total Section 8 Housing Choice Vouchers available in the state, IHFA is </w:t>
      </w:r>
      <w:r w:rsidR="6B92611D" w:rsidRPr="098FA5AC">
        <w:rPr>
          <w:rFonts w:cs="Calibri"/>
          <w:sz w:val="24"/>
          <w:szCs w:val="24"/>
        </w:rPr>
        <w:t>unique</w:t>
      </w:r>
      <w:r w:rsidR="22290829" w:rsidRPr="098FA5AC">
        <w:rPr>
          <w:rFonts w:cs="Calibri"/>
          <w:sz w:val="24"/>
          <w:szCs w:val="24"/>
        </w:rPr>
        <w:t>ly</w:t>
      </w:r>
      <w:r w:rsidR="6B92611D" w:rsidRPr="098FA5AC">
        <w:rPr>
          <w:rFonts w:cs="Calibri"/>
          <w:sz w:val="24"/>
          <w:szCs w:val="24"/>
        </w:rPr>
        <w:t xml:space="preserve"> position</w:t>
      </w:r>
      <w:r w:rsidR="63A85F15" w:rsidRPr="098FA5AC">
        <w:rPr>
          <w:rFonts w:cs="Calibri"/>
          <w:sz w:val="24"/>
          <w:szCs w:val="24"/>
        </w:rPr>
        <w:t>ed</w:t>
      </w:r>
      <w:r w:rsidRPr="00A83142">
        <w:rPr>
          <w:rFonts w:cs="Calibri"/>
          <w:sz w:val="24"/>
          <w:szCs w:val="24"/>
        </w:rPr>
        <w:t xml:space="preserve"> to pair resources and form partnerships with others to promote a positive impact upon the living situation of homeless persons in Idaho and meet the needs of different communities in the state.</w:t>
      </w:r>
    </w:p>
    <w:p w14:paraId="52684C25" w14:textId="6DD388EC" w:rsidR="009B0FCC" w:rsidRPr="00A83142" w:rsidRDefault="009B0FCC" w:rsidP="00DE53B6">
      <w:pPr>
        <w:spacing w:line="240" w:lineRule="auto"/>
        <w:jc w:val="both"/>
        <w:rPr>
          <w:b/>
          <w:bCs/>
          <w:sz w:val="24"/>
          <w:szCs w:val="24"/>
        </w:rPr>
      </w:pPr>
      <w:bookmarkStart w:id="42" w:name="_Hlk193796446"/>
      <w:r w:rsidRPr="00A83142">
        <w:rPr>
          <w:b/>
          <w:bCs/>
          <w:sz w:val="24"/>
          <w:szCs w:val="24"/>
        </w:rPr>
        <w:t>To the extent information is available, describe the facilities and services that assist persons who are not homeless but who require supportive housing, and programs for ensuring that persons returning from mental and physical health institutions receive appropriate supportive housing</w:t>
      </w:r>
      <w:r w:rsidR="03763630" w:rsidRPr="098FA5AC">
        <w:rPr>
          <w:b/>
          <w:bCs/>
          <w:sz w:val="24"/>
          <w:szCs w:val="24"/>
        </w:rPr>
        <w:t>.</w:t>
      </w:r>
    </w:p>
    <w:bookmarkEnd w:id="42"/>
    <w:p w14:paraId="2C957A5B" w14:textId="19587B1D" w:rsidR="3E9B4CC2" w:rsidRPr="00A83142" w:rsidRDefault="007105F1" w:rsidP="00DE53B6">
      <w:pPr>
        <w:jc w:val="both"/>
        <w:rPr>
          <w:rFonts w:cs="Calibri"/>
          <w:sz w:val="24"/>
          <w:szCs w:val="24"/>
        </w:rPr>
      </w:pPr>
      <w:r>
        <w:rPr>
          <w:rFonts w:cs="Calibri"/>
          <w:sz w:val="24"/>
          <w:szCs w:val="24"/>
        </w:rPr>
        <w:t xml:space="preserve">See </w:t>
      </w:r>
      <w:r w:rsidR="00DE53B6">
        <w:rPr>
          <w:rFonts w:cs="Calibri"/>
          <w:sz w:val="24"/>
          <w:szCs w:val="24"/>
        </w:rPr>
        <w:t>U</w:t>
      </w:r>
      <w:r>
        <w:rPr>
          <w:rFonts w:cs="Calibri"/>
          <w:sz w:val="24"/>
          <w:szCs w:val="24"/>
        </w:rPr>
        <w:t xml:space="preserve">nique </w:t>
      </w:r>
      <w:r w:rsidR="00DE53B6">
        <w:rPr>
          <w:rFonts w:cs="Calibri"/>
          <w:sz w:val="24"/>
          <w:szCs w:val="24"/>
        </w:rPr>
        <w:t>A</w:t>
      </w:r>
      <w:r>
        <w:rPr>
          <w:rFonts w:cs="Calibri"/>
          <w:sz w:val="24"/>
          <w:szCs w:val="24"/>
        </w:rPr>
        <w:t>ppendices.</w:t>
      </w:r>
    </w:p>
    <w:p w14:paraId="23950A28" w14:textId="3EE8D041" w:rsidR="009B0FCC" w:rsidRPr="00A83142" w:rsidRDefault="009B0FCC" w:rsidP="00DE53B6">
      <w:pPr>
        <w:jc w:val="both"/>
        <w:rPr>
          <w:b/>
          <w:bCs/>
          <w:sz w:val="24"/>
          <w:szCs w:val="24"/>
        </w:rPr>
      </w:pPr>
      <w:r w:rsidRPr="00A83142">
        <w:rPr>
          <w:b/>
          <w:bCs/>
          <w:sz w:val="24"/>
          <w:szCs w:val="24"/>
        </w:rPr>
        <w:t>Describe programs for ensuring that persons returning from mental and physical health institutions receive appropriate supportive housing</w:t>
      </w:r>
      <w:r w:rsidR="52200F99" w:rsidRPr="098FA5AC">
        <w:rPr>
          <w:b/>
          <w:bCs/>
          <w:sz w:val="24"/>
          <w:szCs w:val="24"/>
        </w:rPr>
        <w:t>.</w:t>
      </w:r>
    </w:p>
    <w:p w14:paraId="27B36C96" w14:textId="401108E5" w:rsidR="009B0FCC" w:rsidRPr="00A83142" w:rsidRDefault="009B0FCC" w:rsidP="00DE53B6">
      <w:pPr>
        <w:jc w:val="both"/>
        <w:rPr>
          <w:rFonts w:cs="Calibri"/>
          <w:sz w:val="24"/>
          <w:szCs w:val="24"/>
        </w:rPr>
      </w:pPr>
      <w:r w:rsidRPr="00A83142">
        <w:rPr>
          <w:rFonts w:cs="Calibri"/>
          <w:sz w:val="24"/>
          <w:szCs w:val="24"/>
        </w:rPr>
        <w:t xml:space="preserve">One definition of homelessness includes those individuals that are exiting a facility or institution who were homeless prior to entry, and when exiting, do so without services made available through their placement into society.  Resources to house these individuals, and potentially their families, are used to house them rapidly to minimize their potential to become, or time experiencing, homelessness.  Services necessary to eliminate barriers to permanent housing and gainful employment are made available.  Encouraging housing providers to adopt low-barrier eligibility screening, and promoting this system-wide within the </w:t>
      </w:r>
      <w:r w:rsidR="3CD7B941" w:rsidRPr="098FA5AC">
        <w:rPr>
          <w:rFonts w:cs="Calibri"/>
          <w:sz w:val="24"/>
          <w:szCs w:val="24"/>
        </w:rPr>
        <w:t>CoC</w:t>
      </w:r>
      <w:r w:rsidRPr="00A83142">
        <w:rPr>
          <w:rFonts w:cs="Calibri"/>
          <w:sz w:val="24"/>
          <w:szCs w:val="24"/>
        </w:rPr>
        <w:t xml:space="preserve">, will help to avoid homelessness or minimize the length of time individuals and families spend in homelessness.  </w:t>
      </w:r>
      <w:r w:rsidR="62660804" w:rsidRPr="098FA5AC">
        <w:rPr>
          <w:rFonts w:cs="Calibri"/>
          <w:sz w:val="24"/>
          <w:szCs w:val="24"/>
        </w:rPr>
        <w:t>“</w:t>
      </w:r>
      <w:r w:rsidRPr="00A83142">
        <w:rPr>
          <w:rFonts w:cs="Calibri"/>
          <w:sz w:val="24"/>
          <w:szCs w:val="24"/>
        </w:rPr>
        <w:t xml:space="preserve">The Facilities and Services </w:t>
      </w:r>
      <w:proofErr w:type="gramStart"/>
      <w:r w:rsidRPr="00A83142">
        <w:rPr>
          <w:rFonts w:cs="Calibri"/>
          <w:sz w:val="24"/>
          <w:szCs w:val="24"/>
        </w:rPr>
        <w:t>For</w:t>
      </w:r>
      <w:proofErr w:type="gramEnd"/>
      <w:r w:rsidRPr="00A83142">
        <w:rPr>
          <w:rFonts w:cs="Calibri"/>
          <w:sz w:val="24"/>
          <w:szCs w:val="24"/>
        </w:rPr>
        <w:t xml:space="preserve"> Non-Homeless Persons</w:t>
      </w:r>
      <w:r w:rsidR="782450DD" w:rsidRPr="098FA5AC">
        <w:rPr>
          <w:rFonts w:cs="Calibri"/>
          <w:sz w:val="24"/>
          <w:szCs w:val="24"/>
        </w:rPr>
        <w:t>”</w:t>
      </w:r>
      <w:r w:rsidRPr="00A83142">
        <w:rPr>
          <w:rFonts w:cs="Calibri"/>
          <w:sz w:val="24"/>
          <w:szCs w:val="24"/>
        </w:rPr>
        <w:t xml:space="preserve"> table includes resources that those exiting mental or physical health institutions can access supportive housing or appropriate services.      </w:t>
      </w:r>
    </w:p>
    <w:p w14:paraId="685CA894" w14:textId="77777777" w:rsidR="009B0FCC" w:rsidRPr="00A83142" w:rsidRDefault="009B0FCC" w:rsidP="00DE53B6">
      <w:pPr>
        <w:jc w:val="both"/>
        <w:rPr>
          <w:b/>
          <w:bCs/>
          <w:sz w:val="24"/>
          <w:szCs w:val="24"/>
        </w:rPr>
      </w:pPr>
      <w:r w:rsidRPr="00A83142">
        <w:rPr>
          <w:b/>
          <w:bCs/>
          <w:sz w:val="24"/>
          <w:szCs w:val="24"/>
        </w:rPr>
        <w:t>Specify the activities that the jurisdiction plans to undertake during the next year to address the housing and supportive services needs identified in accordance with 91.215(e) with respect to persons who are not homeless but have other special needs.  Link to one-year goals. 91.315(e)</w:t>
      </w:r>
    </w:p>
    <w:p w14:paraId="5FDCA35C" w14:textId="41639925" w:rsidR="009B0FCC" w:rsidRPr="00A83142" w:rsidRDefault="009B0FCC" w:rsidP="00DE53B6">
      <w:pPr>
        <w:jc w:val="both"/>
        <w:rPr>
          <w:b/>
          <w:bCs/>
          <w:sz w:val="24"/>
          <w:szCs w:val="24"/>
        </w:rPr>
      </w:pPr>
      <w:r w:rsidRPr="00A83142">
        <w:rPr>
          <w:rFonts w:cs="Calibri"/>
          <w:sz w:val="24"/>
          <w:szCs w:val="24"/>
        </w:rPr>
        <w:t xml:space="preserve">The </w:t>
      </w:r>
      <w:r w:rsidR="030653EA" w:rsidRPr="098FA5AC">
        <w:rPr>
          <w:rFonts w:cs="Calibri"/>
          <w:sz w:val="24"/>
          <w:szCs w:val="24"/>
        </w:rPr>
        <w:t>S</w:t>
      </w:r>
      <w:r w:rsidR="6B92611D" w:rsidRPr="098FA5AC">
        <w:rPr>
          <w:rFonts w:cs="Calibri"/>
          <w:sz w:val="24"/>
          <w:szCs w:val="24"/>
        </w:rPr>
        <w:t xml:space="preserve">pecial </w:t>
      </w:r>
      <w:r w:rsidR="4A74385B" w:rsidRPr="098FA5AC">
        <w:rPr>
          <w:rFonts w:cs="Calibri"/>
          <w:sz w:val="24"/>
          <w:szCs w:val="24"/>
        </w:rPr>
        <w:t>N</w:t>
      </w:r>
      <w:r w:rsidR="6B92611D" w:rsidRPr="098FA5AC">
        <w:rPr>
          <w:rFonts w:cs="Calibri"/>
          <w:sz w:val="24"/>
          <w:szCs w:val="24"/>
        </w:rPr>
        <w:t xml:space="preserve">eeds </w:t>
      </w:r>
      <w:r w:rsidR="14CFB873" w:rsidRPr="098FA5AC">
        <w:rPr>
          <w:rFonts w:cs="Calibri"/>
          <w:sz w:val="24"/>
          <w:szCs w:val="24"/>
        </w:rPr>
        <w:t>H</w:t>
      </w:r>
      <w:r w:rsidR="6B92611D" w:rsidRPr="098FA5AC">
        <w:rPr>
          <w:rFonts w:cs="Calibri"/>
          <w:sz w:val="24"/>
          <w:szCs w:val="24"/>
        </w:rPr>
        <w:t xml:space="preserve">ousing </w:t>
      </w:r>
      <w:r w:rsidR="2D83E719" w:rsidRPr="098FA5AC">
        <w:rPr>
          <w:rFonts w:cs="Calibri"/>
          <w:sz w:val="24"/>
          <w:szCs w:val="24"/>
        </w:rPr>
        <w:t>P</w:t>
      </w:r>
      <w:r w:rsidR="6B92611D" w:rsidRPr="098FA5AC">
        <w:rPr>
          <w:rFonts w:cs="Calibri"/>
          <w:sz w:val="24"/>
          <w:szCs w:val="24"/>
        </w:rPr>
        <w:t>rograms</w:t>
      </w:r>
      <w:r w:rsidRPr="00A83142">
        <w:rPr>
          <w:rFonts w:cs="Calibri"/>
          <w:sz w:val="24"/>
          <w:szCs w:val="24"/>
        </w:rPr>
        <w:t xml:space="preserve"> administered by IHFA predominately serve homeless persons.  In many cases, these HUD program requirements do not allow funds to be used for non-</w:t>
      </w:r>
      <w:r w:rsidRPr="00A83142">
        <w:rPr>
          <w:rFonts w:cs="Calibri"/>
          <w:sz w:val="24"/>
          <w:szCs w:val="24"/>
        </w:rPr>
        <w:lastRenderedPageBreak/>
        <w:t xml:space="preserve">homeless individuals.  However, ESG funds can be used for homelessness prevention and rapid re-housing activities.  Although an applicant must meet one of several HUD homeless definitions, one of those is being imminently at risk of homelessness (Category 2 of HUD’s homeless definition) which means they would still be housed when assistance is provided.  Those accessing ESG homelessness prevention and rapid re-housing assistance may receive short to medium term tenant-based rental assistance and/or housing relocation and stabilization services, including financial counseling, housing locator assistance, and housing stability case management.  </w:t>
      </w:r>
    </w:p>
    <w:p w14:paraId="2E73EC2C" w14:textId="77777777" w:rsidR="009B0FCC" w:rsidRPr="00A83142" w:rsidRDefault="009B0FCC" w:rsidP="00DE53B6">
      <w:pPr>
        <w:spacing w:line="204" w:lineRule="auto"/>
        <w:jc w:val="both"/>
        <w:rPr>
          <w:b/>
          <w:sz w:val="24"/>
          <w:szCs w:val="24"/>
        </w:rPr>
      </w:pPr>
      <w:r w:rsidRPr="00A83142">
        <w:rPr>
          <w:b/>
          <w:sz w:val="24"/>
          <w:szCs w:val="24"/>
        </w:rPr>
        <w:t>For entitlement/consortia grantees: Specify the activities that the jurisdiction plans to undertake during the next year to address the housing and supportive services needs identified in accordance with 91.215(e) with respect to persons who are not homeless but have other special needs.  Link to one-year goals. (91.220(2))</w:t>
      </w:r>
    </w:p>
    <w:p w14:paraId="30380F1B" w14:textId="77777777" w:rsidR="009B0FCC" w:rsidRPr="00A83142" w:rsidRDefault="009B0FCC" w:rsidP="00DE53B6">
      <w:pPr>
        <w:jc w:val="both"/>
        <w:rPr>
          <w:rFonts w:cs="Arial"/>
          <w:sz w:val="24"/>
          <w:szCs w:val="24"/>
        </w:rPr>
      </w:pPr>
      <w:r w:rsidRPr="00A83142">
        <w:rPr>
          <w:rFonts w:cs="Arial"/>
          <w:sz w:val="24"/>
          <w:szCs w:val="24"/>
        </w:rPr>
        <w:t>N/A</w:t>
      </w:r>
    </w:p>
    <w:p w14:paraId="71A83E58" w14:textId="77777777" w:rsidR="009B0FCC" w:rsidRDefault="009B0FCC" w:rsidP="009B0FCC">
      <w:pPr>
        <w:pStyle w:val="Heading2"/>
        <w:pageBreakBefore/>
        <w:rPr>
          <w:rFonts w:ascii="Calibri" w:hAnsi="Calibri"/>
          <w:i/>
        </w:rPr>
      </w:pPr>
      <w:bookmarkStart w:id="43" w:name="_Toc194673853"/>
      <w:r>
        <w:rPr>
          <w:rFonts w:ascii="Calibri" w:hAnsi="Calibri"/>
        </w:rPr>
        <w:lastRenderedPageBreak/>
        <w:t>MA-40 Barriers to Affordable Housing – 91.310(d)</w:t>
      </w:r>
      <w:bookmarkEnd w:id="43"/>
    </w:p>
    <w:p w14:paraId="5E6CB75E" w14:textId="77777777" w:rsidR="009B0FCC" w:rsidRDefault="009B0FCC" w:rsidP="009B0FCC">
      <w:pPr>
        <w:rPr>
          <w:b/>
          <w:sz w:val="24"/>
          <w:szCs w:val="24"/>
        </w:rPr>
      </w:pPr>
      <w:r>
        <w:rPr>
          <w:b/>
          <w:sz w:val="24"/>
          <w:szCs w:val="24"/>
        </w:rPr>
        <w:t>Negative Effects of Public Policies on Affordable Housing and Residential Investment</w:t>
      </w:r>
    </w:p>
    <w:p w14:paraId="505828ED" w14:textId="11474728" w:rsidR="007105F1" w:rsidRDefault="007105F1" w:rsidP="009B0FCC">
      <w:pPr>
        <w:rPr>
          <w:rFonts w:cs="Arial"/>
          <w:sz w:val="24"/>
          <w:szCs w:val="24"/>
        </w:rPr>
      </w:pPr>
      <w:r>
        <w:rPr>
          <w:rFonts w:cs="Arial"/>
          <w:sz w:val="24"/>
          <w:szCs w:val="24"/>
        </w:rPr>
        <w:t xml:space="preserve">See </w:t>
      </w:r>
      <w:r w:rsidR="00DE53B6">
        <w:rPr>
          <w:rFonts w:cs="Arial"/>
          <w:sz w:val="24"/>
          <w:szCs w:val="24"/>
        </w:rPr>
        <w:t>U</w:t>
      </w:r>
      <w:r>
        <w:rPr>
          <w:rFonts w:cs="Arial"/>
          <w:sz w:val="24"/>
          <w:szCs w:val="24"/>
        </w:rPr>
        <w:t xml:space="preserve">nique </w:t>
      </w:r>
      <w:r w:rsidR="00DE53B6">
        <w:rPr>
          <w:rFonts w:cs="Arial"/>
          <w:sz w:val="24"/>
          <w:szCs w:val="24"/>
        </w:rPr>
        <w:t>A</w:t>
      </w:r>
      <w:r>
        <w:rPr>
          <w:rFonts w:cs="Arial"/>
          <w:sz w:val="24"/>
          <w:szCs w:val="24"/>
        </w:rPr>
        <w:t>ppendices</w:t>
      </w:r>
      <w:r w:rsidR="00DE53B6">
        <w:rPr>
          <w:rFonts w:cs="Arial"/>
          <w:sz w:val="24"/>
          <w:szCs w:val="24"/>
        </w:rPr>
        <w:t>.</w:t>
      </w:r>
    </w:p>
    <w:p w14:paraId="75EE9797" w14:textId="77777777" w:rsidR="009B0FCC" w:rsidRPr="00C00F48" w:rsidRDefault="009B0FCC" w:rsidP="009B0FCC">
      <w:pPr>
        <w:pStyle w:val="Heading2"/>
        <w:pageBreakBefore/>
        <w:rPr>
          <w:rFonts w:ascii="Calibri" w:hAnsi="Calibri"/>
          <w:iCs/>
        </w:rPr>
        <w:sectPr w:rsidR="009B0FCC" w:rsidRPr="00C00F48" w:rsidSect="009B0FCC">
          <w:pgSz w:w="12240" w:h="15840"/>
          <w:pgMar w:top="1440" w:right="1440" w:bottom="1440" w:left="1440" w:header="720" w:footer="720" w:gutter="0"/>
          <w:cols w:space="720"/>
          <w:docGrid w:linePitch="360"/>
        </w:sectPr>
      </w:pPr>
    </w:p>
    <w:p w14:paraId="5D3A82BA" w14:textId="77777777" w:rsidR="009B0FCC" w:rsidRDefault="009B0FCC" w:rsidP="009B0FCC">
      <w:pPr>
        <w:pStyle w:val="Heading2"/>
        <w:pageBreakBefore/>
        <w:rPr>
          <w:rFonts w:ascii="Calibri" w:hAnsi="Calibri"/>
          <w:i/>
          <w:iCs/>
        </w:rPr>
      </w:pPr>
      <w:bookmarkStart w:id="44" w:name="_Toc194673854"/>
      <w:r w:rsidRPr="497B8E2D">
        <w:rPr>
          <w:rFonts w:ascii="Calibri" w:hAnsi="Calibri"/>
        </w:rPr>
        <w:lastRenderedPageBreak/>
        <w:t>MA-45 Non-Housing Community Development Assets -91.315(f)</w:t>
      </w:r>
      <w:bookmarkEnd w:id="44"/>
      <w:r w:rsidRPr="497B8E2D">
        <w:rPr>
          <w:rFonts w:ascii="Calibri" w:hAnsi="Calibri"/>
        </w:rPr>
        <w:t xml:space="preserve"> </w:t>
      </w:r>
    </w:p>
    <w:p w14:paraId="28B5F19D" w14:textId="77777777" w:rsidR="009B0FCC" w:rsidRDefault="009B0FCC" w:rsidP="009B0FCC">
      <w:pPr>
        <w:spacing w:line="204" w:lineRule="auto"/>
        <w:rPr>
          <w:b/>
          <w:sz w:val="24"/>
          <w:szCs w:val="24"/>
        </w:rPr>
      </w:pPr>
      <w:r w:rsidRPr="497B8E2D">
        <w:rPr>
          <w:b/>
          <w:bCs/>
          <w:sz w:val="24"/>
          <w:szCs w:val="24"/>
        </w:rPr>
        <w:t>Introduction</w:t>
      </w:r>
    </w:p>
    <w:p w14:paraId="6702D7EB" w14:textId="77777777" w:rsidR="009B0FCC" w:rsidRDefault="009B0FCC" w:rsidP="00DE53B6">
      <w:pPr>
        <w:jc w:val="both"/>
      </w:pPr>
      <w:r w:rsidRPr="497B8E2D">
        <w:rPr>
          <w:rFonts w:cs="Calibri"/>
          <w:color w:val="000000" w:themeColor="text1"/>
          <w:sz w:val="24"/>
          <w:szCs w:val="24"/>
        </w:rPr>
        <w:t>There are many factors within a community that can impact housing supply and demand. The economic development of the community can play a major role in what type of home a household needs and what they can afford. The presence, or lack thereof, of specific industries can also decrease or increase the number of residents in a community. Throughout this section a variety of economic indicators will be described and analyzed. This will include business activity, labor force participation, travel time, education, and veterans.</w:t>
      </w:r>
    </w:p>
    <w:p w14:paraId="04487FCA" w14:textId="77777777" w:rsidR="009B0FCC" w:rsidRDefault="009B0FCC" w:rsidP="009B0FCC">
      <w:pPr>
        <w:keepNext/>
        <w:widowControl w:val="0"/>
        <w:rPr>
          <w:b/>
          <w:bCs/>
          <w:sz w:val="24"/>
          <w:szCs w:val="24"/>
        </w:rPr>
      </w:pPr>
      <w:r w:rsidRPr="497B8E2D">
        <w:rPr>
          <w:b/>
          <w:bCs/>
          <w:sz w:val="24"/>
          <w:szCs w:val="24"/>
        </w:rPr>
        <w:t>Economic Development Market Analysis</w:t>
      </w:r>
    </w:p>
    <w:p w14:paraId="6C5B1590" w14:textId="77777777" w:rsidR="009B0FCC" w:rsidRDefault="009B0FCC" w:rsidP="009B0FCC">
      <w:pPr>
        <w:keepNext/>
        <w:widowControl w:val="0"/>
        <w:rPr>
          <w:b/>
          <w:sz w:val="24"/>
          <w:szCs w:val="24"/>
        </w:rPr>
      </w:pPr>
      <w:r>
        <w:rPr>
          <w:b/>
          <w:sz w:val="24"/>
          <w:szCs w:val="24"/>
        </w:rPr>
        <w:t>Business Activity</w:t>
      </w:r>
    </w:p>
    <w:p w14:paraId="2109F159" w14:textId="34E82BB4" w:rsidR="003D2708" w:rsidRPr="001770B0" w:rsidRDefault="003D2708" w:rsidP="009B0FCC">
      <w:pPr>
        <w:keepNext/>
        <w:widowControl w:val="0"/>
        <w:rPr>
          <w:bCs/>
          <w:sz w:val="24"/>
          <w:szCs w:val="24"/>
        </w:rPr>
      </w:pPr>
      <w:r w:rsidRPr="001770B0">
        <w:rPr>
          <w:bCs/>
          <w:sz w:val="24"/>
          <w:szCs w:val="24"/>
        </w:rPr>
        <w:t>See Unique Appendices</w:t>
      </w:r>
      <w:r w:rsidR="001770B0">
        <w:rPr>
          <w:bCs/>
          <w:sz w:val="24"/>
          <w:szCs w:val="24"/>
        </w:rPr>
        <w: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gridCol w:w="1529"/>
        <w:gridCol w:w="1530"/>
        <w:gridCol w:w="1530"/>
        <w:gridCol w:w="1530"/>
        <w:gridCol w:w="1530"/>
      </w:tblGrid>
      <w:tr w:rsidR="009B0FCC" w14:paraId="3DA78764" w14:textId="77777777" w:rsidTr="00721F16">
        <w:trPr>
          <w:cantSplit/>
          <w:tblHeader/>
        </w:trPr>
        <w:tc>
          <w:tcPr>
            <w:tcW w:w="3907" w:type="dxa"/>
          </w:tcPr>
          <w:p w14:paraId="7D572374" w14:textId="77777777" w:rsidR="009B0FCC" w:rsidRDefault="009B0FCC" w:rsidP="00721F16">
            <w:pPr>
              <w:keepNext/>
              <w:widowControl w:val="0"/>
              <w:spacing w:after="0" w:line="240" w:lineRule="auto"/>
              <w:jc w:val="center"/>
              <w:rPr>
                <w:b/>
                <w:bCs/>
                <w:sz w:val="16"/>
                <w:szCs w:val="16"/>
              </w:rPr>
            </w:pPr>
            <w:r w:rsidRPr="497B8E2D">
              <w:rPr>
                <w:b/>
                <w:bCs/>
                <w:sz w:val="16"/>
                <w:szCs w:val="16"/>
              </w:rPr>
              <w:t>Business by Sector</w:t>
            </w:r>
          </w:p>
        </w:tc>
        <w:tc>
          <w:tcPr>
            <w:tcW w:w="1133" w:type="dxa"/>
          </w:tcPr>
          <w:p w14:paraId="12F819F2" w14:textId="77777777" w:rsidR="009B0FCC" w:rsidRDefault="009B0FCC" w:rsidP="00721F16">
            <w:pPr>
              <w:keepNext/>
              <w:widowControl w:val="0"/>
              <w:spacing w:after="0" w:line="240" w:lineRule="auto"/>
              <w:jc w:val="center"/>
            </w:pPr>
            <w:r>
              <w:rPr>
                <w:b/>
                <w:sz w:val="16"/>
                <w:szCs w:val="16"/>
              </w:rPr>
              <w:t>Number of Workers</w:t>
            </w:r>
          </w:p>
        </w:tc>
        <w:tc>
          <w:tcPr>
            <w:tcW w:w="1134" w:type="dxa"/>
          </w:tcPr>
          <w:p w14:paraId="530815AE" w14:textId="77777777" w:rsidR="009B0FCC" w:rsidRDefault="009B0FCC" w:rsidP="00721F16">
            <w:pPr>
              <w:keepNext/>
              <w:widowControl w:val="0"/>
              <w:spacing w:after="0" w:line="240" w:lineRule="auto"/>
              <w:jc w:val="center"/>
            </w:pPr>
            <w:r>
              <w:rPr>
                <w:b/>
                <w:sz w:val="16"/>
                <w:szCs w:val="16"/>
              </w:rPr>
              <w:t>Number of Jobs</w:t>
            </w:r>
          </w:p>
        </w:tc>
        <w:tc>
          <w:tcPr>
            <w:tcW w:w="1134" w:type="dxa"/>
          </w:tcPr>
          <w:p w14:paraId="783499F6" w14:textId="77777777" w:rsidR="009B0FCC" w:rsidRDefault="009B0FCC" w:rsidP="00721F16">
            <w:pPr>
              <w:keepNext/>
              <w:widowControl w:val="0"/>
              <w:spacing w:after="0" w:line="240" w:lineRule="auto"/>
              <w:jc w:val="center"/>
              <w:rPr>
                <w:b/>
                <w:sz w:val="16"/>
                <w:szCs w:val="16"/>
              </w:rPr>
            </w:pPr>
            <w:r>
              <w:rPr>
                <w:b/>
                <w:sz w:val="16"/>
                <w:szCs w:val="16"/>
              </w:rPr>
              <w:t>Share of Workers</w:t>
            </w:r>
          </w:p>
          <w:p w14:paraId="150365D6" w14:textId="77777777" w:rsidR="009B0FCC" w:rsidRDefault="009B0FCC" w:rsidP="00721F16">
            <w:pPr>
              <w:keepNext/>
              <w:widowControl w:val="0"/>
              <w:spacing w:after="0" w:line="240" w:lineRule="auto"/>
              <w:jc w:val="center"/>
            </w:pPr>
            <w:r>
              <w:rPr>
                <w:b/>
                <w:sz w:val="16"/>
                <w:szCs w:val="16"/>
              </w:rPr>
              <w:t>%</w:t>
            </w:r>
          </w:p>
        </w:tc>
        <w:tc>
          <w:tcPr>
            <w:tcW w:w="1134" w:type="dxa"/>
          </w:tcPr>
          <w:p w14:paraId="3E6672C6" w14:textId="77777777" w:rsidR="009B0FCC" w:rsidRDefault="009B0FCC" w:rsidP="00721F16">
            <w:pPr>
              <w:keepNext/>
              <w:widowControl w:val="0"/>
              <w:spacing w:after="0" w:line="240" w:lineRule="auto"/>
              <w:jc w:val="center"/>
              <w:rPr>
                <w:b/>
                <w:sz w:val="16"/>
                <w:szCs w:val="16"/>
              </w:rPr>
            </w:pPr>
            <w:r>
              <w:rPr>
                <w:b/>
                <w:sz w:val="16"/>
                <w:szCs w:val="16"/>
              </w:rPr>
              <w:t>Share of Jobs</w:t>
            </w:r>
          </w:p>
          <w:p w14:paraId="7B4DD9F6" w14:textId="77777777" w:rsidR="009B0FCC" w:rsidRDefault="009B0FCC" w:rsidP="00721F16">
            <w:pPr>
              <w:keepNext/>
              <w:widowControl w:val="0"/>
              <w:spacing w:after="0" w:line="240" w:lineRule="auto"/>
              <w:jc w:val="center"/>
            </w:pPr>
            <w:r>
              <w:rPr>
                <w:b/>
                <w:sz w:val="16"/>
                <w:szCs w:val="16"/>
              </w:rPr>
              <w:t>%</w:t>
            </w:r>
          </w:p>
        </w:tc>
        <w:tc>
          <w:tcPr>
            <w:tcW w:w="1134" w:type="dxa"/>
          </w:tcPr>
          <w:p w14:paraId="74AFAFDF" w14:textId="77777777" w:rsidR="009B0FCC" w:rsidRDefault="009B0FCC" w:rsidP="00721F16">
            <w:pPr>
              <w:keepNext/>
              <w:widowControl w:val="0"/>
              <w:spacing w:after="0" w:line="240" w:lineRule="auto"/>
              <w:jc w:val="center"/>
              <w:rPr>
                <w:b/>
                <w:sz w:val="16"/>
                <w:szCs w:val="16"/>
              </w:rPr>
            </w:pPr>
            <w:r>
              <w:rPr>
                <w:b/>
                <w:sz w:val="16"/>
                <w:szCs w:val="16"/>
              </w:rPr>
              <w:t>Jobs less workers</w:t>
            </w:r>
          </w:p>
          <w:p w14:paraId="12FAE172" w14:textId="77777777" w:rsidR="009B0FCC" w:rsidRDefault="009B0FCC" w:rsidP="00721F16">
            <w:pPr>
              <w:keepNext/>
              <w:widowControl w:val="0"/>
              <w:spacing w:after="0" w:line="240" w:lineRule="auto"/>
              <w:jc w:val="center"/>
            </w:pPr>
            <w:r>
              <w:rPr>
                <w:b/>
                <w:sz w:val="16"/>
                <w:szCs w:val="16"/>
              </w:rPr>
              <w:t>%</w:t>
            </w:r>
          </w:p>
        </w:tc>
      </w:tr>
      <w:tr w:rsidR="009B0FCC" w14:paraId="6E3EC74F" w14:textId="77777777" w:rsidTr="00721F16">
        <w:trPr>
          <w:cantSplit/>
        </w:trPr>
        <w:tc>
          <w:tcPr>
            <w:tcW w:w="0" w:type="auto"/>
          </w:tcPr>
          <w:p w14:paraId="5F01CAE9" w14:textId="77777777" w:rsidR="009B0FCC" w:rsidRDefault="009B0FCC" w:rsidP="00721F16">
            <w:pPr>
              <w:spacing w:beforeAutospacing="1" w:afterAutospacing="1"/>
              <w:rPr>
                <w:sz w:val="20"/>
                <w:szCs w:val="20"/>
              </w:rPr>
            </w:pPr>
            <w:r>
              <w:rPr>
                <w:sz w:val="20"/>
                <w:szCs w:val="20"/>
              </w:rPr>
              <w:t>Agriculture, Mining, Oil &amp; Gas Extraction</w:t>
            </w:r>
          </w:p>
        </w:tc>
        <w:tc>
          <w:tcPr>
            <w:tcW w:w="0" w:type="auto"/>
            <w:vAlign w:val="bottom"/>
          </w:tcPr>
          <w:p w14:paraId="62D246B3" w14:textId="77777777" w:rsidR="009B0FCC" w:rsidRDefault="009B0FCC" w:rsidP="00721F16">
            <w:pPr>
              <w:spacing w:beforeAutospacing="1" w:afterAutospacing="1"/>
              <w:jc w:val="right"/>
            </w:pPr>
          </w:p>
        </w:tc>
        <w:tc>
          <w:tcPr>
            <w:tcW w:w="0" w:type="auto"/>
            <w:vAlign w:val="bottom"/>
          </w:tcPr>
          <w:p w14:paraId="37EF3D1C" w14:textId="77777777" w:rsidR="009B0FCC" w:rsidRDefault="009B0FCC" w:rsidP="00721F16">
            <w:pPr>
              <w:spacing w:beforeAutospacing="1" w:afterAutospacing="1"/>
              <w:jc w:val="right"/>
            </w:pPr>
          </w:p>
        </w:tc>
        <w:tc>
          <w:tcPr>
            <w:tcW w:w="0" w:type="auto"/>
            <w:vAlign w:val="bottom"/>
          </w:tcPr>
          <w:p w14:paraId="70082D37" w14:textId="77777777" w:rsidR="009B0FCC" w:rsidRDefault="009B0FCC" w:rsidP="00721F16">
            <w:pPr>
              <w:spacing w:beforeAutospacing="1" w:afterAutospacing="1"/>
              <w:jc w:val="right"/>
            </w:pPr>
          </w:p>
        </w:tc>
        <w:tc>
          <w:tcPr>
            <w:tcW w:w="0" w:type="auto"/>
            <w:vAlign w:val="bottom"/>
          </w:tcPr>
          <w:p w14:paraId="04BB9337" w14:textId="77777777" w:rsidR="009B0FCC" w:rsidRDefault="009B0FCC" w:rsidP="00721F16">
            <w:pPr>
              <w:spacing w:beforeAutospacing="1" w:afterAutospacing="1"/>
              <w:jc w:val="right"/>
            </w:pPr>
          </w:p>
        </w:tc>
        <w:tc>
          <w:tcPr>
            <w:tcW w:w="0" w:type="auto"/>
            <w:vAlign w:val="bottom"/>
          </w:tcPr>
          <w:p w14:paraId="2B0B5EC0" w14:textId="77777777" w:rsidR="009B0FCC" w:rsidRDefault="009B0FCC" w:rsidP="00721F16">
            <w:pPr>
              <w:spacing w:beforeAutospacing="1" w:afterAutospacing="1"/>
              <w:jc w:val="right"/>
            </w:pPr>
          </w:p>
        </w:tc>
      </w:tr>
      <w:tr w:rsidR="009B0FCC" w14:paraId="4BFF9F4D" w14:textId="77777777" w:rsidTr="00721F16">
        <w:trPr>
          <w:cantSplit/>
        </w:trPr>
        <w:tc>
          <w:tcPr>
            <w:tcW w:w="0" w:type="auto"/>
          </w:tcPr>
          <w:p w14:paraId="7971208D" w14:textId="77777777" w:rsidR="009B0FCC" w:rsidRDefault="009B0FCC" w:rsidP="00721F16">
            <w:pPr>
              <w:keepNext/>
              <w:widowControl w:val="0"/>
              <w:spacing w:after="0" w:line="240" w:lineRule="auto"/>
              <w:rPr>
                <w:sz w:val="20"/>
                <w:szCs w:val="20"/>
              </w:rPr>
            </w:pPr>
            <w:r>
              <w:rPr>
                <w:sz w:val="20"/>
                <w:szCs w:val="20"/>
              </w:rPr>
              <w:t>Arts, Entertainment, Accommodations</w:t>
            </w:r>
          </w:p>
        </w:tc>
        <w:tc>
          <w:tcPr>
            <w:tcW w:w="0" w:type="auto"/>
            <w:vAlign w:val="bottom"/>
          </w:tcPr>
          <w:p w14:paraId="03FAAEFF" w14:textId="77777777" w:rsidR="009B0FCC" w:rsidRDefault="009B0FCC" w:rsidP="00721F16">
            <w:pPr>
              <w:spacing w:beforeAutospacing="1" w:afterAutospacing="1"/>
              <w:jc w:val="right"/>
            </w:pPr>
          </w:p>
        </w:tc>
        <w:tc>
          <w:tcPr>
            <w:tcW w:w="0" w:type="auto"/>
            <w:vAlign w:val="bottom"/>
          </w:tcPr>
          <w:p w14:paraId="43182429" w14:textId="77777777" w:rsidR="009B0FCC" w:rsidRDefault="009B0FCC" w:rsidP="00721F16">
            <w:pPr>
              <w:spacing w:beforeAutospacing="1" w:afterAutospacing="1"/>
              <w:jc w:val="right"/>
            </w:pPr>
          </w:p>
        </w:tc>
        <w:tc>
          <w:tcPr>
            <w:tcW w:w="0" w:type="auto"/>
            <w:vAlign w:val="bottom"/>
          </w:tcPr>
          <w:p w14:paraId="1030033A" w14:textId="77777777" w:rsidR="009B0FCC" w:rsidRDefault="009B0FCC" w:rsidP="00721F16">
            <w:pPr>
              <w:spacing w:beforeAutospacing="1" w:afterAutospacing="1"/>
              <w:jc w:val="right"/>
            </w:pPr>
          </w:p>
        </w:tc>
        <w:tc>
          <w:tcPr>
            <w:tcW w:w="0" w:type="auto"/>
            <w:vAlign w:val="bottom"/>
          </w:tcPr>
          <w:p w14:paraId="1CF882BE" w14:textId="77777777" w:rsidR="009B0FCC" w:rsidRDefault="009B0FCC" w:rsidP="00721F16">
            <w:pPr>
              <w:spacing w:beforeAutospacing="1" w:afterAutospacing="1"/>
              <w:jc w:val="right"/>
            </w:pPr>
          </w:p>
        </w:tc>
        <w:tc>
          <w:tcPr>
            <w:tcW w:w="0" w:type="auto"/>
            <w:vAlign w:val="bottom"/>
          </w:tcPr>
          <w:p w14:paraId="04BC6F1F" w14:textId="77777777" w:rsidR="009B0FCC" w:rsidRDefault="009B0FCC" w:rsidP="00721F16">
            <w:pPr>
              <w:spacing w:beforeAutospacing="1" w:afterAutospacing="1"/>
              <w:jc w:val="right"/>
            </w:pPr>
          </w:p>
        </w:tc>
      </w:tr>
      <w:tr w:rsidR="009B0FCC" w14:paraId="733E75AC" w14:textId="77777777" w:rsidTr="00721F16">
        <w:trPr>
          <w:cantSplit/>
        </w:trPr>
        <w:tc>
          <w:tcPr>
            <w:tcW w:w="0" w:type="auto"/>
          </w:tcPr>
          <w:p w14:paraId="288F18CD" w14:textId="77777777" w:rsidR="009B0FCC" w:rsidRDefault="009B0FCC" w:rsidP="00721F16">
            <w:pPr>
              <w:keepNext/>
              <w:widowControl w:val="0"/>
              <w:spacing w:after="0" w:line="240" w:lineRule="auto"/>
              <w:rPr>
                <w:sz w:val="20"/>
                <w:szCs w:val="20"/>
              </w:rPr>
            </w:pPr>
            <w:r>
              <w:rPr>
                <w:sz w:val="20"/>
                <w:szCs w:val="20"/>
              </w:rPr>
              <w:t>Construction</w:t>
            </w:r>
          </w:p>
        </w:tc>
        <w:tc>
          <w:tcPr>
            <w:tcW w:w="0" w:type="auto"/>
            <w:vAlign w:val="bottom"/>
          </w:tcPr>
          <w:p w14:paraId="14B7436C" w14:textId="77777777" w:rsidR="009B0FCC" w:rsidRDefault="009B0FCC" w:rsidP="00721F16">
            <w:pPr>
              <w:spacing w:beforeAutospacing="1" w:afterAutospacing="1"/>
              <w:jc w:val="right"/>
            </w:pPr>
          </w:p>
        </w:tc>
        <w:tc>
          <w:tcPr>
            <w:tcW w:w="0" w:type="auto"/>
            <w:vAlign w:val="bottom"/>
          </w:tcPr>
          <w:p w14:paraId="55A23CA2" w14:textId="77777777" w:rsidR="009B0FCC" w:rsidRDefault="009B0FCC" w:rsidP="00721F16">
            <w:pPr>
              <w:spacing w:beforeAutospacing="1" w:afterAutospacing="1"/>
              <w:jc w:val="right"/>
            </w:pPr>
          </w:p>
        </w:tc>
        <w:tc>
          <w:tcPr>
            <w:tcW w:w="0" w:type="auto"/>
            <w:vAlign w:val="bottom"/>
          </w:tcPr>
          <w:p w14:paraId="4BFCE7BF" w14:textId="77777777" w:rsidR="009B0FCC" w:rsidRDefault="009B0FCC" w:rsidP="00721F16">
            <w:pPr>
              <w:spacing w:beforeAutospacing="1" w:afterAutospacing="1"/>
              <w:jc w:val="right"/>
            </w:pPr>
          </w:p>
        </w:tc>
        <w:tc>
          <w:tcPr>
            <w:tcW w:w="0" w:type="auto"/>
            <w:vAlign w:val="bottom"/>
          </w:tcPr>
          <w:p w14:paraId="40535C82" w14:textId="77777777" w:rsidR="009B0FCC" w:rsidRDefault="009B0FCC" w:rsidP="00721F16">
            <w:pPr>
              <w:spacing w:beforeAutospacing="1" w:afterAutospacing="1"/>
              <w:jc w:val="right"/>
            </w:pPr>
          </w:p>
        </w:tc>
        <w:tc>
          <w:tcPr>
            <w:tcW w:w="0" w:type="auto"/>
            <w:vAlign w:val="bottom"/>
          </w:tcPr>
          <w:p w14:paraId="5910C410" w14:textId="77777777" w:rsidR="009B0FCC" w:rsidRDefault="009B0FCC" w:rsidP="00721F16">
            <w:pPr>
              <w:spacing w:beforeAutospacing="1" w:afterAutospacing="1"/>
              <w:jc w:val="right"/>
            </w:pPr>
          </w:p>
        </w:tc>
      </w:tr>
      <w:tr w:rsidR="009B0FCC" w14:paraId="594DB2EF" w14:textId="77777777" w:rsidTr="00721F16">
        <w:trPr>
          <w:cantSplit/>
        </w:trPr>
        <w:tc>
          <w:tcPr>
            <w:tcW w:w="0" w:type="auto"/>
          </w:tcPr>
          <w:p w14:paraId="3E353BD9" w14:textId="77777777" w:rsidR="009B0FCC" w:rsidRDefault="009B0FCC" w:rsidP="00721F16">
            <w:pPr>
              <w:spacing w:beforeAutospacing="1" w:afterAutospacing="1"/>
            </w:pPr>
            <w:r>
              <w:rPr>
                <w:sz w:val="20"/>
                <w:szCs w:val="20"/>
              </w:rPr>
              <w:t>Education and Health Care Services</w:t>
            </w:r>
          </w:p>
        </w:tc>
        <w:tc>
          <w:tcPr>
            <w:tcW w:w="0" w:type="auto"/>
            <w:vAlign w:val="bottom"/>
          </w:tcPr>
          <w:p w14:paraId="1B45D11F" w14:textId="77777777" w:rsidR="009B0FCC" w:rsidRDefault="009B0FCC" w:rsidP="00721F16">
            <w:pPr>
              <w:spacing w:beforeAutospacing="1" w:afterAutospacing="1"/>
              <w:jc w:val="right"/>
            </w:pPr>
          </w:p>
        </w:tc>
        <w:tc>
          <w:tcPr>
            <w:tcW w:w="0" w:type="auto"/>
            <w:vAlign w:val="bottom"/>
          </w:tcPr>
          <w:p w14:paraId="60744B35" w14:textId="77777777" w:rsidR="009B0FCC" w:rsidRDefault="009B0FCC" w:rsidP="00721F16">
            <w:pPr>
              <w:spacing w:beforeAutospacing="1" w:afterAutospacing="1"/>
              <w:jc w:val="right"/>
            </w:pPr>
          </w:p>
        </w:tc>
        <w:tc>
          <w:tcPr>
            <w:tcW w:w="0" w:type="auto"/>
            <w:vAlign w:val="bottom"/>
          </w:tcPr>
          <w:p w14:paraId="68760BE4" w14:textId="77777777" w:rsidR="009B0FCC" w:rsidRDefault="009B0FCC" w:rsidP="00721F16">
            <w:pPr>
              <w:spacing w:beforeAutospacing="1" w:afterAutospacing="1"/>
              <w:jc w:val="right"/>
            </w:pPr>
          </w:p>
        </w:tc>
        <w:tc>
          <w:tcPr>
            <w:tcW w:w="0" w:type="auto"/>
            <w:vAlign w:val="bottom"/>
          </w:tcPr>
          <w:p w14:paraId="13B3094A" w14:textId="77777777" w:rsidR="009B0FCC" w:rsidRDefault="009B0FCC" w:rsidP="00721F16">
            <w:pPr>
              <w:spacing w:beforeAutospacing="1" w:afterAutospacing="1"/>
              <w:jc w:val="right"/>
            </w:pPr>
          </w:p>
        </w:tc>
        <w:tc>
          <w:tcPr>
            <w:tcW w:w="0" w:type="auto"/>
            <w:vAlign w:val="bottom"/>
          </w:tcPr>
          <w:p w14:paraId="56781F18" w14:textId="77777777" w:rsidR="009B0FCC" w:rsidRDefault="009B0FCC" w:rsidP="00721F16">
            <w:pPr>
              <w:spacing w:beforeAutospacing="1" w:afterAutospacing="1"/>
              <w:jc w:val="right"/>
            </w:pPr>
          </w:p>
        </w:tc>
      </w:tr>
      <w:tr w:rsidR="009B0FCC" w14:paraId="16FEDF1C" w14:textId="77777777" w:rsidTr="00721F16">
        <w:trPr>
          <w:cantSplit/>
        </w:trPr>
        <w:tc>
          <w:tcPr>
            <w:tcW w:w="0" w:type="auto"/>
          </w:tcPr>
          <w:p w14:paraId="14D66527" w14:textId="77777777" w:rsidR="009B0FCC" w:rsidRDefault="009B0FCC" w:rsidP="00721F16">
            <w:pPr>
              <w:spacing w:beforeAutospacing="1" w:afterAutospacing="1"/>
            </w:pPr>
            <w:r>
              <w:rPr>
                <w:sz w:val="20"/>
                <w:szCs w:val="20"/>
              </w:rPr>
              <w:t>Finance, Insurance, and Real Estate</w:t>
            </w:r>
          </w:p>
        </w:tc>
        <w:tc>
          <w:tcPr>
            <w:tcW w:w="0" w:type="auto"/>
            <w:vAlign w:val="bottom"/>
          </w:tcPr>
          <w:p w14:paraId="7FF332F9" w14:textId="77777777" w:rsidR="009B0FCC" w:rsidRDefault="009B0FCC" w:rsidP="00721F16">
            <w:pPr>
              <w:spacing w:beforeAutospacing="1" w:afterAutospacing="1"/>
              <w:jc w:val="right"/>
            </w:pPr>
          </w:p>
        </w:tc>
        <w:tc>
          <w:tcPr>
            <w:tcW w:w="0" w:type="auto"/>
            <w:vAlign w:val="bottom"/>
          </w:tcPr>
          <w:p w14:paraId="2FF7884C" w14:textId="77777777" w:rsidR="009B0FCC" w:rsidRDefault="009B0FCC" w:rsidP="00721F16">
            <w:pPr>
              <w:spacing w:beforeAutospacing="1" w:afterAutospacing="1"/>
              <w:jc w:val="right"/>
            </w:pPr>
          </w:p>
        </w:tc>
        <w:tc>
          <w:tcPr>
            <w:tcW w:w="0" w:type="auto"/>
            <w:vAlign w:val="bottom"/>
          </w:tcPr>
          <w:p w14:paraId="46349F9B" w14:textId="77777777" w:rsidR="009B0FCC" w:rsidRDefault="009B0FCC" w:rsidP="00721F16">
            <w:pPr>
              <w:spacing w:beforeAutospacing="1" w:afterAutospacing="1"/>
              <w:jc w:val="right"/>
            </w:pPr>
          </w:p>
        </w:tc>
        <w:tc>
          <w:tcPr>
            <w:tcW w:w="0" w:type="auto"/>
            <w:vAlign w:val="bottom"/>
          </w:tcPr>
          <w:p w14:paraId="6BDBC889" w14:textId="77777777" w:rsidR="009B0FCC" w:rsidRDefault="009B0FCC" w:rsidP="00721F16">
            <w:pPr>
              <w:spacing w:beforeAutospacing="1" w:afterAutospacing="1"/>
              <w:jc w:val="right"/>
            </w:pPr>
          </w:p>
        </w:tc>
        <w:tc>
          <w:tcPr>
            <w:tcW w:w="0" w:type="auto"/>
            <w:vAlign w:val="bottom"/>
          </w:tcPr>
          <w:p w14:paraId="69A917B1" w14:textId="77777777" w:rsidR="009B0FCC" w:rsidRDefault="009B0FCC" w:rsidP="00721F16">
            <w:pPr>
              <w:spacing w:beforeAutospacing="1" w:afterAutospacing="1"/>
              <w:jc w:val="right"/>
            </w:pPr>
          </w:p>
        </w:tc>
      </w:tr>
      <w:tr w:rsidR="009B0FCC" w14:paraId="6BF9DE72" w14:textId="77777777" w:rsidTr="00721F16">
        <w:trPr>
          <w:cantSplit/>
        </w:trPr>
        <w:tc>
          <w:tcPr>
            <w:tcW w:w="0" w:type="auto"/>
          </w:tcPr>
          <w:p w14:paraId="4AC1E7AC" w14:textId="77777777" w:rsidR="009B0FCC" w:rsidRDefault="009B0FCC" w:rsidP="00721F16">
            <w:pPr>
              <w:spacing w:beforeAutospacing="1" w:afterAutospacing="1"/>
            </w:pPr>
            <w:r>
              <w:rPr>
                <w:sz w:val="20"/>
                <w:szCs w:val="20"/>
              </w:rPr>
              <w:t>Information</w:t>
            </w:r>
          </w:p>
        </w:tc>
        <w:tc>
          <w:tcPr>
            <w:tcW w:w="0" w:type="auto"/>
            <w:vAlign w:val="bottom"/>
          </w:tcPr>
          <w:p w14:paraId="0BE19BA9" w14:textId="77777777" w:rsidR="009B0FCC" w:rsidRDefault="009B0FCC" w:rsidP="00721F16">
            <w:pPr>
              <w:spacing w:beforeAutospacing="1" w:afterAutospacing="1"/>
              <w:jc w:val="right"/>
            </w:pPr>
          </w:p>
        </w:tc>
        <w:tc>
          <w:tcPr>
            <w:tcW w:w="0" w:type="auto"/>
            <w:vAlign w:val="bottom"/>
          </w:tcPr>
          <w:p w14:paraId="691D64A1" w14:textId="77777777" w:rsidR="009B0FCC" w:rsidRDefault="009B0FCC" w:rsidP="00721F16">
            <w:pPr>
              <w:spacing w:beforeAutospacing="1" w:afterAutospacing="1"/>
              <w:jc w:val="right"/>
            </w:pPr>
          </w:p>
        </w:tc>
        <w:tc>
          <w:tcPr>
            <w:tcW w:w="0" w:type="auto"/>
            <w:vAlign w:val="bottom"/>
          </w:tcPr>
          <w:p w14:paraId="27AA6435" w14:textId="77777777" w:rsidR="009B0FCC" w:rsidRDefault="009B0FCC" w:rsidP="00721F16">
            <w:pPr>
              <w:spacing w:beforeAutospacing="1" w:afterAutospacing="1"/>
              <w:jc w:val="right"/>
            </w:pPr>
          </w:p>
        </w:tc>
        <w:tc>
          <w:tcPr>
            <w:tcW w:w="0" w:type="auto"/>
            <w:vAlign w:val="bottom"/>
          </w:tcPr>
          <w:p w14:paraId="4ED3186C" w14:textId="77777777" w:rsidR="009B0FCC" w:rsidRDefault="009B0FCC" w:rsidP="00721F16">
            <w:pPr>
              <w:spacing w:beforeAutospacing="1" w:afterAutospacing="1"/>
              <w:jc w:val="right"/>
            </w:pPr>
          </w:p>
        </w:tc>
        <w:tc>
          <w:tcPr>
            <w:tcW w:w="0" w:type="auto"/>
            <w:vAlign w:val="bottom"/>
          </w:tcPr>
          <w:p w14:paraId="135CD8E7" w14:textId="77777777" w:rsidR="009B0FCC" w:rsidRDefault="009B0FCC" w:rsidP="00721F16">
            <w:pPr>
              <w:spacing w:beforeAutospacing="1" w:afterAutospacing="1"/>
              <w:jc w:val="right"/>
            </w:pPr>
          </w:p>
        </w:tc>
      </w:tr>
      <w:tr w:rsidR="009B0FCC" w14:paraId="39DC9B24" w14:textId="77777777" w:rsidTr="00721F16">
        <w:trPr>
          <w:cantSplit/>
        </w:trPr>
        <w:tc>
          <w:tcPr>
            <w:tcW w:w="0" w:type="auto"/>
          </w:tcPr>
          <w:p w14:paraId="6BD7B505" w14:textId="77777777" w:rsidR="009B0FCC" w:rsidRDefault="009B0FCC" w:rsidP="00721F16">
            <w:pPr>
              <w:spacing w:beforeAutospacing="1" w:afterAutospacing="1"/>
            </w:pPr>
            <w:r>
              <w:rPr>
                <w:sz w:val="20"/>
                <w:szCs w:val="20"/>
              </w:rPr>
              <w:t>Manufacturing</w:t>
            </w:r>
          </w:p>
        </w:tc>
        <w:tc>
          <w:tcPr>
            <w:tcW w:w="0" w:type="auto"/>
            <w:vAlign w:val="bottom"/>
          </w:tcPr>
          <w:p w14:paraId="4D487987" w14:textId="77777777" w:rsidR="009B0FCC" w:rsidRDefault="009B0FCC" w:rsidP="00721F16">
            <w:pPr>
              <w:spacing w:beforeAutospacing="1" w:afterAutospacing="1"/>
              <w:jc w:val="right"/>
            </w:pPr>
          </w:p>
        </w:tc>
        <w:tc>
          <w:tcPr>
            <w:tcW w:w="0" w:type="auto"/>
            <w:vAlign w:val="bottom"/>
          </w:tcPr>
          <w:p w14:paraId="706AFB7E" w14:textId="77777777" w:rsidR="009B0FCC" w:rsidRDefault="009B0FCC" w:rsidP="00721F16">
            <w:pPr>
              <w:spacing w:beforeAutospacing="1" w:afterAutospacing="1"/>
              <w:jc w:val="right"/>
            </w:pPr>
          </w:p>
        </w:tc>
        <w:tc>
          <w:tcPr>
            <w:tcW w:w="0" w:type="auto"/>
            <w:vAlign w:val="bottom"/>
          </w:tcPr>
          <w:p w14:paraId="533F0D9A" w14:textId="77777777" w:rsidR="009B0FCC" w:rsidRDefault="009B0FCC" w:rsidP="00721F16">
            <w:pPr>
              <w:spacing w:beforeAutospacing="1" w:afterAutospacing="1"/>
              <w:jc w:val="right"/>
            </w:pPr>
          </w:p>
        </w:tc>
        <w:tc>
          <w:tcPr>
            <w:tcW w:w="0" w:type="auto"/>
            <w:vAlign w:val="bottom"/>
          </w:tcPr>
          <w:p w14:paraId="34F9BE76" w14:textId="77777777" w:rsidR="009B0FCC" w:rsidRDefault="009B0FCC" w:rsidP="00721F16">
            <w:pPr>
              <w:spacing w:beforeAutospacing="1" w:afterAutospacing="1"/>
              <w:jc w:val="right"/>
            </w:pPr>
          </w:p>
        </w:tc>
        <w:tc>
          <w:tcPr>
            <w:tcW w:w="0" w:type="auto"/>
            <w:vAlign w:val="bottom"/>
          </w:tcPr>
          <w:p w14:paraId="6C0C95D2" w14:textId="77777777" w:rsidR="009B0FCC" w:rsidRDefault="009B0FCC" w:rsidP="00721F16">
            <w:pPr>
              <w:spacing w:beforeAutospacing="1" w:afterAutospacing="1"/>
              <w:jc w:val="right"/>
            </w:pPr>
          </w:p>
        </w:tc>
      </w:tr>
      <w:tr w:rsidR="009B0FCC" w14:paraId="6463F6DB" w14:textId="77777777" w:rsidTr="00721F16">
        <w:trPr>
          <w:cantSplit/>
        </w:trPr>
        <w:tc>
          <w:tcPr>
            <w:tcW w:w="0" w:type="auto"/>
          </w:tcPr>
          <w:p w14:paraId="5F3885AC" w14:textId="77777777" w:rsidR="009B0FCC" w:rsidRDefault="009B0FCC" w:rsidP="00721F16">
            <w:pPr>
              <w:spacing w:beforeAutospacing="1" w:afterAutospacing="1"/>
              <w:rPr>
                <w:sz w:val="20"/>
                <w:szCs w:val="20"/>
              </w:rPr>
            </w:pPr>
            <w:r>
              <w:rPr>
                <w:sz w:val="20"/>
                <w:szCs w:val="20"/>
              </w:rPr>
              <w:t>Other Services</w:t>
            </w:r>
          </w:p>
        </w:tc>
        <w:tc>
          <w:tcPr>
            <w:tcW w:w="0" w:type="auto"/>
            <w:vAlign w:val="bottom"/>
          </w:tcPr>
          <w:p w14:paraId="166D1046" w14:textId="77777777" w:rsidR="009B0FCC" w:rsidRDefault="009B0FCC" w:rsidP="00721F16">
            <w:pPr>
              <w:spacing w:beforeAutospacing="1" w:afterAutospacing="1"/>
              <w:jc w:val="right"/>
            </w:pPr>
          </w:p>
        </w:tc>
        <w:tc>
          <w:tcPr>
            <w:tcW w:w="0" w:type="auto"/>
            <w:vAlign w:val="bottom"/>
          </w:tcPr>
          <w:p w14:paraId="7115F969" w14:textId="77777777" w:rsidR="009B0FCC" w:rsidRDefault="009B0FCC" w:rsidP="00721F16">
            <w:pPr>
              <w:spacing w:beforeAutospacing="1" w:afterAutospacing="1"/>
              <w:jc w:val="right"/>
            </w:pPr>
          </w:p>
        </w:tc>
        <w:tc>
          <w:tcPr>
            <w:tcW w:w="0" w:type="auto"/>
            <w:vAlign w:val="bottom"/>
          </w:tcPr>
          <w:p w14:paraId="730E22E2" w14:textId="77777777" w:rsidR="009B0FCC" w:rsidRDefault="009B0FCC" w:rsidP="00721F16">
            <w:pPr>
              <w:spacing w:beforeAutospacing="1" w:afterAutospacing="1"/>
              <w:jc w:val="right"/>
            </w:pPr>
          </w:p>
        </w:tc>
        <w:tc>
          <w:tcPr>
            <w:tcW w:w="0" w:type="auto"/>
            <w:vAlign w:val="bottom"/>
          </w:tcPr>
          <w:p w14:paraId="005D2E1E" w14:textId="77777777" w:rsidR="009B0FCC" w:rsidRDefault="009B0FCC" w:rsidP="00721F16">
            <w:pPr>
              <w:spacing w:beforeAutospacing="1" w:afterAutospacing="1"/>
              <w:jc w:val="right"/>
            </w:pPr>
          </w:p>
        </w:tc>
        <w:tc>
          <w:tcPr>
            <w:tcW w:w="0" w:type="auto"/>
            <w:vAlign w:val="bottom"/>
          </w:tcPr>
          <w:p w14:paraId="11BEEBAD" w14:textId="77777777" w:rsidR="009B0FCC" w:rsidRDefault="009B0FCC" w:rsidP="00721F16">
            <w:pPr>
              <w:spacing w:beforeAutospacing="1" w:afterAutospacing="1"/>
              <w:jc w:val="right"/>
            </w:pPr>
          </w:p>
        </w:tc>
      </w:tr>
      <w:tr w:rsidR="009B0FCC" w14:paraId="4767E63F" w14:textId="77777777" w:rsidTr="00721F16">
        <w:trPr>
          <w:cantSplit/>
        </w:trPr>
        <w:tc>
          <w:tcPr>
            <w:tcW w:w="0" w:type="auto"/>
          </w:tcPr>
          <w:p w14:paraId="6A0221CE" w14:textId="77777777" w:rsidR="009B0FCC" w:rsidRDefault="009B0FCC" w:rsidP="00721F16">
            <w:pPr>
              <w:keepNext/>
              <w:widowControl w:val="0"/>
              <w:spacing w:after="0" w:line="240" w:lineRule="auto"/>
              <w:rPr>
                <w:sz w:val="20"/>
                <w:szCs w:val="20"/>
              </w:rPr>
            </w:pPr>
            <w:r>
              <w:rPr>
                <w:sz w:val="20"/>
                <w:szCs w:val="20"/>
              </w:rPr>
              <w:lastRenderedPageBreak/>
              <w:t>Professional, Scientific, Management Services</w:t>
            </w:r>
          </w:p>
        </w:tc>
        <w:tc>
          <w:tcPr>
            <w:tcW w:w="0" w:type="auto"/>
            <w:vAlign w:val="bottom"/>
          </w:tcPr>
          <w:p w14:paraId="6ED7BD9D" w14:textId="77777777" w:rsidR="009B0FCC" w:rsidRDefault="009B0FCC" w:rsidP="00721F16">
            <w:pPr>
              <w:spacing w:beforeAutospacing="1" w:afterAutospacing="1"/>
              <w:jc w:val="right"/>
            </w:pPr>
          </w:p>
        </w:tc>
        <w:tc>
          <w:tcPr>
            <w:tcW w:w="0" w:type="auto"/>
            <w:vAlign w:val="bottom"/>
          </w:tcPr>
          <w:p w14:paraId="659231CF" w14:textId="77777777" w:rsidR="009B0FCC" w:rsidRDefault="009B0FCC" w:rsidP="00721F16">
            <w:pPr>
              <w:spacing w:beforeAutospacing="1" w:afterAutospacing="1"/>
              <w:jc w:val="right"/>
            </w:pPr>
          </w:p>
        </w:tc>
        <w:tc>
          <w:tcPr>
            <w:tcW w:w="0" w:type="auto"/>
            <w:vAlign w:val="bottom"/>
          </w:tcPr>
          <w:p w14:paraId="348DC31E" w14:textId="77777777" w:rsidR="009B0FCC" w:rsidRDefault="009B0FCC" w:rsidP="00721F16">
            <w:pPr>
              <w:spacing w:beforeAutospacing="1" w:afterAutospacing="1"/>
              <w:jc w:val="right"/>
            </w:pPr>
          </w:p>
        </w:tc>
        <w:tc>
          <w:tcPr>
            <w:tcW w:w="0" w:type="auto"/>
            <w:vAlign w:val="bottom"/>
          </w:tcPr>
          <w:p w14:paraId="3D832579" w14:textId="77777777" w:rsidR="009B0FCC" w:rsidRDefault="009B0FCC" w:rsidP="00721F16">
            <w:pPr>
              <w:spacing w:beforeAutospacing="1" w:afterAutospacing="1"/>
              <w:jc w:val="right"/>
            </w:pPr>
          </w:p>
        </w:tc>
        <w:tc>
          <w:tcPr>
            <w:tcW w:w="0" w:type="auto"/>
            <w:vAlign w:val="bottom"/>
          </w:tcPr>
          <w:p w14:paraId="6B41690C" w14:textId="77777777" w:rsidR="009B0FCC" w:rsidRDefault="009B0FCC" w:rsidP="00721F16">
            <w:pPr>
              <w:spacing w:beforeAutospacing="1" w:afterAutospacing="1"/>
              <w:jc w:val="right"/>
            </w:pPr>
          </w:p>
        </w:tc>
      </w:tr>
      <w:tr w:rsidR="009B0FCC" w14:paraId="68051D91" w14:textId="77777777" w:rsidTr="00721F16">
        <w:trPr>
          <w:cantSplit/>
        </w:trPr>
        <w:tc>
          <w:tcPr>
            <w:tcW w:w="0" w:type="auto"/>
          </w:tcPr>
          <w:p w14:paraId="77F8E682" w14:textId="77777777" w:rsidR="009B0FCC" w:rsidRDefault="009B0FCC" w:rsidP="00721F16">
            <w:pPr>
              <w:keepNext/>
              <w:widowControl w:val="0"/>
              <w:spacing w:after="0" w:line="240" w:lineRule="auto"/>
              <w:rPr>
                <w:sz w:val="20"/>
                <w:szCs w:val="20"/>
              </w:rPr>
            </w:pPr>
            <w:r>
              <w:rPr>
                <w:sz w:val="20"/>
                <w:szCs w:val="20"/>
              </w:rPr>
              <w:t>Public Administration</w:t>
            </w:r>
          </w:p>
        </w:tc>
        <w:tc>
          <w:tcPr>
            <w:tcW w:w="0" w:type="auto"/>
            <w:vAlign w:val="bottom"/>
          </w:tcPr>
          <w:p w14:paraId="22B01173" w14:textId="77777777" w:rsidR="009B0FCC" w:rsidRDefault="009B0FCC" w:rsidP="00721F16">
            <w:pPr>
              <w:spacing w:beforeAutospacing="1" w:afterAutospacing="1"/>
              <w:jc w:val="right"/>
            </w:pPr>
          </w:p>
        </w:tc>
        <w:tc>
          <w:tcPr>
            <w:tcW w:w="0" w:type="auto"/>
            <w:vAlign w:val="bottom"/>
          </w:tcPr>
          <w:p w14:paraId="579A24F2" w14:textId="77777777" w:rsidR="009B0FCC" w:rsidRDefault="009B0FCC" w:rsidP="00721F16">
            <w:pPr>
              <w:spacing w:beforeAutospacing="1" w:afterAutospacing="1"/>
              <w:jc w:val="right"/>
            </w:pPr>
          </w:p>
        </w:tc>
        <w:tc>
          <w:tcPr>
            <w:tcW w:w="0" w:type="auto"/>
            <w:vAlign w:val="bottom"/>
          </w:tcPr>
          <w:p w14:paraId="4F882C48" w14:textId="77777777" w:rsidR="009B0FCC" w:rsidRDefault="009B0FCC" w:rsidP="00721F16">
            <w:pPr>
              <w:spacing w:beforeAutospacing="1" w:afterAutospacing="1"/>
              <w:jc w:val="right"/>
            </w:pPr>
          </w:p>
        </w:tc>
        <w:tc>
          <w:tcPr>
            <w:tcW w:w="0" w:type="auto"/>
            <w:vAlign w:val="bottom"/>
          </w:tcPr>
          <w:p w14:paraId="3617B43A" w14:textId="77777777" w:rsidR="009B0FCC" w:rsidRDefault="009B0FCC" w:rsidP="00721F16">
            <w:pPr>
              <w:spacing w:beforeAutospacing="1" w:afterAutospacing="1"/>
              <w:jc w:val="right"/>
            </w:pPr>
          </w:p>
        </w:tc>
        <w:tc>
          <w:tcPr>
            <w:tcW w:w="0" w:type="auto"/>
            <w:vAlign w:val="bottom"/>
          </w:tcPr>
          <w:p w14:paraId="4669E864" w14:textId="77777777" w:rsidR="009B0FCC" w:rsidRDefault="009B0FCC" w:rsidP="00721F16">
            <w:pPr>
              <w:spacing w:beforeAutospacing="1" w:afterAutospacing="1"/>
              <w:jc w:val="right"/>
            </w:pPr>
          </w:p>
        </w:tc>
      </w:tr>
      <w:tr w:rsidR="009B0FCC" w14:paraId="16AD848D" w14:textId="77777777" w:rsidTr="00721F16">
        <w:trPr>
          <w:cantSplit/>
        </w:trPr>
        <w:tc>
          <w:tcPr>
            <w:tcW w:w="0" w:type="auto"/>
          </w:tcPr>
          <w:p w14:paraId="274C2A54" w14:textId="77777777" w:rsidR="009B0FCC" w:rsidRDefault="009B0FCC" w:rsidP="00721F16">
            <w:pPr>
              <w:keepNext/>
              <w:widowControl w:val="0"/>
              <w:spacing w:after="0" w:line="240" w:lineRule="auto"/>
              <w:rPr>
                <w:sz w:val="20"/>
                <w:szCs w:val="20"/>
              </w:rPr>
            </w:pPr>
            <w:r>
              <w:rPr>
                <w:sz w:val="20"/>
                <w:szCs w:val="20"/>
              </w:rPr>
              <w:t>Retail Trade</w:t>
            </w:r>
          </w:p>
        </w:tc>
        <w:tc>
          <w:tcPr>
            <w:tcW w:w="0" w:type="auto"/>
            <w:vAlign w:val="bottom"/>
          </w:tcPr>
          <w:p w14:paraId="3000AC83" w14:textId="77777777" w:rsidR="009B0FCC" w:rsidRDefault="009B0FCC" w:rsidP="00721F16">
            <w:pPr>
              <w:spacing w:beforeAutospacing="1" w:afterAutospacing="1"/>
              <w:jc w:val="right"/>
            </w:pPr>
          </w:p>
        </w:tc>
        <w:tc>
          <w:tcPr>
            <w:tcW w:w="0" w:type="auto"/>
            <w:vAlign w:val="bottom"/>
          </w:tcPr>
          <w:p w14:paraId="24E6E8D2" w14:textId="77777777" w:rsidR="009B0FCC" w:rsidRDefault="009B0FCC" w:rsidP="00721F16">
            <w:pPr>
              <w:spacing w:beforeAutospacing="1" w:afterAutospacing="1"/>
              <w:jc w:val="right"/>
            </w:pPr>
          </w:p>
        </w:tc>
        <w:tc>
          <w:tcPr>
            <w:tcW w:w="0" w:type="auto"/>
            <w:vAlign w:val="bottom"/>
          </w:tcPr>
          <w:p w14:paraId="497E81DA" w14:textId="77777777" w:rsidR="009B0FCC" w:rsidRDefault="009B0FCC" w:rsidP="00721F16">
            <w:pPr>
              <w:spacing w:beforeAutospacing="1" w:afterAutospacing="1"/>
              <w:jc w:val="right"/>
            </w:pPr>
          </w:p>
        </w:tc>
        <w:tc>
          <w:tcPr>
            <w:tcW w:w="0" w:type="auto"/>
            <w:vAlign w:val="bottom"/>
          </w:tcPr>
          <w:p w14:paraId="15485F91" w14:textId="77777777" w:rsidR="009B0FCC" w:rsidRDefault="009B0FCC" w:rsidP="00721F16">
            <w:pPr>
              <w:spacing w:beforeAutospacing="1" w:afterAutospacing="1"/>
              <w:jc w:val="right"/>
            </w:pPr>
          </w:p>
        </w:tc>
        <w:tc>
          <w:tcPr>
            <w:tcW w:w="0" w:type="auto"/>
            <w:vAlign w:val="bottom"/>
          </w:tcPr>
          <w:p w14:paraId="1486E936" w14:textId="77777777" w:rsidR="009B0FCC" w:rsidRDefault="009B0FCC" w:rsidP="00721F16">
            <w:pPr>
              <w:spacing w:beforeAutospacing="1" w:afterAutospacing="1"/>
              <w:jc w:val="right"/>
            </w:pPr>
          </w:p>
        </w:tc>
      </w:tr>
      <w:tr w:rsidR="009B0FCC" w14:paraId="2B792F62" w14:textId="77777777" w:rsidTr="00721F16">
        <w:trPr>
          <w:cantSplit/>
        </w:trPr>
        <w:tc>
          <w:tcPr>
            <w:tcW w:w="0" w:type="auto"/>
          </w:tcPr>
          <w:p w14:paraId="19C2D716" w14:textId="77777777" w:rsidR="009B0FCC" w:rsidRDefault="009B0FCC" w:rsidP="00721F16">
            <w:pPr>
              <w:keepNext/>
              <w:widowControl w:val="0"/>
              <w:spacing w:after="0" w:line="240" w:lineRule="auto"/>
              <w:rPr>
                <w:sz w:val="20"/>
                <w:szCs w:val="20"/>
              </w:rPr>
            </w:pPr>
            <w:r>
              <w:rPr>
                <w:sz w:val="20"/>
                <w:szCs w:val="20"/>
              </w:rPr>
              <w:t>Transportation &amp; Warehousing</w:t>
            </w:r>
          </w:p>
        </w:tc>
        <w:tc>
          <w:tcPr>
            <w:tcW w:w="0" w:type="auto"/>
            <w:vAlign w:val="bottom"/>
          </w:tcPr>
          <w:p w14:paraId="62C233DE" w14:textId="77777777" w:rsidR="009B0FCC" w:rsidRDefault="009B0FCC" w:rsidP="00721F16">
            <w:pPr>
              <w:spacing w:beforeAutospacing="1" w:afterAutospacing="1"/>
              <w:jc w:val="right"/>
            </w:pPr>
          </w:p>
        </w:tc>
        <w:tc>
          <w:tcPr>
            <w:tcW w:w="0" w:type="auto"/>
            <w:vAlign w:val="bottom"/>
          </w:tcPr>
          <w:p w14:paraId="4F4CB36C" w14:textId="77777777" w:rsidR="009B0FCC" w:rsidRDefault="009B0FCC" w:rsidP="00721F16">
            <w:pPr>
              <w:spacing w:beforeAutospacing="1" w:afterAutospacing="1"/>
              <w:jc w:val="right"/>
            </w:pPr>
          </w:p>
        </w:tc>
        <w:tc>
          <w:tcPr>
            <w:tcW w:w="0" w:type="auto"/>
            <w:vAlign w:val="bottom"/>
          </w:tcPr>
          <w:p w14:paraId="4C8C2607" w14:textId="77777777" w:rsidR="009B0FCC" w:rsidRDefault="009B0FCC" w:rsidP="00721F16">
            <w:pPr>
              <w:spacing w:beforeAutospacing="1" w:afterAutospacing="1"/>
              <w:jc w:val="right"/>
            </w:pPr>
          </w:p>
        </w:tc>
        <w:tc>
          <w:tcPr>
            <w:tcW w:w="0" w:type="auto"/>
            <w:vAlign w:val="bottom"/>
          </w:tcPr>
          <w:p w14:paraId="379BB4AF" w14:textId="77777777" w:rsidR="009B0FCC" w:rsidRDefault="009B0FCC" w:rsidP="00721F16">
            <w:pPr>
              <w:spacing w:beforeAutospacing="1" w:afterAutospacing="1"/>
              <w:jc w:val="right"/>
            </w:pPr>
          </w:p>
        </w:tc>
        <w:tc>
          <w:tcPr>
            <w:tcW w:w="0" w:type="auto"/>
            <w:vAlign w:val="bottom"/>
          </w:tcPr>
          <w:p w14:paraId="6B6F64C1" w14:textId="77777777" w:rsidR="009B0FCC" w:rsidRDefault="009B0FCC" w:rsidP="00721F16">
            <w:pPr>
              <w:spacing w:beforeAutospacing="1" w:afterAutospacing="1"/>
              <w:jc w:val="right"/>
            </w:pPr>
          </w:p>
        </w:tc>
      </w:tr>
      <w:tr w:rsidR="009B0FCC" w14:paraId="2E798A96" w14:textId="77777777" w:rsidTr="00721F16">
        <w:trPr>
          <w:cantSplit/>
        </w:trPr>
        <w:tc>
          <w:tcPr>
            <w:tcW w:w="0" w:type="auto"/>
          </w:tcPr>
          <w:p w14:paraId="631B9266" w14:textId="77777777" w:rsidR="009B0FCC" w:rsidRDefault="009B0FCC" w:rsidP="00721F16">
            <w:pPr>
              <w:keepNext/>
              <w:widowControl w:val="0"/>
              <w:spacing w:after="0" w:line="240" w:lineRule="auto"/>
              <w:rPr>
                <w:sz w:val="20"/>
                <w:szCs w:val="20"/>
              </w:rPr>
            </w:pPr>
            <w:r>
              <w:rPr>
                <w:sz w:val="20"/>
                <w:szCs w:val="20"/>
              </w:rPr>
              <w:t>Wholesale Trade</w:t>
            </w:r>
          </w:p>
        </w:tc>
        <w:tc>
          <w:tcPr>
            <w:tcW w:w="0" w:type="auto"/>
            <w:vAlign w:val="bottom"/>
          </w:tcPr>
          <w:p w14:paraId="33CC3E0E" w14:textId="77777777" w:rsidR="009B0FCC" w:rsidRDefault="009B0FCC" w:rsidP="00721F16">
            <w:pPr>
              <w:spacing w:beforeAutospacing="1" w:afterAutospacing="1"/>
              <w:jc w:val="right"/>
            </w:pPr>
          </w:p>
        </w:tc>
        <w:tc>
          <w:tcPr>
            <w:tcW w:w="0" w:type="auto"/>
            <w:vAlign w:val="bottom"/>
          </w:tcPr>
          <w:p w14:paraId="3D756140" w14:textId="77777777" w:rsidR="009B0FCC" w:rsidRDefault="009B0FCC" w:rsidP="00721F16">
            <w:pPr>
              <w:spacing w:beforeAutospacing="1" w:afterAutospacing="1"/>
              <w:jc w:val="right"/>
            </w:pPr>
          </w:p>
        </w:tc>
        <w:tc>
          <w:tcPr>
            <w:tcW w:w="0" w:type="auto"/>
            <w:vAlign w:val="bottom"/>
          </w:tcPr>
          <w:p w14:paraId="5B2096A3" w14:textId="77777777" w:rsidR="009B0FCC" w:rsidRDefault="009B0FCC" w:rsidP="00721F16">
            <w:pPr>
              <w:spacing w:beforeAutospacing="1" w:afterAutospacing="1"/>
              <w:jc w:val="right"/>
            </w:pPr>
          </w:p>
        </w:tc>
        <w:tc>
          <w:tcPr>
            <w:tcW w:w="0" w:type="auto"/>
            <w:vAlign w:val="bottom"/>
          </w:tcPr>
          <w:p w14:paraId="0C3FC283" w14:textId="77777777" w:rsidR="009B0FCC" w:rsidRDefault="009B0FCC" w:rsidP="00721F16">
            <w:pPr>
              <w:spacing w:beforeAutospacing="1" w:afterAutospacing="1"/>
              <w:jc w:val="right"/>
            </w:pPr>
          </w:p>
        </w:tc>
        <w:tc>
          <w:tcPr>
            <w:tcW w:w="0" w:type="auto"/>
            <w:vAlign w:val="bottom"/>
          </w:tcPr>
          <w:p w14:paraId="0515C029" w14:textId="77777777" w:rsidR="009B0FCC" w:rsidRDefault="009B0FCC" w:rsidP="00721F16">
            <w:pPr>
              <w:spacing w:beforeAutospacing="1" w:afterAutospacing="1"/>
              <w:jc w:val="right"/>
            </w:pPr>
          </w:p>
        </w:tc>
      </w:tr>
      <w:tr w:rsidR="009B0FCC" w14:paraId="232AB45A" w14:textId="77777777" w:rsidTr="00721F16">
        <w:trPr>
          <w:cantSplit/>
        </w:trPr>
        <w:tc>
          <w:tcPr>
            <w:tcW w:w="0" w:type="auto"/>
          </w:tcPr>
          <w:p w14:paraId="07C65DFC" w14:textId="77777777" w:rsidR="009B0FCC" w:rsidRDefault="009B0FCC" w:rsidP="00721F16">
            <w:pPr>
              <w:keepNext/>
              <w:widowControl w:val="0"/>
              <w:spacing w:after="0" w:line="240" w:lineRule="auto"/>
              <w:rPr>
                <w:sz w:val="20"/>
                <w:szCs w:val="20"/>
              </w:rPr>
            </w:pPr>
            <w:r>
              <w:rPr>
                <w:sz w:val="20"/>
                <w:szCs w:val="20"/>
              </w:rPr>
              <w:t>Grand Total</w:t>
            </w:r>
          </w:p>
        </w:tc>
        <w:tc>
          <w:tcPr>
            <w:tcW w:w="0" w:type="auto"/>
            <w:vAlign w:val="bottom"/>
          </w:tcPr>
          <w:p w14:paraId="60103694" w14:textId="77777777" w:rsidR="009B0FCC" w:rsidRDefault="009B0FCC" w:rsidP="00721F16">
            <w:pPr>
              <w:spacing w:beforeAutospacing="1" w:afterAutospacing="1"/>
              <w:jc w:val="right"/>
            </w:pPr>
          </w:p>
        </w:tc>
        <w:tc>
          <w:tcPr>
            <w:tcW w:w="0" w:type="auto"/>
            <w:vAlign w:val="bottom"/>
          </w:tcPr>
          <w:p w14:paraId="690AC825" w14:textId="77777777" w:rsidR="009B0FCC" w:rsidRDefault="009B0FCC" w:rsidP="00721F16">
            <w:pPr>
              <w:spacing w:beforeAutospacing="1" w:afterAutospacing="1"/>
              <w:jc w:val="right"/>
            </w:pPr>
          </w:p>
        </w:tc>
        <w:tc>
          <w:tcPr>
            <w:tcW w:w="0" w:type="auto"/>
            <w:vAlign w:val="bottom"/>
          </w:tcPr>
          <w:p w14:paraId="5DAD215C" w14:textId="77777777" w:rsidR="009B0FCC" w:rsidRDefault="009B0FCC" w:rsidP="00721F16">
            <w:pPr>
              <w:spacing w:beforeAutospacing="1" w:afterAutospacing="1"/>
              <w:jc w:val="right"/>
            </w:pPr>
          </w:p>
        </w:tc>
        <w:tc>
          <w:tcPr>
            <w:tcW w:w="0" w:type="auto"/>
            <w:vAlign w:val="bottom"/>
          </w:tcPr>
          <w:p w14:paraId="55E5B22B" w14:textId="77777777" w:rsidR="009B0FCC" w:rsidRDefault="009B0FCC" w:rsidP="00721F16">
            <w:pPr>
              <w:spacing w:beforeAutospacing="1" w:afterAutospacing="1"/>
              <w:jc w:val="right"/>
            </w:pPr>
          </w:p>
        </w:tc>
        <w:tc>
          <w:tcPr>
            <w:tcW w:w="0" w:type="auto"/>
            <w:vAlign w:val="bottom"/>
          </w:tcPr>
          <w:p w14:paraId="67F0FD1A" w14:textId="77777777" w:rsidR="009B0FCC" w:rsidRDefault="009B0FCC" w:rsidP="00721F16">
            <w:pPr>
              <w:spacing w:beforeAutospacing="1" w:afterAutospacing="1"/>
              <w:jc w:val="right"/>
            </w:pPr>
          </w:p>
        </w:tc>
      </w:tr>
    </w:tbl>
    <w:p w14:paraId="3855955F" w14:textId="77777777" w:rsidR="009B0FCC" w:rsidRDefault="009B0FCC" w:rsidP="009B0FCC">
      <w:pPr>
        <w:pStyle w:val="Caption"/>
        <w:jc w:val="center"/>
        <w:rPr>
          <w:rFonts w:asciiTheme="minorHAnsi" w:hAnsiTheme="minorHAnsi"/>
        </w:rPr>
      </w:pPr>
      <w:r w:rsidRPr="497B8E2D">
        <w:rPr>
          <w:rFonts w:asciiTheme="minorHAnsi" w:hAnsiTheme="minorHAnsi"/>
        </w:rPr>
        <w:t xml:space="preserve">Table </w:t>
      </w:r>
      <w:r w:rsidRPr="497B8E2D">
        <w:rPr>
          <w:rFonts w:asciiTheme="minorHAnsi" w:hAnsiTheme="minorHAnsi"/>
        </w:rPr>
        <w:fldChar w:fldCharType="begin"/>
      </w:r>
      <w:r w:rsidRPr="497B8E2D">
        <w:rPr>
          <w:rFonts w:asciiTheme="minorHAnsi" w:hAnsiTheme="minorHAnsi"/>
        </w:rPr>
        <w:instrText xml:space="preserve"> SEQ Table \* ARABIC </w:instrText>
      </w:r>
      <w:r w:rsidRPr="497B8E2D">
        <w:rPr>
          <w:rFonts w:asciiTheme="minorHAnsi" w:hAnsiTheme="minorHAnsi"/>
        </w:rPr>
        <w:fldChar w:fldCharType="separate"/>
      </w:r>
      <w:r w:rsidRPr="497B8E2D">
        <w:rPr>
          <w:rFonts w:asciiTheme="minorHAnsi" w:hAnsiTheme="minorHAnsi"/>
        </w:rPr>
        <w:t>43</w:t>
      </w:r>
      <w:r w:rsidRPr="497B8E2D">
        <w:rPr>
          <w:rFonts w:asciiTheme="minorHAnsi" w:hAnsiTheme="minorHAnsi"/>
        </w:rPr>
        <w:fldChar w:fldCharType="end"/>
      </w:r>
      <w:r w:rsidRPr="497B8E2D">
        <w:rPr>
          <w:rFonts w:asciiTheme="minorHAnsi" w:hAnsiTheme="minorHAnsi"/>
        </w:rPr>
        <w:t>- Business Activity</w:t>
      </w:r>
    </w:p>
    <w:tbl>
      <w:tblPr>
        <w:tblW w:w="5000" w:type="pct"/>
        <w:tblInd w:w="115" w:type="dxa"/>
        <w:tblLook w:val="01E0" w:firstRow="1" w:lastRow="1" w:firstColumn="1" w:lastColumn="1" w:noHBand="0" w:noVBand="0"/>
      </w:tblPr>
      <w:tblGrid>
        <w:gridCol w:w="1066"/>
        <w:gridCol w:w="11894"/>
      </w:tblGrid>
      <w:tr w:rsidR="009B0FCC" w14:paraId="325D7086" w14:textId="77777777" w:rsidTr="00721F16">
        <w:trPr>
          <w:cantSplit/>
        </w:trPr>
        <w:tc>
          <w:tcPr>
            <w:tcW w:w="1073" w:type="dxa"/>
          </w:tcPr>
          <w:p w14:paraId="46502B96" w14:textId="77777777" w:rsidR="009B0FCC" w:rsidRDefault="009B0FCC" w:rsidP="00721F16">
            <w:pPr>
              <w:spacing w:after="0" w:line="240" w:lineRule="auto"/>
              <w:rPr>
                <w:rFonts w:cs="Arial"/>
                <w:sz w:val="16"/>
                <w:szCs w:val="16"/>
              </w:rPr>
            </w:pPr>
            <w:r>
              <w:rPr>
                <w:b/>
                <w:bCs/>
                <w:sz w:val="16"/>
                <w:szCs w:val="16"/>
              </w:rPr>
              <w:t>Data Source:</w:t>
            </w:r>
          </w:p>
        </w:tc>
        <w:tc>
          <w:tcPr>
            <w:tcW w:w="12103" w:type="dxa"/>
          </w:tcPr>
          <w:p w14:paraId="0CA4FDAD" w14:textId="77777777" w:rsidR="009B0FCC" w:rsidRDefault="009B0FCC" w:rsidP="00721F16">
            <w:pPr>
              <w:spacing w:beforeAutospacing="1" w:afterAutospacing="1"/>
              <w:rPr>
                <w:rFonts w:cs="Arial"/>
                <w:sz w:val="16"/>
                <w:szCs w:val="16"/>
              </w:rPr>
            </w:pPr>
            <w:r w:rsidRPr="497B8E2D">
              <w:rPr>
                <w:rFonts w:cs="Arial"/>
                <w:sz w:val="16"/>
                <w:szCs w:val="16"/>
              </w:rPr>
              <w:t>2016-2020 ACS (Workers), 2020 Longitudinal Employer-Household Dynamics (Jobs)</w:t>
            </w:r>
          </w:p>
          <w:p w14:paraId="30A483B4" w14:textId="77777777" w:rsidR="009B0FCC" w:rsidRDefault="009B0FCC" w:rsidP="00721F16">
            <w:pPr>
              <w:spacing w:beforeAutospacing="1" w:afterAutospacing="1"/>
              <w:rPr>
                <w:rFonts w:cs="Arial"/>
                <w:sz w:val="16"/>
                <w:szCs w:val="16"/>
              </w:rPr>
            </w:pPr>
          </w:p>
        </w:tc>
      </w:tr>
    </w:tbl>
    <w:p w14:paraId="45B2A03E" w14:textId="77777777" w:rsidR="009B0FCC" w:rsidRDefault="009B0FCC" w:rsidP="009B0FCC">
      <w:pPr>
        <w:keepNext/>
        <w:widowControl w:val="0"/>
        <w:spacing w:after="0" w:line="240" w:lineRule="auto"/>
        <w:jc w:val="center"/>
        <w:rPr>
          <w:b/>
          <w:bCs/>
          <w:vanish/>
          <w:sz w:val="20"/>
          <w:szCs w:val="20"/>
        </w:rPr>
      </w:pPr>
    </w:p>
    <w:p w14:paraId="70BA4303" w14:textId="12BC3C50" w:rsidR="009B0FCC" w:rsidRDefault="009B0FCC" w:rsidP="009B0FCC">
      <w:pPr>
        <w:rPr>
          <w:b/>
          <w:sz w:val="16"/>
          <w:szCs w:val="16"/>
        </w:rPr>
      </w:pPr>
    </w:p>
    <w:p w14:paraId="2F5C625B" w14:textId="0775A252" w:rsidR="009B0FCC" w:rsidRDefault="009B0FCC" w:rsidP="001865FB">
      <w:pPr>
        <w:keepNext/>
        <w:widowControl w:val="0"/>
        <w:rPr>
          <w:rFonts w:cs="Calibri"/>
          <w:color w:val="D13438"/>
          <w:sz w:val="24"/>
          <w:szCs w:val="24"/>
        </w:rPr>
      </w:pPr>
    </w:p>
    <w:p w14:paraId="34A9B7C9" w14:textId="2F670C8F" w:rsidR="009B0FCC" w:rsidRDefault="009B0FCC" w:rsidP="009B0FCC">
      <w:pPr>
        <w:keepNext/>
        <w:widowControl w:val="0"/>
      </w:pPr>
    </w:p>
    <w:p w14:paraId="6DFC70DC" w14:textId="77777777" w:rsidR="009B0FCC" w:rsidRDefault="009B0FCC" w:rsidP="009B0FCC">
      <w:pPr>
        <w:keepNext/>
        <w:widowControl w:val="0"/>
        <w:rPr>
          <w:szCs w:val="26"/>
        </w:rPr>
        <w:sectPr w:rsidR="009B0FCC" w:rsidSect="009B0FCC">
          <w:pgSz w:w="15840" w:h="12240" w:orient="landscape"/>
          <w:pgMar w:top="1440" w:right="1440" w:bottom="1440" w:left="1440" w:header="720" w:footer="720" w:gutter="0"/>
          <w:cols w:space="720"/>
          <w:docGrid w:linePitch="360"/>
        </w:sectPr>
      </w:pPr>
    </w:p>
    <w:p w14:paraId="088295C5" w14:textId="569111C6" w:rsidR="009B0FCC" w:rsidRDefault="009B0FCC" w:rsidP="009B0FCC">
      <w:pPr>
        <w:keepNext/>
        <w:widowControl w:val="0"/>
      </w:pPr>
    </w:p>
    <w:p w14:paraId="14B86522" w14:textId="77777777" w:rsidR="009B0FCC" w:rsidRDefault="009B0FCC" w:rsidP="009B0FCC">
      <w:pPr>
        <w:keepNext/>
        <w:widowControl w:val="0"/>
        <w:rPr>
          <w:b/>
          <w:sz w:val="24"/>
          <w:szCs w:val="24"/>
        </w:rPr>
      </w:pPr>
      <w:r>
        <w:rPr>
          <w:b/>
          <w:sz w:val="24"/>
          <w:szCs w:val="24"/>
        </w:rPr>
        <w:t>Labor Force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5"/>
        <w:gridCol w:w="6795"/>
      </w:tblGrid>
      <w:tr w:rsidR="009B0FCC" w14:paraId="674EF3D3" w14:textId="77777777" w:rsidTr="00721F16">
        <w:trPr>
          <w:cantSplit/>
          <w:hidden/>
        </w:trPr>
        <w:tc>
          <w:tcPr>
            <w:tcW w:w="4500" w:type="dxa"/>
            <w:tcBorders>
              <w:right w:val="nil"/>
            </w:tcBorders>
          </w:tcPr>
          <w:p w14:paraId="010C9688" w14:textId="77777777" w:rsidR="009B0FCC" w:rsidRDefault="009B0FCC" w:rsidP="00721F16">
            <w:pPr>
              <w:keepNext/>
              <w:widowControl w:val="0"/>
              <w:spacing w:after="0" w:line="240" w:lineRule="auto"/>
              <w:rPr>
                <w:vanish/>
                <w:sz w:val="4"/>
                <w:szCs w:val="4"/>
              </w:rPr>
            </w:pPr>
          </w:p>
        </w:tc>
        <w:tc>
          <w:tcPr>
            <w:tcW w:w="4968" w:type="dxa"/>
            <w:tcBorders>
              <w:left w:val="nil"/>
            </w:tcBorders>
          </w:tcPr>
          <w:p w14:paraId="5AF79654" w14:textId="77777777" w:rsidR="009B0FCC" w:rsidRDefault="009B0FCC" w:rsidP="00721F16">
            <w:pPr>
              <w:keepNext/>
              <w:widowControl w:val="0"/>
              <w:spacing w:after="0" w:line="240" w:lineRule="auto"/>
              <w:jc w:val="center"/>
              <w:rPr>
                <w:vanish/>
                <w:sz w:val="4"/>
                <w:szCs w:val="4"/>
              </w:rPr>
            </w:pPr>
          </w:p>
        </w:tc>
      </w:tr>
      <w:tr w:rsidR="009B0FCC" w14:paraId="16C82374" w14:textId="77777777" w:rsidTr="00721F16">
        <w:trPr>
          <w:cantSplit/>
        </w:trPr>
        <w:tc>
          <w:tcPr>
            <w:tcW w:w="0" w:type="auto"/>
          </w:tcPr>
          <w:p w14:paraId="5AECCCC1" w14:textId="77777777" w:rsidR="009B0FCC" w:rsidRDefault="009B0FCC" w:rsidP="00721F16">
            <w:pPr>
              <w:spacing w:beforeAutospacing="1" w:afterAutospacing="1"/>
            </w:pPr>
            <w:r>
              <w:rPr>
                <w:color w:val="000000"/>
              </w:rPr>
              <w:t>Total Population in the Civilian Labor Force</w:t>
            </w:r>
          </w:p>
        </w:tc>
        <w:tc>
          <w:tcPr>
            <w:tcW w:w="0" w:type="auto"/>
            <w:vAlign w:val="bottom"/>
          </w:tcPr>
          <w:p w14:paraId="4977DF8E" w14:textId="77777777" w:rsidR="009B0FCC" w:rsidRDefault="009B0FCC" w:rsidP="00721F16">
            <w:pPr>
              <w:spacing w:beforeAutospacing="1" w:afterAutospacing="1"/>
              <w:jc w:val="right"/>
            </w:pPr>
            <w:r>
              <w:rPr>
                <w:color w:val="000000"/>
              </w:rPr>
              <w:t>471,661</w:t>
            </w:r>
          </w:p>
        </w:tc>
      </w:tr>
      <w:tr w:rsidR="009B0FCC" w14:paraId="1B820718" w14:textId="77777777" w:rsidTr="00721F16">
        <w:trPr>
          <w:cantSplit/>
        </w:trPr>
        <w:tc>
          <w:tcPr>
            <w:tcW w:w="0" w:type="auto"/>
          </w:tcPr>
          <w:p w14:paraId="1704DCF4" w14:textId="77777777" w:rsidR="009B0FCC" w:rsidRDefault="009B0FCC" w:rsidP="00721F16">
            <w:pPr>
              <w:spacing w:beforeAutospacing="1" w:afterAutospacing="1"/>
            </w:pPr>
            <w:r>
              <w:rPr>
                <w:color w:val="000000"/>
              </w:rPr>
              <w:t>Civilian Employed Population 16 years and over</w:t>
            </w:r>
          </w:p>
        </w:tc>
        <w:tc>
          <w:tcPr>
            <w:tcW w:w="0" w:type="auto"/>
            <w:vAlign w:val="bottom"/>
          </w:tcPr>
          <w:p w14:paraId="309D3EE1" w14:textId="77777777" w:rsidR="009B0FCC" w:rsidRDefault="009B0FCC" w:rsidP="00721F16">
            <w:pPr>
              <w:spacing w:beforeAutospacing="1" w:afterAutospacing="1"/>
              <w:jc w:val="right"/>
            </w:pPr>
            <w:r>
              <w:rPr>
                <w:color w:val="000000"/>
              </w:rPr>
              <w:t>451,640</w:t>
            </w:r>
          </w:p>
        </w:tc>
      </w:tr>
      <w:tr w:rsidR="009B0FCC" w14:paraId="0B8A64E3" w14:textId="77777777" w:rsidTr="00721F16">
        <w:trPr>
          <w:cantSplit/>
        </w:trPr>
        <w:tc>
          <w:tcPr>
            <w:tcW w:w="0" w:type="auto"/>
          </w:tcPr>
          <w:p w14:paraId="6656F6E3" w14:textId="77777777" w:rsidR="009B0FCC" w:rsidRDefault="009B0FCC" w:rsidP="00721F16">
            <w:pPr>
              <w:spacing w:beforeAutospacing="1" w:afterAutospacing="1"/>
            </w:pPr>
            <w:r>
              <w:rPr>
                <w:color w:val="000000"/>
              </w:rPr>
              <w:t>Unemployment Rate</w:t>
            </w:r>
          </w:p>
        </w:tc>
        <w:tc>
          <w:tcPr>
            <w:tcW w:w="0" w:type="auto"/>
            <w:vAlign w:val="bottom"/>
          </w:tcPr>
          <w:p w14:paraId="314A5422" w14:textId="77777777" w:rsidR="009B0FCC" w:rsidRDefault="009B0FCC" w:rsidP="00721F16">
            <w:pPr>
              <w:spacing w:beforeAutospacing="1" w:afterAutospacing="1"/>
              <w:jc w:val="right"/>
            </w:pPr>
            <w:r>
              <w:rPr>
                <w:color w:val="000000"/>
              </w:rPr>
              <w:t>4.10</w:t>
            </w:r>
          </w:p>
        </w:tc>
      </w:tr>
      <w:tr w:rsidR="009B0FCC" w14:paraId="78BE73B7" w14:textId="77777777" w:rsidTr="00721F16">
        <w:trPr>
          <w:cantSplit/>
        </w:trPr>
        <w:tc>
          <w:tcPr>
            <w:tcW w:w="0" w:type="auto"/>
          </w:tcPr>
          <w:p w14:paraId="574D0559" w14:textId="77777777" w:rsidR="009B0FCC" w:rsidRDefault="009B0FCC" w:rsidP="00721F16">
            <w:pPr>
              <w:spacing w:beforeAutospacing="1" w:afterAutospacing="1"/>
            </w:pPr>
            <w:r>
              <w:rPr>
                <w:color w:val="000000"/>
              </w:rPr>
              <w:t>Unemployment Rate for Ages 16-24</w:t>
            </w:r>
          </w:p>
        </w:tc>
        <w:tc>
          <w:tcPr>
            <w:tcW w:w="0" w:type="auto"/>
            <w:vAlign w:val="bottom"/>
          </w:tcPr>
          <w:p w14:paraId="40D2F99B" w14:textId="77777777" w:rsidR="009B0FCC" w:rsidRDefault="009B0FCC" w:rsidP="00721F16">
            <w:pPr>
              <w:spacing w:beforeAutospacing="1" w:afterAutospacing="1"/>
              <w:jc w:val="right"/>
            </w:pPr>
            <w:r>
              <w:rPr>
                <w:color w:val="000000"/>
              </w:rPr>
              <w:t>13.48</w:t>
            </w:r>
          </w:p>
        </w:tc>
      </w:tr>
      <w:tr w:rsidR="009B0FCC" w14:paraId="301BFF5A" w14:textId="77777777" w:rsidTr="00721F16">
        <w:trPr>
          <w:cantSplit/>
        </w:trPr>
        <w:tc>
          <w:tcPr>
            <w:tcW w:w="0" w:type="auto"/>
          </w:tcPr>
          <w:p w14:paraId="3D6A2D77" w14:textId="77777777" w:rsidR="009B0FCC" w:rsidRDefault="009B0FCC" w:rsidP="00721F16">
            <w:pPr>
              <w:spacing w:beforeAutospacing="1" w:afterAutospacing="1"/>
            </w:pPr>
            <w:r>
              <w:rPr>
                <w:color w:val="000000"/>
              </w:rPr>
              <w:t>Unemployment Rate for Ages 25-65</w:t>
            </w:r>
          </w:p>
        </w:tc>
        <w:tc>
          <w:tcPr>
            <w:tcW w:w="0" w:type="auto"/>
            <w:vAlign w:val="bottom"/>
          </w:tcPr>
          <w:p w14:paraId="2D5EFCFB" w14:textId="77777777" w:rsidR="009B0FCC" w:rsidRDefault="009B0FCC" w:rsidP="00721F16">
            <w:pPr>
              <w:spacing w:beforeAutospacing="1" w:afterAutospacing="1"/>
              <w:jc w:val="right"/>
            </w:pPr>
            <w:r>
              <w:rPr>
                <w:color w:val="000000"/>
              </w:rPr>
              <w:t>2.16</w:t>
            </w:r>
          </w:p>
        </w:tc>
      </w:tr>
    </w:tbl>
    <w:p w14:paraId="3D1FF530"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44</w:t>
      </w:r>
      <w:r>
        <w:rPr>
          <w:rFonts w:asciiTheme="minorHAnsi" w:hAnsiTheme="minorHAnsi"/>
        </w:rPr>
        <w:fldChar w:fldCharType="end"/>
      </w:r>
      <w:r>
        <w:rPr>
          <w:rFonts w:asciiTheme="minorHAnsi" w:hAnsiTheme="minorHAnsi"/>
        </w:rPr>
        <w:t xml:space="preserve"> - Labor Force</w:t>
      </w:r>
    </w:p>
    <w:tbl>
      <w:tblPr>
        <w:tblW w:w="5000" w:type="pct"/>
        <w:tblInd w:w="115" w:type="dxa"/>
        <w:tblLook w:val="01E0" w:firstRow="1" w:lastRow="1" w:firstColumn="1" w:lastColumn="1" w:noHBand="0" w:noVBand="0"/>
      </w:tblPr>
      <w:tblGrid>
        <w:gridCol w:w="1452"/>
        <w:gridCol w:w="11508"/>
      </w:tblGrid>
      <w:tr w:rsidR="009B0FCC" w14:paraId="5B60F784" w14:textId="77777777" w:rsidTr="00721F16">
        <w:trPr>
          <w:cantSplit/>
        </w:trPr>
        <w:tc>
          <w:tcPr>
            <w:tcW w:w="1073" w:type="dxa"/>
          </w:tcPr>
          <w:p w14:paraId="0E0E15F2"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4D6CA0C8"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32045B25" w14:textId="77777777" w:rsidR="009B0FCC" w:rsidRDefault="009B0FCC" w:rsidP="009B0FCC">
      <w:pPr>
        <w:keepNext/>
        <w:widowControl w:val="0"/>
        <w:spacing w:after="0" w:line="240" w:lineRule="auto"/>
        <w:jc w:val="center"/>
        <w:rPr>
          <w:b/>
          <w:bCs/>
          <w:vanish/>
          <w:sz w:val="20"/>
          <w:szCs w:val="20"/>
        </w:rPr>
      </w:pPr>
    </w:p>
    <w:p w14:paraId="6C296C43" w14:textId="77777777" w:rsidR="009B0FCC" w:rsidRDefault="009B0FCC" w:rsidP="009B0FCC">
      <w:pPr>
        <w:rPr>
          <w:b/>
          <w:bCs/>
          <w:vanish/>
          <w:sz w:val="16"/>
          <w:szCs w:val="16"/>
        </w:rPr>
      </w:pPr>
    </w:p>
    <w:p w14:paraId="0C2B2DAB" w14:textId="77777777" w:rsidR="009B0FCC" w:rsidRDefault="009B0FCC" w:rsidP="009B0FCC">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155"/>
        <w:gridCol w:w="6795"/>
      </w:tblGrid>
      <w:tr w:rsidR="009B0FCC" w14:paraId="32019B0A" w14:textId="77777777" w:rsidTr="00721F16">
        <w:trPr>
          <w:cantSplit/>
          <w:tblHeader/>
        </w:trPr>
        <w:tc>
          <w:tcPr>
            <w:tcW w:w="4558" w:type="dxa"/>
            <w:tcBorders>
              <w:right w:val="nil"/>
            </w:tcBorders>
          </w:tcPr>
          <w:p w14:paraId="6F83BF2D" w14:textId="77777777" w:rsidR="009B0FCC" w:rsidRDefault="009B0FCC" w:rsidP="00721F16">
            <w:pPr>
              <w:keepNext/>
              <w:widowControl w:val="0"/>
              <w:rPr>
                <w:b/>
              </w:rPr>
            </w:pPr>
            <w:r>
              <w:rPr>
                <w:b/>
              </w:rPr>
              <w:t>Occupations by Sector</w:t>
            </w:r>
          </w:p>
        </w:tc>
        <w:tc>
          <w:tcPr>
            <w:tcW w:w="5032" w:type="dxa"/>
            <w:tcBorders>
              <w:left w:val="nil"/>
            </w:tcBorders>
          </w:tcPr>
          <w:p w14:paraId="2C4A1B2F" w14:textId="77777777" w:rsidR="009B0FCC" w:rsidRDefault="009B0FCC" w:rsidP="00721F16">
            <w:pPr>
              <w:keepNext/>
              <w:widowControl w:val="0"/>
              <w:spacing w:after="0" w:line="240" w:lineRule="auto"/>
              <w:jc w:val="center"/>
              <w:rPr>
                <w:b/>
                <w:vanish/>
              </w:rPr>
            </w:pPr>
            <w:r>
              <w:rPr>
                <w:b/>
              </w:rPr>
              <w:t>Number of People</w:t>
            </w:r>
            <w:r>
              <w:rPr>
                <w:b/>
                <w:vanish/>
              </w:rPr>
              <w:t>Median Income</w:t>
            </w:r>
          </w:p>
        </w:tc>
      </w:tr>
      <w:tr w:rsidR="009B0FCC" w14:paraId="1FAA8BDB" w14:textId="77777777" w:rsidTr="00721F16">
        <w:trPr>
          <w:cantSplit/>
        </w:trPr>
        <w:tc>
          <w:tcPr>
            <w:tcW w:w="4558" w:type="dxa"/>
            <w:tcBorders>
              <w:right w:val="nil"/>
            </w:tcBorders>
          </w:tcPr>
          <w:p w14:paraId="02A5949F" w14:textId="77777777" w:rsidR="009B0FCC" w:rsidRDefault="009B0FCC" w:rsidP="00721F16">
            <w:pPr>
              <w:keepNext/>
              <w:widowControl w:val="0"/>
              <w:spacing w:after="0" w:line="240" w:lineRule="auto"/>
              <w:rPr>
                <w:szCs w:val="10"/>
              </w:rPr>
            </w:pPr>
            <w:r>
              <w:t>Management, business and financial</w:t>
            </w:r>
          </w:p>
        </w:tc>
        <w:tc>
          <w:tcPr>
            <w:tcW w:w="5032" w:type="dxa"/>
            <w:tcBorders>
              <w:left w:val="nil"/>
            </w:tcBorders>
          </w:tcPr>
          <w:p w14:paraId="25433DE7" w14:textId="77777777" w:rsidR="009B0FCC" w:rsidRDefault="009B0FCC" w:rsidP="00721F16">
            <w:pPr>
              <w:keepNext/>
              <w:widowControl w:val="0"/>
              <w:spacing w:after="0" w:line="240" w:lineRule="auto"/>
              <w:jc w:val="center"/>
            </w:pPr>
          </w:p>
        </w:tc>
      </w:tr>
      <w:tr w:rsidR="009B0FCC" w14:paraId="00458355" w14:textId="77777777" w:rsidTr="00721F16">
        <w:trPr>
          <w:cantSplit/>
        </w:trPr>
        <w:tc>
          <w:tcPr>
            <w:tcW w:w="4558" w:type="dxa"/>
            <w:tcBorders>
              <w:right w:val="nil"/>
            </w:tcBorders>
          </w:tcPr>
          <w:p w14:paraId="6CC41F3B" w14:textId="77777777" w:rsidR="009B0FCC" w:rsidRDefault="009B0FCC" w:rsidP="00721F16">
            <w:pPr>
              <w:keepNext/>
              <w:widowControl w:val="0"/>
              <w:spacing w:after="0" w:line="240" w:lineRule="auto"/>
              <w:rPr>
                <w:szCs w:val="10"/>
              </w:rPr>
            </w:pPr>
            <w:r>
              <w:t>Farming, fisheries and forestry occupations</w:t>
            </w:r>
          </w:p>
        </w:tc>
        <w:tc>
          <w:tcPr>
            <w:tcW w:w="5032" w:type="dxa"/>
            <w:tcBorders>
              <w:left w:val="nil"/>
            </w:tcBorders>
          </w:tcPr>
          <w:p w14:paraId="3AEF0FFF" w14:textId="77777777" w:rsidR="009B0FCC" w:rsidRDefault="009B0FCC" w:rsidP="00721F16">
            <w:pPr>
              <w:keepNext/>
              <w:widowControl w:val="0"/>
              <w:spacing w:after="0" w:line="240" w:lineRule="auto"/>
              <w:jc w:val="center"/>
            </w:pPr>
          </w:p>
        </w:tc>
      </w:tr>
      <w:tr w:rsidR="009B0FCC" w14:paraId="35358AF3" w14:textId="77777777" w:rsidTr="00721F16">
        <w:trPr>
          <w:cantSplit/>
        </w:trPr>
        <w:tc>
          <w:tcPr>
            <w:tcW w:w="4558" w:type="dxa"/>
            <w:tcBorders>
              <w:right w:val="nil"/>
            </w:tcBorders>
          </w:tcPr>
          <w:p w14:paraId="05CBF141" w14:textId="77777777" w:rsidR="009B0FCC" w:rsidRDefault="009B0FCC" w:rsidP="00721F16">
            <w:pPr>
              <w:keepNext/>
              <w:widowControl w:val="0"/>
              <w:spacing w:after="0" w:line="240" w:lineRule="auto"/>
              <w:rPr>
                <w:szCs w:val="10"/>
              </w:rPr>
            </w:pPr>
            <w:r>
              <w:t>Service</w:t>
            </w:r>
          </w:p>
        </w:tc>
        <w:tc>
          <w:tcPr>
            <w:tcW w:w="5032" w:type="dxa"/>
            <w:tcBorders>
              <w:left w:val="nil"/>
            </w:tcBorders>
          </w:tcPr>
          <w:p w14:paraId="7BF305E1" w14:textId="77777777" w:rsidR="009B0FCC" w:rsidRDefault="009B0FCC" w:rsidP="00721F16">
            <w:pPr>
              <w:keepNext/>
              <w:widowControl w:val="0"/>
              <w:spacing w:after="0" w:line="240" w:lineRule="auto"/>
              <w:jc w:val="center"/>
            </w:pPr>
          </w:p>
        </w:tc>
      </w:tr>
      <w:tr w:rsidR="009B0FCC" w14:paraId="1CCB8EF7" w14:textId="77777777" w:rsidTr="00721F16">
        <w:trPr>
          <w:cantSplit/>
        </w:trPr>
        <w:tc>
          <w:tcPr>
            <w:tcW w:w="4558" w:type="dxa"/>
            <w:tcBorders>
              <w:right w:val="nil"/>
            </w:tcBorders>
          </w:tcPr>
          <w:p w14:paraId="622069DC" w14:textId="77777777" w:rsidR="009B0FCC" w:rsidRDefault="009B0FCC" w:rsidP="00721F16">
            <w:pPr>
              <w:keepNext/>
              <w:widowControl w:val="0"/>
              <w:spacing w:after="0" w:line="240" w:lineRule="auto"/>
              <w:rPr>
                <w:szCs w:val="10"/>
              </w:rPr>
            </w:pPr>
            <w:r>
              <w:t>Sales and office</w:t>
            </w:r>
          </w:p>
        </w:tc>
        <w:tc>
          <w:tcPr>
            <w:tcW w:w="5032" w:type="dxa"/>
            <w:tcBorders>
              <w:left w:val="nil"/>
            </w:tcBorders>
          </w:tcPr>
          <w:p w14:paraId="108A181B" w14:textId="77777777" w:rsidR="009B0FCC" w:rsidRDefault="009B0FCC" w:rsidP="00721F16">
            <w:pPr>
              <w:keepNext/>
              <w:widowControl w:val="0"/>
              <w:spacing w:after="0" w:line="240" w:lineRule="auto"/>
              <w:jc w:val="center"/>
            </w:pPr>
          </w:p>
        </w:tc>
      </w:tr>
      <w:tr w:rsidR="009B0FCC" w14:paraId="2AB5981A" w14:textId="77777777" w:rsidTr="00721F16">
        <w:trPr>
          <w:cantSplit/>
        </w:trPr>
        <w:tc>
          <w:tcPr>
            <w:tcW w:w="4558" w:type="dxa"/>
            <w:tcBorders>
              <w:right w:val="nil"/>
            </w:tcBorders>
          </w:tcPr>
          <w:p w14:paraId="48385453" w14:textId="77777777" w:rsidR="009B0FCC" w:rsidRDefault="009B0FCC" w:rsidP="00721F16">
            <w:pPr>
              <w:keepNext/>
              <w:widowControl w:val="0"/>
              <w:spacing w:after="0" w:line="240" w:lineRule="auto"/>
              <w:rPr>
                <w:szCs w:val="10"/>
              </w:rPr>
            </w:pPr>
            <w:r>
              <w:t>Construction, extraction, maintenance and repair</w:t>
            </w:r>
          </w:p>
        </w:tc>
        <w:tc>
          <w:tcPr>
            <w:tcW w:w="5032" w:type="dxa"/>
            <w:tcBorders>
              <w:left w:val="nil"/>
            </w:tcBorders>
          </w:tcPr>
          <w:p w14:paraId="3407CFA4" w14:textId="77777777" w:rsidR="009B0FCC" w:rsidRDefault="009B0FCC" w:rsidP="00721F16">
            <w:pPr>
              <w:keepNext/>
              <w:widowControl w:val="0"/>
              <w:spacing w:after="0" w:line="240" w:lineRule="auto"/>
              <w:jc w:val="center"/>
            </w:pPr>
          </w:p>
        </w:tc>
      </w:tr>
      <w:tr w:rsidR="009B0FCC" w14:paraId="5F272F2E" w14:textId="77777777" w:rsidTr="00721F16">
        <w:trPr>
          <w:cantSplit/>
        </w:trPr>
        <w:tc>
          <w:tcPr>
            <w:tcW w:w="4558" w:type="dxa"/>
            <w:tcBorders>
              <w:right w:val="nil"/>
            </w:tcBorders>
          </w:tcPr>
          <w:p w14:paraId="1398E8E7" w14:textId="77777777" w:rsidR="009B0FCC" w:rsidRDefault="009B0FCC" w:rsidP="00721F16">
            <w:pPr>
              <w:keepNext/>
              <w:widowControl w:val="0"/>
              <w:spacing w:after="0" w:line="240" w:lineRule="auto"/>
              <w:rPr>
                <w:szCs w:val="10"/>
              </w:rPr>
            </w:pPr>
            <w:r>
              <w:t>Production, transportation and material moving</w:t>
            </w:r>
          </w:p>
        </w:tc>
        <w:tc>
          <w:tcPr>
            <w:tcW w:w="5032" w:type="dxa"/>
            <w:tcBorders>
              <w:left w:val="nil"/>
            </w:tcBorders>
          </w:tcPr>
          <w:p w14:paraId="6C2B9605" w14:textId="77777777" w:rsidR="009B0FCC" w:rsidRDefault="009B0FCC" w:rsidP="00721F16">
            <w:pPr>
              <w:keepNext/>
              <w:widowControl w:val="0"/>
              <w:spacing w:after="0" w:line="240" w:lineRule="auto"/>
              <w:jc w:val="center"/>
            </w:pPr>
          </w:p>
        </w:tc>
      </w:tr>
    </w:tbl>
    <w:p w14:paraId="7D49F12B"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 Occupations by Sector</w:t>
      </w:r>
    </w:p>
    <w:tbl>
      <w:tblPr>
        <w:tblW w:w="5000" w:type="pct"/>
        <w:tblInd w:w="115" w:type="dxa"/>
        <w:tblLook w:val="01E0" w:firstRow="1" w:lastRow="1" w:firstColumn="1" w:lastColumn="1" w:noHBand="0" w:noVBand="0"/>
      </w:tblPr>
      <w:tblGrid>
        <w:gridCol w:w="1452"/>
        <w:gridCol w:w="11508"/>
      </w:tblGrid>
      <w:tr w:rsidR="009B0FCC" w14:paraId="3757B0EC" w14:textId="77777777" w:rsidTr="00721F16">
        <w:trPr>
          <w:cantSplit/>
        </w:trPr>
        <w:tc>
          <w:tcPr>
            <w:tcW w:w="1073" w:type="dxa"/>
          </w:tcPr>
          <w:p w14:paraId="18B5E952"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15C4BB72"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3A2B2387" w14:textId="77777777" w:rsidR="009B0FCC" w:rsidRDefault="009B0FCC" w:rsidP="009B0FCC">
      <w:pPr>
        <w:keepNext/>
        <w:widowControl w:val="0"/>
        <w:spacing w:after="0" w:line="240" w:lineRule="auto"/>
        <w:jc w:val="center"/>
        <w:rPr>
          <w:b/>
          <w:bCs/>
          <w:vanish/>
          <w:sz w:val="20"/>
          <w:szCs w:val="20"/>
        </w:rPr>
      </w:pPr>
    </w:p>
    <w:p w14:paraId="23FECB0F" w14:textId="77777777" w:rsidR="009B0FCC" w:rsidRDefault="009B0FCC" w:rsidP="009B0FCC">
      <w:pPr>
        <w:rPr>
          <w:b/>
          <w:bCs/>
          <w:vanish/>
          <w:sz w:val="16"/>
          <w:szCs w:val="16"/>
        </w:rPr>
      </w:pPr>
    </w:p>
    <w:p w14:paraId="00C0D033" w14:textId="77777777" w:rsidR="009B0FCC" w:rsidRDefault="009B0FCC" w:rsidP="009B0FCC">
      <w:pPr>
        <w:rPr>
          <w:b/>
          <w:bCs/>
          <w:sz w:val="20"/>
          <w:szCs w:val="20"/>
        </w:rPr>
      </w:pPr>
    </w:p>
    <w:p w14:paraId="7FFFEE85" w14:textId="77777777" w:rsidR="009B0FCC" w:rsidRDefault="009B0FCC" w:rsidP="009B0FCC">
      <w:pPr>
        <w:keepNext/>
        <w:widowControl w:val="0"/>
        <w:rPr>
          <w:b/>
          <w:sz w:val="24"/>
          <w:szCs w:val="24"/>
        </w:rPr>
      </w:pPr>
      <w:r>
        <w:rPr>
          <w:b/>
          <w:sz w:val="24"/>
          <w:szCs w:val="24"/>
        </w:rPr>
        <w:t>Travel Time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8"/>
        <w:gridCol w:w="4366"/>
        <w:gridCol w:w="4366"/>
      </w:tblGrid>
      <w:tr w:rsidR="009B0FCC" w14:paraId="34846CAC" w14:textId="77777777" w:rsidTr="00721F16">
        <w:trPr>
          <w:cantSplit/>
          <w:tblHeader/>
        </w:trPr>
        <w:tc>
          <w:tcPr>
            <w:tcW w:w="3084" w:type="dxa"/>
          </w:tcPr>
          <w:p w14:paraId="186E54CA" w14:textId="77777777" w:rsidR="009B0FCC" w:rsidRDefault="009B0FCC" w:rsidP="00721F16">
            <w:pPr>
              <w:keepNext/>
              <w:widowControl w:val="0"/>
              <w:spacing w:after="0" w:line="240" w:lineRule="auto"/>
              <w:rPr>
                <w:b/>
              </w:rPr>
            </w:pPr>
            <w:r>
              <w:rPr>
                <w:b/>
              </w:rPr>
              <w:t>Travel Time</w:t>
            </w:r>
          </w:p>
        </w:tc>
        <w:tc>
          <w:tcPr>
            <w:tcW w:w="3192" w:type="dxa"/>
          </w:tcPr>
          <w:p w14:paraId="5BB77AC2" w14:textId="77777777" w:rsidR="009B0FCC" w:rsidRDefault="009B0FCC" w:rsidP="00721F16">
            <w:pPr>
              <w:keepNext/>
              <w:widowControl w:val="0"/>
              <w:spacing w:after="0" w:line="240" w:lineRule="auto"/>
              <w:jc w:val="center"/>
              <w:rPr>
                <w:b/>
              </w:rPr>
            </w:pPr>
            <w:r>
              <w:rPr>
                <w:b/>
              </w:rPr>
              <w:t>Number</w:t>
            </w:r>
          </w:p>
        </w:tc>
        <w:tc>
          <w:tcPr>
            <w:tcW w:w="3192" w:type="dxa"/>
          </w:tcPr>
          <w:p w14:paraId="28ED5937" w14:textId="77777777" w:rsidR="009B0FCC" w:rsidRDefault="009B0FCC" w:rsidP="00721F16">
            <w:pPr>
              <w:keepNext/>
              <w:widowControl w:val="0"/>
              <w:spacing w:after="0" w:line="240" w:lineRule="auto"/>
              <w:jc w:val="center"/>
              <w:rPr>
                <w:b/>
              </w:rPr>
            </w:pPr>
            <w:r>
              <w:rPr>
                <w:b/>
              </w:rPr>
              <w:t>Percentage</w:t>
            </w:r>
          </w:p>
        </w:tc>
      </w:tr>
      <w:tr w:rsidR="009B0FCC" w14:paraId="6E37F567" w14:textId="77777777" w:rsidTr="00721F16">
        <w:trPr>
          <w:cantSplit/>
        </w:trPr>
        <w:tc>
          <w:tcPr>
            <w:tcW w:w="0" w:type="auto"/>
          </w:tcPr>
          <w:p w14:paraId="5749C638" w14:textId="77777777" w:rsidR="009B0FCC" w:rsidRDefault="009B0FCC" w:rsidP="00721F16">
            <w:pPr>
              <w:spacing w:beforeAutospacing="1" w:afterAutospacing="1"/>
            </w:pPr>
            <w:r>
              <w:rPr>
                <w:color w:val="000000"/>
              </w:rPr>
              <w:t>&lt; 30 Minutes</w:t>
            </w:r>
          </w:p>
        </w:tc>
        <w:tc>
          <w:tcPr>
            <w:tcW w:w="0" w:type="auto"/>
            <w:vAlign w:val="bottom"/>
          </w:tcPr>
          <w:p w14:paraId="444633FA" w14:textId="77777777" w:rsidR="009B0FCC" w:rsidRDefault="009B0FCC" w:rsidP="00721F16">
            <w:pPr>
              <w:spacing w:beforeAutospacing="1" w:afterAutospacing="1"/>
              <w:jc w:val="right"/>
            </w:pPr>
            <w:r>
              <w:rPr>
                <w:color w:val="000000"/>
              </w:rPr>
              <w:t>294,975</w:t>
            </w:r>
          </w:p>
        </w:tc>
        <w:tc>
          <w:tcPr>
            <w:tcW w:w="0" w:type="auto"/>
            <w:vAlign w:val="bottom"/>
          </w:tcPr>
          <w:p w14:paraId="5444CB4C" w14:textId="77777777" w:rsidR="009B0FCC" w:rsidRDefault="009B0FCC" w:rsidP="00721F16">
            <w:pPr>
              <w:spacing w:beforeAutospacing="1" w:afterAutospacing="1"/>
              <w:jc w:val="right"/>
            </w:pPr>
            <w:r>
              <w:rPr>
                <w:color w:val="000000"/>
              </w:rPr>
              <w:t>72%</w:t>
            </w:r>
          </w:p>
        </w:tc>
      </w:tr>
      <w:tr w:rsidR="009B0FCC" w14:paraId="436F78C5" w14:textId="77777777" w:rsidTr="00721F16">
        <w:trPr>
          <w:cantSplit/>
        </w:trPr>
        <w:tc>
          <w:tcPr>
            <w:tcW w:w="0" w:type="auto"/>
          </w:tcPr>
          <w:p w14:paraId="73CE659A" w14:textId="77777777" w:rsidR="009B0FCC" w:rsidRDefault="009B0FCC" w:rsidP="00721F16">
            <w:pPr>
              <w:spacing w:beforeAutospacing="1" w:afterAutospacing="1"/>
            </w:pPr>
            <w:r>
              <w:rPr>
                <w:color w:val="000000"/>
              </w:rPr>
              <w:t>30-59 Minutes</w:t>
            </w:r>
          </w:p>
        </w:tc>
        <w:tc>
          <w:tcPr>
            <w:tcW w:w="0" w:type="auto"/>
            <w:vAlign w:val="bottom"/>
          </w:tcPr>
          <w:p w14:paraId="501CC872" w14:textId="77777777" w:rsidR="009B0FCC" w:rsidRDefault="009B0FCC" w:rsidP="00721F16">
            <w:pPr>
              <w:spacing w:beforeAutospacing="1" w:afterAutospacing="1"/>
              <w:jc w:val="right"/>
            </w:pPr>
            <w:r>
              <w:rPr>
                <w:color w:val="000000"/>
              </w:rPr>
              <w:t>90,836</w:t>
            </w:r>
          </w:p>
        </w:tc>
        <w:tc>
          <w:tcPr>
            <w:tcW w:w="0" w:type="auto"/>
            <w:vAlign w:val="bottom"/>
          </w:tcPr>
          <w:p w14:paraId="7B428EDC" w14:textId="77777777" w:rsidR="009B0FCC" w:rsidRDefault="009B0FCC" w:rsidP="00721F16">
            <w:pPr>
              <w:spacing w:beforeAutospacing="1" w:afterAutospacing="1"/>
              <w:jc w:val="right"/>
            </w:pPr>
            <w:r>
              <w:rPr>
                <w:color w:val="000000"/>
              </w:rPr>
              <w:t>22%</w:t>
            </w:r>
          </w:p>
        </w:tc>
      </w:tr>
      <w:tr w:rsidR="009B0FCC" w14:paraId="0A1F1311" w14:textId="77777777" w:rsidTr="00721F16">
        <w:trPr>
          <w:cantSplit/>
        </w:trPr>
        <w:tc>
          <w:tcPr>
            <w:tcW w:w="0" w:type="auto"/>
          </w:tcPr>
          <w:p w14:paraId="2678F84E" w14:textId="77777777" w:rsidR="009B0FCC" w:rsidRDefault="009B0FCC" w:rsidP="00721F16">
            <w:pPr>
              <w:spacing w:beforeAutospacing="1" w:afterAutospacing="1"/>
            </w:pPr>
            <w:r>
              <w:rPr>
                <w:color w:val="000000"/>
              </w:rPr>
              <w:t>60 or More Minutes</w:t>
            </w:r>
          </w:p>
        </w:tc>
        <w:tc>
          <w:tcPr>
            <w:tcW w:w="0" w:type="auto"/>
            <w:vAlign w:val="bottom"/>
          </w:tcPr>
          <w:p w14:paraId="09DAA0E8" w14:textId="77777777" w:rsidR="009B0FCC" w:rsidRDefault="009B0FCC" w:rsidP="00721F16">
            <w:pPr>
              <w:spacing w:beforeAutospacing="1" w:afterAutospacing="1"/>
              <w:jc w:val="right"/>
            </w:pPr>
            <w:r>
              <w:rPr>
                <w:color w:val="000000"/>
              </w:rPr>
              <w:t>24,359</w:t>
            </w:r>
          </w:p>
        </w:tc>
        <w:tc>
          <w:tcPr>
            <w:tcW w:w="0" w:type="auto"/>
            <w:vAlign w:val="bottom"/>
          </w:tcPr>
          <w:p w14:paraId="235B8C38" w14:textId="77777777" w:rsidR="009B0FCC" w:rsidRDefault="009B0FCC" w:rsidP="00721F16">
            <w:pPr>
              <w:spacing w:beforeAutospacing="1" w:afterAutospacing="1"/>
              <w:jc w:val="right"/>
            </w:pPr>
            <w:r>
              <w:rPr>
                <w:color w:val="000000"/>
              </w:rPr>
              <w:t>6%</w:t>
            </w:r>
          </w:p>
        </w:tc>
      </w:tr>
      <w:tr w:rsidR="009B0FCC" w14:paraId="36F1AC04" w14:textId="77777777" w:rsidTr="00721F16">
        <w:trPr>
          <w:cantSplit/>
        </w:trPr>
        <w:tc>
          <w:tcPr>
            <w:tcW w:w="0" w:type="auto"/>
          </w:tcPr>
          <w:p w14:paraId="652B3B08" w14:textId="77777777" w:rsidR="009B0FCC" w:rsidRDefault="009B0FCC" w:rsidP="00721F16">
            <w:pPr>
              <w:spacing w:beforeAutospacing="1" w:afterAutospacing="1"/>
            </w:pPr>
            <w:r>
              <w:rPr>
                <w:rFonts w:ascii="Verdana" w:hAnsi="Verdana"/>
                <w:b/>
                <w:i/>
                <w:color w:val="000000"/>
                <w:sz w:val="16"/>
              </w:rPr>
              <w:t>Total</w:t>
            </w:r>
          </w:p>
        </w:tc>
        <w:tc>
          <w:tcPr>
            <w:tcW w:w="0" w:type="auto"/>
          </w:tcPr>
          <w:p w14:paraId="4684832A" w14:textId="77777777" w:rsidR="009B0FCC" w:rsidRDefault="009B0FCC" w:rsidP="00721F16">
            <w:pPr>
              <w:spacing w:beforeAutospacing="1" w:afterAutospacing="1"/>
              <w:jc w:val="right"/>
            </w:pPr>
            <w:r>
              <w:rPr>
                <w:rFonts w:ascii="Verdana" w:hAnsi="Verdana"/>
                <w:b/>
                <w:i/>
                <w:color w:val="000000"/>
                <w:sz w:val="16"/>
              </w:rPr>
              <w:t>410,170</w:t>
            </w:r>
          </w:p>
        </w:tc>
        <w:tc>
          <w:tcPr>
            <w:tcW w:w="0" w:type="auto"/>
          </w:tcPr>
          <w:p w14:paraId="64A8B341" w14:textId="77777777" w:rsidR="009B0FCC" w:rsidRDefault="009B0FCC" w:rsidP="00721F16">
            <w:pPr>
              <w:spacing w:beforeAutospacing="1" w:afterAutospacing="1"/>
              <w:jc w:val="right"/>
            </w:pPr>
            <w:r>
              <w:rPr>
                <w:rFonts w:ascii="Verdana" w:hAnsi="Verdana"/>
                <w:b/>
                <w:i/>
                <w:color w:val="000000"/>
                <w:sz w:val="16"/>
              </w:rPr>
              <w:t>100%</w:t>
            </w:r>
          </w:p>
        </w:tc>
      </w:tr>
    </w:tbl>
    <w:p w14:paraId="7060E267"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 Travel Time</w:t>
      </w:r>
    </w:p>
    <w:tbl>
      <w:tblPr>
        <w:tblW w:w="5000" w:type="pct"/>
        <w:tblInd w:w="115" w:type="dxa"/>
        <w:tblLook w:val="01E0" w:firstRow="1" w:lastRow="1" w:firstColumn="1" w:lastColumn="1" w:noHBand="0" w:noVBand="0"/>
      </w:tblPr>
      <w:tblGrid>
        <w:gridCol w:w="1452"/>
        <w:gridCol w:w="11508"/>
      </w:tblGrid>
      <w:tr w:rsidR="009B0FCC" w14:paraId="4A955CEE" w14:textId="77777777" w:rsidTr="00721F16">
        <w:trPr>
          <w:cantSplit/>
        </w:trPr>
        <w:tc>
          <w:tcPr>
            <w:tcW w:w="1073" w:type="dxa"/>
          </w:tcPr>
          <w:p w14:paraId="4FDA7829"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0B40A8B8"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5F1AF83E" w14:textId="77777777" w:rsidR="009B0FCC" w:rsidRDefault="009B0FCC" w:rsidP="009B0FCC">
      <w:pPr>
        <w:keepNext/>
        <w:widowControl w:val="0"/>
        <w:spacing w:after="0" w:line="240" w:lineRule="auto"/>
        <w:jc w:val="center"/>
        <w:rPr>
          <w:b/>
          <w:bCs/>
          <w:vanish/>
          <w:sz w:val="20"/>
          <w:szCs w:val="20"/>
        </w:rPr>
      </w:pPr>
    </w:p>
    <w:p w14:paraId="28B23DF0" w14:textId="77777777" w:rsidR="009B0FCC" w:rsidRDefault="009B0FCC" w:rsidP="009B0FCC">
      <w:pPr>
        <w:rPr>
          <w:b/>
          <w:bCs/>
          <w:vanish/>
          <w:sz w:val="16"/>
          <w:szCs w:val="16"/>
        </w:rPr>
      </w:pPr>
    </w:p>
    <w:p w14:paraId="58FEEABD" w14:textId="77777777" w:rsidR="009B0FCC" w:rsidRDefault="009B0FCC" w:rsidP="009B0FCC">
      <w:pPr>
        <w:rPr>
          <w:bCs/>
        </w:rPr>
      </w:pPr>
    </w:p>
    <w:p w14:paraId="46804A99" w14:textId="77777777" w:rsidR="009B0FCC" w:rsidRDefault="009B0FCC" w:rsidP="009B0FCC">
      <w:pPr>
        <w:keepNext/>
        <w:widowControl w:val="0"/>
        <w:rPr>
          <w:b/>
          <w:sz w:val="24"/>
          <w:szCs w:val="24"/>
        </w:rPr>
      </w:pPr>
      <w:r>
        <w:rPr>
          <w:b/>
          <w:sz w:val="24"/>
          <w:szCs w:val="24"/>
        </w:rPr>
        <w:t>Education:</w:t>
      </w:r>
    </w:p>
    <w:p w14:paraId="42BAA5AD" w14:textId="77777777" w:rsidR="009B0FCC" w:rsidRDefault="009B0FCC" w:rsidP="009B0FCC">
      <w:pPr>
        <w:keepNext/>
        <w:widowControl w:val="0"/>
        <w:rPr>
          <w:sz w:val="24"/>
          <w:szCs w:val="24"/>
        </w:rPr>
      </w:pPr>
      <w:r>
        <w:rPr>
          <w:sz w:val="24"/>
          <w:szCs w:val="24"/>
        </w:rPr>
        <w:t>Educational Attainment by Employment Status (Population 16 and Older)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6"/>
        <w:gridCol w:w="2833"/>
        <w:gridCol w:w="2833"/>
        <w:gridCol w:w="2858"/>
      </w:tblGrid>
      <w:tr w:rsidR="009B0FCC" w14:paraId="6CF9036B" w14:textId="77777777" w:rsidTr="00721F16">
        <w:trPr>
          <w:cantSplit/>
          <w:tblHeader/>
        </w:trPr>
        <w:tc>
          <w:tcPr>
            <w:tcW w:w="3233" w:type="dxa"/>
            <w:vMerge w:val="restart"/>
          </w:tcPr>
          <w:p w14:paraId="0D72AC60" w14:textId="77777777" w:rsidR="009B0FCC" w:rsidRDefault="009B0FCC" w:rsidP="00721F16">
            <w:pPr>
              <w:keepNext/>
              <w:widowControl w:val="0"/>
              <w:spacing w:after="0" w:line="240" w:lineRule="auto"/>
              <w:jc w:val="center"/>
            </w:pPr>
            <w:r>
              <w:rPr>
                <w:b/>
              </w:rPr>
              <w:t>Educational Attainment</w:t>
            </w:r>
          </w:p>
        </w:tc>
        <w:tc>
          <w:tcPr>
            <w:tcW w:w="4140" w:type="dxa"/>
            <w:gridSpan w:val="2"/>
          </w:tcPr>
          <w:p w14:paraId="034BA024" w14:textId="77777777" w:rsidR="009B0FCC" w:rsidRDefault="009B0FCC" w:rsidP="00721F16">
            <w:pPr>
              <w:keepNext/>
              <w:widowControl w:val="0"/>
              <w:spacing w:after="0" w:line="240" w:lineRule="auto"/>
              <w:jc w:val="center"/>
            </w:pPr>
            <w:r>
              <w:rPr>
                <w:b/>
              </w:rPr>
              <w:t>In Labor Force</w:t>
            </w:r>
          </w:p>
        </w:tc>
        <w:tc>
          <w:tcPr>
            <w:tcW w:w="2088" w:type="dxa"/>
          </w:tcPr>
          <w:p w14:paraId="074B4093" w14:textId="77777777" w:rsidR="009B0FCC" w:rsidRDefault="009B0FCC" w:rsidP="00721F16">
            <w:pPr>
              <w:keepNext/>
              <w:widowControl w:val="0"/>
              <w:spacing w:after="0" w:line="240" w:lineRule="auto"/>
              <w:jc w:val="center"/>
            </w:pPr>
          </w:p>
        </w:tc>
      </w:tr>
      <w:tr w:rsidR="009B0FCC" w14:paraId="1FAF1C34" w14:textId="77777777" w:rsidTr="00721F16">
        <w:trPr>
          <w:cantSplit/>
          <w:tblHeader/>
        </w:trPr>
        <w:tc>
          <w:tcPr>
            <w:tcW w:w="3233" w:type="dxa"/>
            <w:vMerge/>
          </w:tcPr>
          <w:p w14:paraId="280523AA" w14:textId="77777777" w:rsidR="009B0FCC" w:rsidRDefault="009B0FCC" w:rsidP="00721F16">
            <w:pPr>
              <w:keepNext/>
              <w:widowControl w:val="0"/>
              <w:spacing w:after="0" w:line="240" w:lineRule="auto"/>
              <w:jc w:val="center"/>
            </w:pPr>
          </w:p>
        </w:tc>
        <w:tc>
          <w:tcPr>
            <w:tcW w:w="2070" w:type="dxa"/>
          </w:tcPr>
          <w:p w14:paraId="6835E86D" w14:textId="77777777" w:rsidR="009B0FCC" w:rsidRDefault="009B0FCC" w:rsidP="00721F16">
            <w:pPr>
              <w:keepNext/>
              <w:widowControl w:val="0"/>
              <w:spacing w:after="0" w:line="240" w:lineRule="auto"/>
              <w:jc w:val="center"/>
            </w:pPr>
            <w:r>
              <w:rPr>
                <w:b/>
              </w:rPr>
              <w:t>Civilian Employed</w:t>
            </w:r>
          </w:p>
        </w:tc>
        <w:tc>
          <w:tcPr>
            <w:tcW w:w="2070" w:type="dxa"/>
          </w:tcPr>
          <w:p w14:paraId="77229C39" w14:textId="77777777" w:rsidR="009B0FCC" w:rsidRDefault="009B0FCC" w:rsidP="00721F16">
            <w:pPr>
              <w:keepNext/>
              <w:widowControl w:val="0"/>
              <w:spacing w:after="0" w:line="240" w:lineRule="auto"/>
              <w:jc w:val="center"/>
            </w:pPr>
            <w:r>
              <w:rPr>
                <w:b/>
              </w:rPr>
              <w:t>Unemployed</w:t>
            </w:r>
          </w:p>
        </w:tc>
        <w:tc>
          <w:tcPr>
            <w:tcW w:w="2088" w:type="dxa"/>
          </w:tcPr>
          <w:p w14:paraId="05D035DD" w14:textId="77777777" w:rsidR="009B0FCC" w:rsidRDefault="009B0FCC" w:rsidP="00721F16">
            <w:pPr>
              <w:keepNext/>
              <w:widowControl w:val="0"/>
              <w:spacing w:after="0" w:line="240" w:lineRule="auto"/>
              <w:jc w:val="center"/>
            </w:pPr>
            <w:r>
              <w:rPr>
                <w:b/>
              </w:rPr>
              <w:t>Not in Labor Force</w:t>
            </w:r>
          </w:p>
        </w:tc>
      </w:tr>
      <w:tr w:rsidR="009B0FCC" w14:paraId="2A1675D2" w14:textId="77777777" w:rsidTr="00721F16">
        <w:trPr>
          <w:cantSplit/>
        </w:trPr>
        <w:tc>
          <w:tcPr>
            <w:tcW w:w="3233" w:type="dxa"/>
          </w:tcPr>
          <w:p w14:paraId="1BD9C438" w14:textId="77777777" w:rsidR="009B0FCC" w:rsidRDefault="009B0FCC" w:rsidP="00721F16">
            <w:pPr>
              <w:keepNext/>
              <w:widowControl w:val="0"/>
              <w:spacing w:after="0" w:line="240" w:lineRule="auto"/>
              <w:rPr>
                <w:szCs w:val="24"/>
              </w:rPr>
            </w:pPr>
            <w:r>
              <w:t>Less than high school graduate</w:t>
            </w:r>
          </w:p>
        </w:tc>
        <w:tc>
          <w:tcPr>
            <w:tcW w:w="2070" w:type="dxa"/>
          </w:tcPr>
          <w:p w14:paraId="0C495D35" w14:textId="77777777" w:rsidR="009B0FCC" w:rsidRDefault="009B0FCC" w:rsidP="00721F16">
            <w:pPr>
              <w:keepNext/>
              <w:widowControl w:val="0"/>
              <w:spacing w:after="0" w:line="240" w:lineRule="auto"/>
            </w:pPr>
          </w:p>
        </w:tc>
        <w:tc>
          <w:tcPr>
            <w:tcW w:w="2070" w:type="dxa"/>
          </w:tcPr>
          <w:p w14:paraId="75896AF4" w14:textId="77777777" w:rsidR="009B0FCC" w:rsidRDefault="009B0FCC" w:rsidP="00721F16">
            <w:pPr>
              <w:keepNext/>
              <w:widowControl w:val="0"/>
              <w:spacing w:after="0" w:line="240" w:lineRule="auto"/>
            </w:pPr>
          </w:p>
        </w:tc>
        <w:tc>
          <w:tcPr>
            <w:tcW w:w="2088" w:type="dxa"/>
          </w:tcPr>
          <w:p w14:paraId="33D91564" w14:textId="77777777" w:rsidR="009B0FCC" w:rsidRDefault="009B0FCC" w:rsidP="00721F16">
            <w:pPr>
              <w:keepNext/>
              <w:widowControl w:val="0"/>
              <w:spacing w:after="0" w:line="240" w:lineRule="auto"/>
            </w:pPr>
          </w:p>
        </w:tc>
      </w:tr>
      <w:tr w:rsidR="009B0FCC" w14:paraId="26BAE73E" w14:textId="77777777" w:rsidTr="00721F16">
        <w:trPr>
          <w:cantSplit/>
        </w:trPr>
        <w:tc>
          <w:tcPr>
            <w:tcW w:w="3233" w:type="dxa"/>
          </w:tcPr>
          <w:p w14:paraId="3AB2C09F" w14:textId="77777777" w:rsidR="009B0FCC" w:rsidRDefault="009B0FCC" w:rsidP="00721F16">
            <w:pPr>
              <w:keepNext/>
              <w:widowControl w:val="0"/>
              <w:spacing w:after="0" w:line="240" w:lineRule="auto"/>
              <w:rPr>
                <w:szCs w:val="24"/>
              </w:rPr>
            </w:pPr>
            <w:r>
              <w:t>High school graduate (includes equivalency)</w:t>
            </w:r>
          </w:p>
        </w:tc>
        <w:tc>
          <w:tcPr>
            <w:tcW w:w="2070" w:type="dxa"/>
          </w:tcPr>
          <w:p w14:paraId="76946A9A" w14:textId="77777777" w:rsidR="009B0FCC" w:rsidRDefault="009B0FCC" w:rsidP="00721F16">
            <w:pPr>
              <w:keepNext/>
              <w:widowControl w:val="0"/>
              <w:spacing w:after="0" w:line="240" w:lineRule="auto"/>
            </w:pPr>
          </w:p>
        </w:tc>
        <w:tc>
          <w:tcPr>
            <w:tcW w:w="2070" w:type="dxa"/>
          </w:tcPr>
          <w:p w14:paraId="36CA83CB" w14:textId="77777777" w:rsidR="009B0FCC" w:rsidRDefault="009B0FCC" w:rsidP="00721F16">
            <w:pPr>
              <w:keepNext/>
              <w:widowControl w:val="0"/>
              <w:spacing w:after="0" w:line="240" w:lineRule="auto"/>
            </w:pPr>
          </w:p>
        </w:tc>
        <w:tc>
          <w:tcPr>
            <w:tcW w:w="2088" w:type="dxa"/>
          </w:tcPr>
          <w:p w14:paraId="122EC150" w14:textId="77777777" w:rsidR="009B0FCC" w:rsidRDefault="009B0FCC" w:rsidP="00721F16">
            <w:pPr>
              <w:keepNext/>
              <w:widowControl w:val="0"/>
              <w:spacing w:after="0" w:line="240" w:lineRule="auto"/>
            </w:pPr>
          </w:p>
        </w:tc>
      </w:tr>
      <w:tr w:rsidR="009B0FCC" w14:paraId="26101A8B" w14:textId="77777777" w:rsidTr="00721F16">
        <w:trPr>
          <w:cantSplit/>
        </w:trPr>
        <w:tc>
          <w:tcPr>
            <w:tcW w:w="3233" w:type="dxa"/>
          </w:tcPr>
          <w:p w14:paraId="6B45EC72" w14:textId="77777777" w:rsidR="009B0FCC" w:rsidRDefault="009B0FCC" w:rsidP="00721F16">
            <w:pPr>
              <w:keepNext/>
              <w:widowControl w:val="0"/>
              <w:spacing w:after="0" w:line="240" w:lineRule="auto"/>
              <w:rPr>
                <w:szCs w:val="24"/>
              </w:rPr>
            </w:pPr>
            <w:r>
              <w:t xml:space="preserve">Some college or </w:t>
            </w:r>
            <w:proofErr w:type="gramStart"/>
            <w:r>
              <w:t>Associate’s</w:t>
            </w:r>
            <w:proofErr w:type="gramEnd"/>
            <w:r>
              <w:t xml:space="preserve"> degree</w:t>
            </w:r>
          </w:p>
        </w:tc>
        <w:tc>
          <w:tcPr>
            <w:tcW w:w="2070" w:type="dxa"/>
          </w:tcPr>
          <w:p w14:paraId="748CB0B8" w14:textId="77777777" w:rsidR="009B0FCC" w:rsidRDefault="009B0FCC" w:rsidP="00721F16">
            <w:pPr>
              <w:keepNext/>
              <w:widowControl w:val="0"/>
              <w:spacing w:after="0" w:line="240" w:lineRule="auto"/>
            </w:pPr>
          </w:p>
        </w:tc>
        <w:tc>
          <w:tcPr>
            <w:tcW w:w="2070" w:type="dxa"/>
          </w:tcPr>
          <w:p w14:paraId="546484D8" w14:textId="77777777" w:rsidR="009B0FCC" w:rsidRDefault="009B0FCC" w:rsidP="00721F16">
            <w:pPr>
              <w:keepNext/>
              <w:widowControl w:val="0"/>
              <w:spacing w:after="0" w:line="240" w:lineRule="auto"/>
            </w:pPr>
          </w:p>
        </w:tc>
        <w:tc>
          <w:tcPr>
            <w:tcW w:w="2088" w:type="dxa"/>
          </w:tcPr>
          <w:p w14:paraId="2F493201" w14:textId="77777777" w:rsidR="009B0FCC" w:rsidRDefault="009B0FCC" w:rsidP="00721F16">
            <w:pPr>
              <w:keepNext/>
              <w:widowControl w:val="0"/>
              <w:spacing w:after="0" w:line="240" w:lineRule="auto"/>
            </w:pPr>
          </w:p>
        </w:tc>
      </w:tr>
      <w:tr w:rsidR="009B0FCC" w14:paraId="412C97B3" w14:textId="77777777" w:rsidTr="00721F16">
        <w:trPr>
          <w:cantSplit/>
        </w:trPr>
        <w:tc>
          <w:tcPr>
            <w:tcW w:w="3233" w:type="dxa"/>
          </w:tcPr>
          <w:p w14:paraId="52D71997" w14:textId="77777777" w:rsidR="009B0FCC" w:rsidRDefault="009B0FCC" w:rsidP="00721F16">
            <w:pPr>
              <w:keepNext/>
              <w:widowControl w:val="0"/>
              <w:spacing w:after="0" w:line="240" w:lineRule="auto"/>
              <w:rPr>
                <w:szCs w:val="24"/>
              </w:rPr>
            </w:pPr>
            <w:r>
              <w:t>Bachelor’s degree or higher</w:t>
            </w:r>
          </w:p>
        </w:tc>
        <w:tc>
          <w:tcPr>
            <w:tcW w:w="2070" w:type="dxa"/>
          </w:tcPr>
          <w:p w14:paraId="20FDA08E" w14:textId="77777777" w:rsidR="009B0FCC" w:rsidRDefault="009B0FCC" w:rsidP="00721F16">
            <w:pPr>
              <w:keepNext/>
              <w:widowControl w:val="0"/>
              <w:spacing w:after="0" w:line="240" w:lineRule="auto"/>
            </w:pPr>
          </w:p>
        </w:tc>
        <w:tc>
          <w:tcPr>
            <w:tcW w:w="2070" w:type="dxa"/>
          </w:tcPr>
          <w:p w14:paraId="3D05343D" w14:textId="77777777" w:rsidR="009B0FCC" w:rsidRDefault="009B0FCC" w:rsidP="00721F16">
            <w:pPr>
              <w:keepNext/>
              <w:widowControl w:val="0"/>
              <w:spacing w:after="0" w:line="240" w:lineRule="auto"/>
            </w:pPr>
          </w:p>
        </w:tc>
        <w:tc>
          <w:tcPr>
            <w:tcW w:w="2088" w:type="dxa"/>
          </w:tcPr>
          <w:p w14:paraId="0BB1DB09" w14:textId="77777777" w:rsidR="009B0FCC" w:rsidRDefault="009B0FCC" w:rsidP="00721F16">
            <w:pPr>
              <w:keepNext/>
              <w:widowControl w:val="0"/>
              <w:spacing w:after="0" w:line="240" w:lineRule="auto"/>
            </w:pPr>
          </w:p>
        </w:tc>
      </w:tr>
    </w:tbl>
    <w:p w14:paraId="66C4870A"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 Educational Attainment by Employment Status</w:t>
      </w:r>
    </w:p>
    <w:tbl>
      <w:tblPr>
        <w:tblW w:w="5000" w:type="pct"/>
        <w:tblInd w:w="115" w:type="dxa"/>
        <w:tblLook w:val="01E0" w:firstRow="1" w:lastRow="1" w:firstColumn="1" w:lastColumn="1" w:noHBand="0" w:noVBand="0"/>
      </w:tblPr>
      <w:tblGrid>
        <w:gridCol w:w="1452"/>
        <w:gridCol w:w="11508"/>
      </w:tblGrid>
      <w:tr w:rsidR="009B0FCC" w14:paraId="21DBE0B5" w14:textId="77777777" w:rsidTr="00721F16">
        <w:trPr>
          <w:cantSplit/>
        </w:trPr>
        <w:tc>
          <w:tcPr>
            <w:tcW w:w="1073" w:type="dxa"/>
          </w:tcPr>
          <w:p w14:paraId="1C7D82BF"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160D9362"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0B484BE2" w14:textId="77777777" w:rsidR="009B0FCC" w:rsidRDefault="009B0FCC" w:rsidP="009B0FCC">
      <w:pPr>
        <w:keepNext/>
        <w:widowControl w:val="0"/>
        <w:spacing w:after="0" w:line="240" w:lineRule="auto"/>
        <w:jc w:val="center"/>
        <w:rPr>
          <w:b/>
          <w:bCs/>
          <w:vanish/>
          <w:sz w:val="20"/>
          <w:szCs w:val="20"/>
        </w:rPr>
      </w:pPr>
    </w:p>
    <w:p w14:paraId="6F93E58E" w14:textId="77777777" w:rsidR="009B0FCC" w:rsidRDefault="009B0FCC" w:rsidP="009B0FCC">
      <w:pPr>
        <w:spacing w:after="0" w:line="240" w:lineRule="auto"/>
        <w:rPr>
          <w:b/>
          <w:bCs/>
          <w:vanish/>
          <w:sz w:val="16"/>
          <w:szCs w:val="16"/>
        </w:rPr>
      </w:pPr>
    </w:p>
    <w:p w14:paraId="17DA6B3B" w14:textId="77777777" w:rsidR="009B0FCC" w:rsidRDefault="009B0FCC" w:rsidP="009B0FCC">
      <w:pPr>
        <w:rPr>
          <w:bCs/>
        </w:rPr>
      </w:pPr>
    </w:p>
    <w:p w14:paraId="3150669D" w14:textId="77777777" w:rsidR="009B0FCC" w:rsidRDefault="009B0FCC" w:rsidP="009B0FCC">
      <w:pPr>
        <w:keepNext/>
        <w:widowControl w:val="0"/>
        <w:rPr>
          <w:sz w:val="24"/>
          <w:szCs w:val="24"/>
        </w:rPr>
      </w:pPr>
      <w:r>
        <w:rPr>
          <w:sz w:val="24"/>
          <w:szCs w:val="24"/>
        </w:rPr>
        <w:t>Educational Attainment by Age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1901"/>
        <w:gridCol w:w="1903"/>
        <w:gridCol w:w="1901"/>
        <w:gridCol w:w="1903"/>
        <w:gridCol w:w="1903"/>
      </w:tblGrid>
      <w:tr w:rsidR="009B0FCC" w14:paraId="456A8C4E" w14:textId="77777777" w:rsidTr="00721F16">
        <w:trPr>
          <w:cantSplit/>
          <w:tblHeader/>
        </w:trPr>
        <w:tc>
          <w:tcPr>
            <w:tcW w:w="2513" w:type="dxa"/>
            <w:vMerge w:val="restart"/>
          </w:tcPr>
          <w:p w14:paraId="747D6701" w14:textId="77777777" w:rsidR="009B0FCC" w:rsidRDefault="009B0FCC" w:rsidP="00721F16">
            <w:pPr>
              <w:keepNext/>
              <w:widowControl w:val="0"/>
              <w:spacing w:after="0" w:line="240" w:lineRule="auto"/>
              <w:jc w:val="center"/>
            </w:pPr>
          </w:p>
        </w:tc>
        <w:tc>
          <w:tcPr>
            <w:tcW w:w="6948" w:type="dxa"/>
            <w:gridSpan w:val="5"/>
          </w:tcPr>
          <w:p w14:paraId="09E586A1" w14:textId="77777777" w:rsidR="009B0FCC" w:rsidRDefault="009B0FCC" w:rsidP="00721F16">
            <w:pPr>
              <w:keepNext/>
              <w:widowControl w:val="0"/>
              <w:spacing w:after="0" w:line="240" w:lineRule="auto"/>
              <w:jc w:val="center"/>
            </w:pPr>
            <w:r>
              <w:rPr>
                <w:b/>
              </w:rPr>
              <w:t>Age</w:t>
            </w:r>
          </w:p>
        </w:tc>
      </w:tr>
      <w:tr w:rsidR="009B0FCC" w14:paraId="6ABB4721" w14:textId="77777777" w:rsidTr="00721F16">
        <w:trPr>
          <w:cantSplit/>
          <w:tblHeader/>
        </w:trPr>
        <w:tc>
          <w:tcPr>
            <w:tcW w:w="2513" w:type="dxa"/>
            <w:vMerge/>
          </w:tcPr>
          <w:p w14:paraId="2395608F" w14:textId="77777777" w:rsidR="009B0FCC" w:rsidRDefault="009B0FCC" w:rsidP="00721F16">
            <w:pPr>
              <w:keepNext/>
              <w:widowControl w:val="0"/>
              <w:spacing w:after="0" w:line="240" w:lineRule="auto"/>
              <w:jc w:val="center"/>
            </w:pPr>
          </w:p>
        </w:tc>
        <w:tc>
          <w:tcPr>
            <w:tcW w:w="1389" w:type="dxa"/>
          </w:tcPr>
          <w:p w14:paraId="34A607B8" w14:textId="77777777" w:rsidR="009B0FCC" w:rsidRDefault="009B0FCC" w:rsidP="00721F16">
            <w:pPr>
              <w:keepNext/>
              <w:widowControl w:val="0"/>
              <w:spacing w:after="0" w:line="240" w:lineRule="auto"/>
              <w:jc w:val="center"/>
            </w:pPr>
            <w:r>
              <w:rPr>
                <w:b/>
              </w:rPr>
              <w:t>18–24 yrs</w:t>
            </w:r>
          </w:p>
        </w:tc>
        <w:tc>
          <w:tcPr>
            <w:tcW w:w="1390" w:type="dxa"/>
          </w:tcPr>
          <w:p w14:paraId="6082F968" w14:textId="77777777" w:rsidR="009B0FCC" w:rsidRDefault="009B0FCC" w:rsidP="00721F16">
            <w:pPr>
              <w:keepNext/>
              <w:widowControl w:val="0"/>
              <w:spacing w:after="0" w:line="240" w:lineRule="auto"/>
              <w:jc w:val="center"/>
            </w:pPr>
            <w:r>
              <w:rPr>
                <w:b/>
              </w:rPr>
              <w:t>25–34 yrs</w:t>
            </w:r>
          </w:p>
        </w:tc>
        <w:tc>
          <w:tcPr>
            <w:tcW w:w="1389" w:type="dxa"/>
          </w:tcPr>
          <w:p w14:paraId="1BA6E346" w14:textId="77777777" w:rsidR="009B0FCC" w:rsidRDefault="009B0FCC" w:rsidP="00721F16">
            <w:pPr>
              <w:keepNext/>
              <w:widowControl w:val="0"/>
              <w:spacing w:after="0" w:line="240" w:lineRule="auto"/>
              <w:jc w:val="center"/>
            </w:pPr>
            <w:r>
              <w:rPr>
                <w:b/>
              </w:rPr>
              <w:t>35–44 yrs</w:t>
            </w:r>
          </w:p>
        </w:tc>
        <w:tc>
          <w:tcPr>
            <w:tcW w:w="1390" w:type="dxa"/>
          </w:tcPr>
          <w:p w14:paraId="6C69BBC2" w14:textId="77777777" w:rsidR="009B0FCC" w:rsidRDefault="009B0FCC" w:rsidP="00721F16">
            <w:pPr>
              <w:keepNext/>
              <w:widowControl w:val="0"/>
              <w:spacing w:after="0" w:line="240" w:lineRule="auto"/>
              <w:jc w:val="center"/>
            </w:pPr>
            <w:r>
              <w:rPr>
                <w:b/>
              </w:rPr>
              <w:t>45–65 yrs</w:t>
            </w:r>
          </w:p>
        </w:tc>
        <w:tc>
          <w:tcPr>
            <w:tcW w:w="1390" w:type="dxa"/>
          </w:tcPr>
          <w:p w14:paraId="2F54FEAF" w14:textId="77777777" w:rsidR="009B0FCC" w:rsidRDefault="009B0FCC" w:rsidP="00721F16">
            <w:pPr>
              <w:keepNext/>
              <w:widowControl w:val="0"/>
              <w:spacing w:after="0" w:line="240" w:lineRule="auto"/>
              <w:jc w:val="center"/>
            </w:pPr>
            <w:r>
              <w:rPr>
                <w:b/>
              </w:rPr>
              <w:t>65+ yrs</w:t>
            </w:r>
          </w:p>
        </w:tc>
      </w:tr>
      <w:tr w:rsidR="009B0FCC" w14:paraId="0FF567F1" w14:textId="77777777" w:rsidTr="00721F16">
        <w:trPr>
          <w:cantSplit/>
        </w:trPr>
        <w:tc>
          <w:tcPr>
            <w:tcW w:w="2513" w:type="dxa"/>
          </w:tcPr>
          <w:p w14:paraId="2DA4A8BD" w14:textId="77777777" w:rsidR="009B0FCC" w:rsidRDefault="009B0FCC" w:rsidP="00721F16">
            <w:pPr>
              <w:keepNext/>
              <w:widowControl w:val="0"/>
              <w:spacing w:after="0" w:line="240" w:lineRule="auto"/>
              <w:rPr>
                <w:szCs w:val="24"/>
              </w:rPr>
            </w:pPr>
            <w:r>
              <w:t>Less than 9th grade</w:t>
            </w:r>
          </w:p>
        </w:tc>
        <w:tc>
          <w:tcPr>
            <w:tcW w:w="1389" w:type="dxa"/>
          </w:tcPr>
          <w:p w14:paraId="20EA15C8" w14:textId="77777777" w:rsidR="009B0FCC" w:rsidRDefault="009B0FCC" w:rsidP="00721F16">
            <w:pPr>
              <w:keepNext/>
              <w:widowControl w:val="0"/>
              <w:spacing w:after="0" w:line="240" w:lineRule="auto"/>
            </w:pPr>
          </w:p>
        </w:tc>
        <w:tc>
          <w:tcPr>
            <w:tcW w:w="1390" w:type="dxa"/>
          </w:tcPr>
          <w:p w14:paraId="4F525932" w14:textId="77777777" w:rsidR="009B0FCC" w:rsidRDefault="009B0FCC" w:rsidP="00721F16">
            <w:pPr>
              <w:keepNext/>
              <w:widowControl w:val="0"/>
              <w:spacing w:after="0" w:line="240" w:lineRule="auto"/>
            </w:pPr>
          </w:p>
        </w:tc>
        <w:tc>
          <w:tcPr>
            <w:tcW w:w="1389" w:type="dxa"/>
          </w:tcPr>
          <w:p w14:paraId="2534AE34" w14:textId="77777777" w:rsidR="009B0FCC" w:rsidRDefault="009B0FCC" w:rsidP="00721F16">
            <w:pPr>
              <w:keepNext/>
              <w:widowControl w:val="0"/>
              <w:spacing w:after="0" w:line="240" w:lineRule="auto"/>
            </w:pPr>
          </w:p>
        </w:tc>
        <w:tc>
          <w:tcPr>
            <w:tcW w:w="1390" w:type="dxa"/>
          </w:tcPr>
          <w:p w14:paraId="710BCEF7" w14:textId="77777777" w:rsidR="009B0FCC" w:rsidRDefault="009B0FCC" w:rsidP="00721F16">
            <w:pPr>
              <w:keepNext/>
              <w:widowControl w:val="0"/>
              <w:spacing w:after="0" w:line="240" w:lineRule="auto"/>
            </w:pPr>
          </w:p>
        </w:tc>
        <w:tc>
          <w:tcPr>
            <w:tcW w:w="1390" w:type="dxa"/>
          </w:tcPr>
          <w:p w14:paraId="6D0FBDE8" w14:textId="77777777" w:rsidR="009B0FCC" w:rsidRDefault="009B0FCC" w:rsidP="00721F16">
            <w:pPr>
              <w:keepNext/>
              <w:widowControl w:val="0"/>
              <w:spacing w:after="0" w:line="240" w:lineRule="auto"/>
            </w:pPr>
          </w:p>
        </w:tc>
      </w:tr>
      <w:tr w:rsidR="009B0FCC" w14:paraId="24F50435" w14:textId="77777777" w:rsidTr="00721F16">
        <w:trPr>
          <w:cantSplit/>
        </w:trPr>
        <w:tc>
          <w:tcPr>
            <w:tcW w:w="2513" w:type="dxa"/>
          </w:tcPr>
          <w:p w14:paraId="54A1495D" w14:textId="77777777" w:rsidR="009B0FCC" w:rsidRDefault="009B0FCC" w:rsidP="00721F16">
            <w:pPr>
              <w:keepNext/>
              <w:widowControl w:val="0"/>
              <w:spacing w:after="0" w:line="240" w:lineRule="auto"/>
              <w:rPr>
                <w:szCs w:val="24"/>
              </w:rPr>
            </w:pPr>
            <w:r>
              <w:t>9th to 12th grade, no diploma</w:t>
            </w:r>
          </w:p>
        </w:tc>
        <w:tc>
          <w:tcPr>
            <w:tcW w:w="1389" w:type="dxa"/>
          </w:tcPr>
          <w:p w14:paraId="4A885332" w14:textId="77777777" w:rsidR="009B0FCC" w:rsidRDefault="009B0FCC" w:rsidP="00721F16">
            <w:pPr>
              <w:keepNext/>
              <w:widowControl w:val="0"/>
              <w:spacing w:after="0" w:line="240" w:lineRule="auto"/>
            </w:pPr>
          </w:p>
        </w:tc>
        <w:tc>
          <w:tcPr>
            <w:tcW w:w="1390" w:type="dxa"/>
          </w:tcPr>
          <w:p w14:paraId="6AEC79E8" w14:textId="77777777" w:rsidR="009B0FCC" w:rsidRDefault="009B0FCC" w:rsidP="00721F16">
            <w:pPr>
              <w:keepNext/>
              <w:widowControl w:val="0"/>
              <w:spacing w:after="0" w:line="240" w:lineRule="auto"/>
            </w:pPr>
          </w:p>
        </w:tc>
        <w:tc>
          <w:tcPr>
            <w:tcW w:w="1389" w:type="dxa"/>
          </w:tcPr>
          <w:p w14:paraId="0D0DA3D5" w14:textId="77777777" w:rsidR="009B0FCC" w:rsidRDefault="009B0FCC" w:rsidP="00721F16">
            <w:pPr>
              <w:keepNext/>
              <w:widowControl w:val="0"/>
              <w:spacing w:after="0" w:line="240" w:lineRule="auto"/>
            </w:pPr>
          </w:p>
        </w:tc>
        <w:tc>
          <w:tcPr>
            <w:tcW w:w="1390" w:type="dxa"/>
          </w:tcPr>
          <w:p w14:paraId="5F52E13E" w14:textId="77777777" w:rsidR="009B0FCC" w:rsidRDefault="009B0FCC" w:rsidP="00721F16">
            <w:pPr>
              <w:keepNext/>
              <w:widowControl w:val="0"/>
              <w:spacing w:after="0" w:line="240" w:lineRule="auto"/>
            </w:pPr>
          </w:p>
        </w:tc>
        <w:tc>
          <w:tcPr>
            <w:tcW w:w="1390" w:type="dxa"/>
          </w:tcPr>
          <w:p w14:paraId="0997F094" w14:textId="77777777" w:rsidR="009B0FCC" w:rsidRDefault="009B0FCC" w:rsidP="00721F16">
            <w:pPr>
              <w:keepNext/>
              <w:widowControl w:val="0"/>
              <w:spacing w:after="0" w:line="240" w:lineRule="auto"/>
            </w:pPr>
          </w:p>
        </w:tc>
      </w:tr>
      <w:tr w:rsidR="009B0FCC" w14:paraId="0AB530E0" w14:textId="77777777" w:rsidTr="00721F16">
        <w:trPr>
          <w:cantSplit/>
        </w:trPr>
        <w:tc>
          <w:tcPr>
            <w:tcW w:w="2513" w:type="dxa"/>
          </w:tcPr>
          <w:p w14:paraId="66AF1FB2" w14:textId="77777777" w:rsidR="009B0FCC" w:rsidRDefault="009B0FCC" w:rsidP="00721F16">
            <w:pPr>
              <w:keepNext/>
              <w:widowControl w:val="0"/>
              <w:spacing w:after="0" w:line="240" w:lineRule="auto"/>
              <w:rPr>
                <w:szCs w:val="24"/>
              </w:rPr>
            </w:pPr>
            <w:r>
              <w:t>High school graduate, GED, or alternative</w:t>
            </w:r>
          </w:p>
        </w:tc>
        <w:tc>
          <w:tcPr>
            <w:tcW w:w="1389" w:type="dxa"/>
          </w:tcPr>
          <w:p w14:paraId="675FE393" w14:textId="77777777" w:rsidR="009B0FCC" w:rsidRDefault="009B0FCC" w:rsidP="00721F16">
            <w:pPr>
              <w:keepNext/>
              <w:widowControl w:val="0"/>
              <w:spacing w:after="0" w:line="240" w:lineRule="auto"/>
            </w:pPr>
          </w:p>
        </w:tc>
        <w:tc>
          <w:tcPr>
            <w:tcW w:w="1390" w:type="dxa"/>
          </w:tcPr>
          <w:p w14:paraId="64AA7E87" w14:textId="77777777" w:rsidR="009B0FCC" w:rsidRDefault="009B0FCC" w:rsidP="00721F16">
            <w:pPr>
              <w:keepNext/>
              <w:widowControl w:val="0"/>
              <w:spacing w:after="0" w:line="240" w:lineRule="auto"/>
            </w:pPr>
          </w:p>
        </w:tc>
        <w:tc>
          <w:tcPr>
            <w:tcW w:w="1389" w:type="dxa"/>
          </w:tcPr>
          <w:p w14:paraId="7BC4F21B" w14:textId="77777777" w:rsidR="009B0FCC" w:rsidRDefault="009B0FCC" w:rsidP="00721F16">
            <w:pPr>
              <w:keepNext/>
              <w:widowControl w:val="0"/>
              <w:spacing w:after="0" w:line="240" w:lineRule="auto"/>
            </w:pPr>
          </w:p>
        </w:tc>
        <w:tc>
          <w:tcPr>
            <w:tcW w:w="1390" w:type="dxa"/>
          </w:tcPr>
          <w:p w14:paraId="4D88F9AF" w14:textId="77777777" w:rsidR="009B0FCC" w:rsidRDefault="009B0FCC" w:rsidP="00721F16">
            <w:pPr>
              <w:keepNext/>
              <w:widowControl w:val="0"/>
              <w:spacing w:after="0" w:line="240" w:lineRule="auto"/>
            </w:pPr>
          </w:p>
        </w:tc>
        <w:tc>
          <w:tcPr>
            <w:tcW w:w="1390" w:type="dxa"/>
          </w:tcPr>
          <w:p w14:paraId="1ADF7C6D" w14:textId="77777777" w:rsidR="009B0FCC" w:rsidRDefault="009B0FCC" w:rsidP="00721F16">
            <w:pPr>
              <w:keepNext/>
              <w:widowControl w:val="0"/>
              <w:spacing w:after="0" w:line="240" w:lineRule="auto"/>
            </w:pPr>
          </w:p>
        </w:tc>
      </w:tr>
      <w:tr w:rsidR="009B0FCC" w14:paraId="78835F6F" w14:textId="77777777" w:rsidTr="00721F16">
        <w:trPr>
          <w:cantSplit/>
        </w:trPr>
        <w:tc>
          <w:tcPr>
            <w:tcW w:w="2513" w:type="dxa"/>
          </w:tcPr>
          <w:p w14:paraId="6420BB98" w14:textId="77777777" w:rsidR="009B0FCC" w:rsidRDefault="009B0FCC" w:rsidP="00721F16">
            <w:pPr>
              <w:keepNext/>
              <w:widowControl w:val="0"/>
              <w:spacing w:after="0" w:line="240" w:lineRule="auto"/>
              <w:rPr>
                <w:szCs w:val="24"/>
              </w:rPr>
            </w:pPr>
            <w:r>
              <w:t>Some college, no degree</w:t>
            </w:r>
          </w:p>
        </w:tc>
        <w:tc>
          <w:tcPr>
            <w:tcW w:w="1389" w:type="dxa"/>
          </w:tcPr>
          <w:p w14:paraId="56C9953A" w14:textId="77777777" w:rsidR="009B0FCC" w:rsidRDefault="009B0FCC" w:rsidP="00721F16">
            <w:pPr>
              <w:keepNext/>
              <w:widowControl w:val="0"/>
              <w:spacing w:after="0" w:line="240" w:lineRule="auto"/>
            </w:pPr>
          </w:p>
        </w:tc>
        <w:tc>
          <w:tcPr>
            <w:tcW w:w="1390" w:type="dxa"/>
          </w:tcPr>
          <w:p w14:paraId="0E6EB833" w14:textId="77777777" w:rsidR="009B0FCC" w:rsidRDefault="009B0FCC" w:rsidP="00721F16">
            <w:pPr>
              <w:keepNext/>
              <w:widowControl w:val="0"/>
              <w:spacing w:after="0" w:line="240" w:lineRule="auto"/>
            </w:pPr>
          </w:p>
        </w:tc>
        <w:tc>
          <w:tcPr>
            <w:tcW w:w="1389" w:type="dxa"/>
          </w:tcPr>
          <w:p w14:paraId="489D461B" w14:textId="77777777" w:rsidR="009B0FCC" w:rsidRDefault="009B0FCC" w:rsidP="00721F16">
            <w:pPr>
              <w:keepNext/>
              <w:widowControl w:val="0"/>
              <w:spacing w:after="0" w:line="240" w:lineRule="auto"/>
            </w:pPr>
          </w:p>
        </w:tc>
        <w:tc>
          <w:tcPr>
            <w:tcW w:w="1390" w:type="dxa"/>
          </w:tcPr>
          <w:p w14:paraId="549761E2" w14:textId="77777777" w:rsidR="009B0FCC" w:rsidRDefault="009B0FCC" w:rsidP="00721F16">
            <w:pPr>
              <w:keepNext/>
              <w:widowControl w:val="0"/>
              <w:spacing w:after="0" w:line="240" w:lineRule="auto"/>
            </w:pPr>
          </w:p>
        </w:tc>
        <w:tc>
          <w:tcPr>
            <w:tcW w:w="1390" w:type="dxa"/>
          </w:tcPr>
          <w:p w14:paraId="4E930067" w14:textId="77777777" w:rsidR="009B0FCC" w:rsidRDefault="009B0FCC" w:rsidP="00721F16">
            <w:pPr>
              <w:keepNext/>
              <w:widowControl w:val="0"/>
              <w:spacing w:after="0" w:line="240" w:lineRule="auto"/>
            </w:pPr>
          </w:p>
        </w:tc>
      </w:tr>
      <w:tr w:rsidR="009B0FCC" w14:paraId="4E3D04DF" w14:textId="77777777" w:rsidTr="00721F16">
        <w:trPr>
          <w:cantSplit/>
        </w:trPr>
        <w:tc>
          <w:tcPr>
            <w:tcW w:w="2513" w:type="dxa"/>
          </w:tcPr>
          <w:p w14:paraId="62F1145E" w14:textId="77777777" w:rsidR="009B0FCC" w:rsidRDefault="009B0FCC" w:rsidP="00721F16">
            <w:pPr>
              <w:keepNext/>
              <w:widowControl w:val="0"/>
              <w:spacing w:after="0" w:line="240" w:lineRule="auto"/>
              <w:rPr>
                <w:szCs w:val="24"/>
              </w:rPr>
            </w:pPr>
            <w:r>
              <w:t>Associate’s degree</w:t>
            </w:r>
          </w:p>
        </w:tc>
        <w:tc>
          <w:tcPr>
            <w:tcW w:w="1389" w:type="dxa"/>
          </w:tcPr>
          <w:p w14:paraId="55A73B7B" w14:textId="77777777" w:rsidR="009B0FCC" w:rsidRDefault="009B0FCC" w:rsidP="00721F16">
            <w:pPr>
              <w:keepNext/>
              <w:widowControl w:val="0"/>
              <w:spacing w:after="0" w:line="240" w:lineRule="auto"/>
            </w:pPr>
          </w:p>
        </w:tc>
        <w:tc>
          <w:tcPr>
            <w:tcW w:w="1390" w:type="dxa"/>
          </w:tcPr>
          <w:p w14:paraId="0BA1B5A7" w14:textId="77777777" w:rsidR="009B0FCC" w:rsidRDefault="009B0FCC" w:rsidP="00721F16">
            <w:pPr>
              <w:keepNext/>
              <w:widowControl w:val="0"/>
              <w:spacing w:after="0" w:line="240" w:lineRule="auto"/>
            </w:pPr>
          </w:p>
        </w:tc>
        <w:tc>
          <w:tcPr>
            <w:tcW w:w="1389" w:type="dxa"/>
          </w:tcPr>
          <w:p w14:paraId="55C28495" w14:textId="77777777" w:rsidR="009B0FCC" w:rsidRDefault="009B0FCC" w:rsidP="00721F16">
            <w:pPr>
              <w:keepNext/>
              <w:widowControl w:val="0"/>
              <w:spacing w:after="0" w:line="240" w:lineRule="auto"/>
            </w:pPr>
          </w:p>
        </w:tc>
        <w:tc>
          <w:tcPr>
            <w:tcW w:w="1390" w:type="dxa"/>
          </w:tcPr>
          <w:p w14:paraId="22653BD2" w14:textId="77777777" w:rsidR="009B0FCC" w:rsidRDefault="009B0FCC" w:rsidP="00721F16">
            <w:pPr>
              <w:keepNext/>
              <w:widowControl w:val="0"/>
              <w:spacing w:after="0" w:line="240" w:lineRule="auto"/>
            </w:pPr>
          </w:p>
        </w:tc>
        <w:tc>
          <w:tcPr>
            <w:tcW w:w="1390" w:type="dxa"/>
          </w:tcPr>
          <w:p w14:paraId="20B4AC27" w14:textId="77777777" w:rsidR="009B0FCC" w:rsidRDefault="009B0FCC" w:rsidP="00721F16">
            <w:pPr>
              <w:keepNext/>
              <w:widowControl w:val="0"/>
              <w:spacing w:after="0" w:line="240" w:lineRule="auto"/>
            </w:pPr>
          </w:p>
        </w:tc>
      </w:tr>
      <w:tr w:rsidR="009B0FCC" w14:paraId="0089BACA" w14:textId="77777777" w:rsidTr="00721F16">
        <w:trPr>
          <w:cantSplit/>
        </w:trPr>
        <w:tc>
          <w:tcPr>
            <w:tcW w:w="2513" w:type="dxa"/>
          </w:tcPr>
          <w:p w14:paraId="15F0BB67" w14:textId="77777777" w:rsidR="009B0FCC" w:rsidRDefault="009B0FCC" w:rsidP="00721F16">
            <w:pPr>
              <w:keepNext/>
              <w:widowControl w:val="0"/>
              <w:spacing w:after="0" w:line="240" w:lineRule="auto"/>
              <w:rPr>
                <w:szCs w:val="24"/>
              </w:rPr>
            </w:pPr>
            <w:r>
              <w:t>Bachelor’s degree</w:t>
            </w:r>
          </w:p>
        </w:tc>
        <w:tc>
          <w:tcPr>
            <w:tcW w:w="1389" w:type="dxa"/>
          </w:tcPr>
          <w:p w14:paraId="4F521078" w14:textId="77777777" w:rsidR="009B0FCC" w:rsidRDefault="009B0FCC" w:rsidP="00721F16">
            <w:pPr>
              <w:keepNext/>
              <w:widowControl w:val="0"/>
              <w:spacing w:after="0" w:line="240" w:lineRule="auto"/>
            </w:pPr>
          </w:p>
        </w:tc>
        <w:tc>
          <w:tcPr>
            <w:tcW w:w="1390" w:type="dxa"/>
          </w:tcPr>
          <w:p w14:paraId="1A4EB253" w14:textId="77777777" w:rsidR="009B0FCC" w:rsidRDefault="009B0FCC" w:rsidP="00721F16">
            <w:pPr>
              <w:keepNext/>
              <w:widowControl w:val="0"/>
              <w:spacing w:after="0" w:line="240" w:lineRule="auto"/>
            </w:pPr>
          </w:p>
        </w:tc>
        <w:tc>
          <w:tcPr>
            <w:tcW w:w="1389" w:type="dxa"/>
          </w:tcPr>
          <w:p w14:paraId="581BCEC0" w14:textId="77777777" w:rsidR="009B0FCC" w:rsidRDefault="009B0FCC" w:rsidP="00721F16">
            <w:pPr>
              <w:keepNext/>
              <w:widowControl w:val="0"/>
              <w:spacing w:after="0" w:line="240" w:lineRule="auto"/>
            </w:pPr>
          </w:p>
        </w:tc>
        <w:tc>
          <w:tcPr>
            <w:tcW w:w="1390" w:type="dxa"/>
          </w:tcPr>
          <w:p w14:paraId="3DD78938" w14:textId="77777777" w:rsidR="009B0FCC" w:rsidRDefault="009B0FCC" w:rsidP="00721F16">
            <w:pPr>
              <w:keepNext/>
              <w:widowControl w:val="0"/>
              <w:spacing w:after="0" w:line="240" w:lineRule="auto"/>
            </w:pPr>
          </w:p>
        </w:tc>
        <w:tc>
          <w:tcPr>
            <w:tcW w:w="1390" w:type="dxa"/>
          </w:tcPr>
          <w:p w14:paraId="10B811A6" w14:textId="77777777" w:rsidR="009B0FCC" w:rsidRDefault="009B0FCC" w:rsidP="00721F16">
            <w:pPr>
              <w:keepNext/>
              <w:widowControl w:val="0"/>
              <w:spacing w:after="0" w:line="240" w:lineRule="auto"/>
            </w:pPr>
          </w:p>
        </w:tc>
      </w:tr>
      <w:tr w:rsidR="009B0FCC" w14:paraId="54F5636B" w14:textId="77777777" w:rsidTr="00721F16">
        <w:trPr>
          <w:cantSplit/>
        </w:trPr>
        <w:tc>
          <w:tcPr>
            <w:tcW w:w="2513" w:type="dxa"/>
          </w:tcPr>
          <w:p w14:paraId="3ECF94AD" w14:textId="77777777" w:rsidR="009B0FCC" w:rsidRDefault="009B0FCC" w:rsidP="00721F16">
            <w:pPr>
              <w:keepNext/>
              <w:widowControl w:val="0"/>
              <w:spacing w:after="0" w:line="240" w:lineRule="auto"/>
              <w:rPr>
                <w:szCs w:val="24"/>
              </w:rPr>
            </w:pPr>
            <w:r>
              <w:t>Graduate or professional degree</w:t>
            </w:r>
          </w:p>
        </w:tc>
        <w:tc>
          <w:tcPr>
            <w:tcW w:w="1389" w:type="dxa"/>
          </w:tcPr>
          <w:p w14:paraId="3C877AA7" w14:textId="77777777" w:rsidR="009B0FCC" w:rsidRDefault="009B0FCC" w:rsidP="00721F16">
            <w:pPr>
              <w:keepNext/>
              <w:widowControl w:val="0"/>
              <w:spacing w:after="0" w:line="240" w:lineRule="auto"/>
            </w:pPr>
          </w:p>
        </w:tc>
        <w:tc>
          <w:tcPr>
            <w:tcW w:w="1390" w:type="dxa"/>
          </w:tcPr>
          <w:p w14:paraId="34793AC0" w14:textId="77777777" w:rsidR="009B0FCC" w:rsidRDefault="009B0FCC" w:rsidP="00721F16">
            <w:pPr>
              <w:keepNext/>
              <w:widowControl w:val="0"/>
              <w:spacing w:after="0" w:line="240" w:lineRule="auto"/>
            </w:pPr>
          </w:p>
        </w:tc>
        <w:tc>
          <w:tcPr>
            <w:tcW w:w="1389" w:type="dxa"/>
          </w:tcPr>
          <w:p w14:paraId="29CFA8AD" w14:textId="77777777" w:rsidR="009B0FCC" w:rsidRDefault="009B0FCC" w:rsidP="00721F16">
            <w:pPr>
              <w:keepNext/>
              <w:widowControl w:val="0"/>
              <w:spacing w:after="0" w:line="240" w:lineRule="auto"/>
            </w:pPr>
          </w:p>
        </w:tc>
        <w:tc>
          <w:tcPr>
            <w:tcW w:w="1390" w:type="dxa"/>
          </w:tcPr>
          <w:p w14:paraId="1E86AEEB" w14:textId="77777777" w:rsidR="009B0FCC" w:rsidRDefault="009B0FCC" w:rsidP="00721F16">
            <w:pPr>
              <w:keepNext/>
              <w:widowControl w:val="0"/>
              <w:spacing w:after="0" w:line="240" w:lineRule="auto"/>
            </w:pPr>
          </w:p>
        </w:tc>
        <w:tc>
          <w:tcPr>
            <w:tcW w:w="1390" w:type="dxa"/>
          </w:tcPr>
          <w:p w14:paraId="2FF13E72" w14:textId="77777777" w:rsidR="009B0FCC" w:rsidRDefault="009B0FCC" w:rsidP="00721F16">
            <w:pPr>
              <w:keepNext/>
              <w:widowControl w:val="0"/>
              <w:spacing w:after="0" w:line="240" w:lineRule="auto"/>
            </w:pPr>
          </w:p>
        </w:tc>
      </w:tr>
    </w:tbl>
    <w:p w14:paraId="64F3EF10"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 Educational Attainment by Age</w:t>
      </w:r>
    </w:p>
    <w:tbl>
      <w:tblPr>
        <w:tblW w:w="5000" w:type="pct"/>
        <w:tblInd w:w="115" w:type="dxa"/>
        <w:tblLook w:val="01E0" w:firstRow="1" w:lastRow="1" w:firstColumn="1" w:lastColumn="1" w:noHBand="0" w:noVBand="0"/>
      </w:tblPr>
      <w:tblGrid>
        <w:gridCol w:w="1452"/>
        <w:gridCol w:w="11508"/>
      </w:tblGrid>
      <w:tr w:rsidR="009B0FCC" w14:paraId="75FDF617" w14:textId="77777777" w:rsidTr="00721F16">
        <w:trPr>
          <w:cantSplit/>
        </w:trPr>
        <w:tc>
          <w:tcPr>
            <w:tcW w:w="1073" w:type="dxa"/>
          </w:tcPr>
          <w:p w14:paraId="7D2727EE"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6233BD9C"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2AD6CA31" w14:textId="77777777" w:rsidR="009B0FCC" w:rsidRDefault="009B0FCC" w:rsidP="009B0FCC">
      <w:pPr>
        <w:keepNext/>
        <w:widowControl w:val="0"/>
        <w:spacing w:after="0" w:line="240" w:lineRule="auto"/>
        <w:jc w:val="center"/>
        <w:rPr>
          <w:b/>
          <w:bCs/>
          <w:vanish/>
          <w:sz w:val="20"/>
          <w:szCs w:val="20"/>
        </w:rPr>
      </w:pPr>
    </w:p>
    <w:p w14:paraId="0D177AC4" w14:textId="77777777" w:rsidR="009B0FCC" w:rsidRDefault="009B0FCC" w:rsidP="009B0FCC">
      <w:pPr>
        <w:rPr>
          <w:b/>
          <w:bCs/>
          <w:vanish/>
          <w:sz w:val="16"/>
          <w:szCs w:val="16"/>
        </w:rPr>
      </w:pPr>
    </w:p>
    <w:p w14:paraId="58CD772F" w14:textId="77777777" w:rsidR="009B0FCC" w:rsidRDefault="009B0FCC" w:rsidP="009B0FCC">
      <w:pPr>
        <w:rPr>
          <w:bCs/>
        </w:rPr>
      </w:pPr>
    </w:p>
    <w:p w14:paraId="5D6238F0" w14:textId="77777777" w:rsidR="009B0FCC" w:rsidRDefault="009B0FCC" w:rsidP="009B0FCC">
      <w:pPr>
        <w:keepNext/>
        <w:widowControl w:val="0"/>
        <w:rPr>
          <w:sz w:val="24"/>
          <w:szCs w:val="24"/>
        </w:rPr>
      </w:pPr>
      <w:r>
        <w:rPr>
          <w:sz w:val="24"/>
          <w:szCs w:val="24"/>
        </w:rPr>
        <w:lastRenderedPageBreak/>
        <w:t>Educational Attainment – Median Earnings in the Past 12 Months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5"/>
        <w:gridCol w:w="6795"/>
      </w:tblGrid>
      <w:tr w:rsidR="009B0FCC" w14:paraId="65754EE4" w14:textId="77777777" w:rsidTr="00721F16">
        <w:trPr>
          <w:cantSplit/>
          <w:tblHeader/>
        </w:trPr>
        <w:tc>
          <w:tcPr>
            <w:tcW w:w="4500" w:type="dxa"/>
          </w:tcPr>
          <w:p w14:paraId="1C2F3A7D" w14:textId="77777777" w:rsidR="009B0FCC" w:rsidRDefault="009B0FCC" w:rsidP="00721F16">
            <w:pPr>
              <w:keepNext/>
              <w:widowControl w:val="0"/>
              <w:spacing w:after="0" w:line="240" w:lineRule="auto"/>
              <w:jc w:val="center"/>
              <w:rPr>
                <w:b/>
              </w:rPr>
            </w:pPr>
            <w:r>
              <w:rPr>
                <w:b/>
              </w:rPr>
              <w:t>Educational Attainment</w:t>
            </w:r>
          </w:p>
        </w:tc>
        <w:tc>
          <w:tcPr>
            <w:tcW w:w="4968" w:type="dxa"/>
          </w:tcPr>
          <w:p w14:paraId="5AE38515" w14:textId="77777777" w:rsidR="009B0FCC" w:rsidRDefault="009B0FCC" w:rsidP="00721F16">
            <w:pPr>
              <w:keepNext/>
              <w:widowControl w:val="0"/>
              <w:spacing w:after="0" w:line="240" w:lineRule="auto"/>
              <w:jc w:val="center"/>
              <w:rPr>
                <w:b/>
              </w:rPr>
            </w:pPr>
            <w:r>
              <w:rPr>
                <w:b/>
              </w:rPr>
              <w:t>Median Earnings in the Past 12 Months</w:t>
            </w:r>
          </w:p>
        </w:tc>
      </w:tr>
      <w:tr w:rsidR="009B0FCC" w14:paraId="25FAF9B0" w14:textId="77777777" w:rsidTr="00721F16">
        <w:trPr>
          <w:cantSplit/>
        </w:trPr>
        <w:tc>
          <w:tcPr>
            <w:tcW w:w="4500" w:type="dxa"/>
          </w:tcPr>
          <w:p w14:paraId="60607FFB" w14:textId="77777777" w:rsidR="009B0FCC" w:rsidRDefault="009B0FCC" w:rsidP="00721F16">
            <w:pPr>
              <w:keepNext/>
              <w:widowControl w:val="0"/>
              <w:spacing w:after="0" w:line="240" w:lineRule="auto"/>
            </w:pPr>
            <w:r>
              <w:t>Less than high school graduate</w:t>
            </w:r>
          </w:p>
        </w:tc>
        <w:tc>
          <w:tcPr>
            <w:tcW w:w="4968" w:type="dxa"/>
          </w:tcPr>
          <w:p w14:paraId="711AA363" w14:textId="77777777" w:rsidR="009B0FCC" w:rsidRDefault="009B0FCC" w:rsidP="00721F16">
            <w:pPr>
              <w:keepNext/>
              <w:widowControl w:val="0"/>
              <w:spacing w:after="0" w:line="240" w:lineRule="auto"/>
            </w:pPr>
          </w:p>
        </w:tc>
      </w:tr>
      <w:tr w:rsidR="009B0FCC" w14:paraId="29940A9D" w14:textId="77777777" w:rsidTr="00721F16">
        <w:trPr>
          <w:cantSplit/>
        </w:trPr>
        <w:tc>
          <w:tcPr>
            <w:tcW w:w="4500" w:type="dxa"/>
          </w:tcPr>
          <w:p w14:paraId="28499DFF" w14:textId="77777777" w:rsidR="009B0FCC" w:rsidRDefault="009B0FCC" w:rsidP="00721F16">
            <w:pPr>
              <w:keepNext/>
              <w:widowControl w:val="0"/>
              <w:spacing w:after="0" w:line="240" w:lineRule="auto"/>
            </w:pPr>
            <w:r>
              <w:t>High school graduate (includes equivalency)</w:t>
            </w:r>
          </w:p>
        </w:tc>
        <w:tc>
          <w:tcPr>
            <w:tcW w:w="4968" w:type="dxa"/>
          </w:tcPr>
          <w:p w14:paraId="2B3EF6EF" w14:textId="77777777" w:rsidR="009B0FCC" w:rsidRDefault="009B0FCC" w:rsidP="00721F16">
            <w:pPr>
              <w:keepNext/>
              <w:widowControl w:val="0"/>
              <w:spacing w:after="0" w:line="240" w:lineRule="auto"/>
            </w:pPr>
          </w:p>
        </w:tc>
      </w:tr>
      <w:tr w:rsidR="009B0FCC" w14:paraId="3EB45C31" w14:textId="77777777" w:rsidTr="00721F16">
        <w:trPr>
          <w:cantSplit/>
        </w:trPr>
        <w:tc>
          <w:tcPr>
            <w:tcW w:w="4500" w:type="dxa"/>
          </w:tcPr>
          <w:p w14:paraId="2F67F012" w14:textId="77777777" w:rsidR="009B0FCC" w:rsidRDefault="009B0FCC" w:rsidP="00721F16">
            <w:pPr>
              <w:keepNext/>
              <w:widowControl w:val="0"/>
              <w:spacing w:after="0" w:line="240" w:lineRule="auto"/>
            </w:pPr>
            <w:r>
              <w:t xml:space="preserve">Some college or </w:t>
            </w:r>
            <w:proofErr w:type="gramStart"/>
            <w:r>
              <w:t>Associate’s</w:t>
            </w:r>
            <w:proofErr w:type="gramEnd"/>
            <w:r>
              <w:t xml:space="preserve"> degree</w:t>
            </w:r>
          </w:p>
        </w:tc>
        <w:tc>
          <w:tcPr>
            <w:tcW w:w="4968" w:type="dxa"/>
          </w:tcPr>
          <w:p w14:paraId="41719D82" w14:textId="77777777" w:rsidR="009B0FCC" w:rsidRDefault="009B0FCC" w:rsidP="00721F16">
            <w:pPr>
              <w:keepNext/>
              <w:widowControl w:val="0"/>
              <w:spacing w:after="0" w:line="240" w:lineRule="auto"/>
            </w:pPr>
          </w:p>
        </w:tc>
      </w:tr>
      <w:tr w:rsidR="009B0FCC" w14:paraId="7ABF84DC" w14:textId="77777777" w:rsidTr="00721F16">
        <w:trPr>
          <w:cantSplit/>
        </w:trPr>
        <w:tc>
          <w:tcPr>
            <w:tcW w:w="4500" w:type="dxa"/>
          </w:tcPr>
          <w:p w14:paraId="2841A715" w14:textId="77777777" w:rsidR="009B0FCC" w:rsidRDefault="009B0FCC" w:rsidP="00721F16">
            <w:pPr>
              <w:keepNext/>
              <w:widowControl w:val="0"/>
              <w:spacing w:after="0" w:line="240" w:lineRule="auto"/>
            </w:pPr>
            <w:r>
              <w:t>Bachelor’s degree</w:t>
            </w:r>
          </w:p>
        </w:tc>
        <w:tc>
          <w:tcPr>
            <w:tcW w:w="4968" w:type="dxa"/>
          </w:tcPr>
          <w:p w14:paraId="79B39DF4" w14:textId="77777777" w:rsidR="009B0FCC" w:rsidRDefault="009B0FCC" w:rsidP="00721F16">
            <w:pPr>
              <w:keepNext/>
              <w:widowControl w:val="0"/>
              <w:spacing w:after="0" w:line="240" w:lineRule="auto"/>
            </w:pPr>
          </w:p>
        </w:tc>
      </w:tr>
      <w:tr w:rsidR="009B0FCC" w14:paraId="2BF58DCF" w14:textId="77777777" w:rsidTr="00721F16">
        <w:trPr>
          <w:cantSplit/>
        </w:trPr>
        <w:tc>
          <w:tcPr>
            <w:tcW w:w="4500" w:type="dxa"/>
          </w:tcPr>
          <w:p w14:paraId="2058E96E" w14:textId="77777777" w:rsidR="009B0FCC" w:rsidRDefault="009B0FCC" w:rsidP="00721F16">
            <w:pPr>
              <w:keepNext/>
              <w:widowControl w:val="0"/>
              <w:spacing w:after="0" w:line="240" w:lineRule="auto"/>
            </w:pPr>
            <w:r>
              <w:t>Graduate or professional degree</w:t>
            </w:r>
          </w:p>
        </w:tc>
        <w:tc>
          <w:tcPr>
            <w:tcW w:w="4968" w:type="dxa"/>
          </w:tcPr>
          <w:p w14:paraId="0DFFDE08" w14:textId="77777777" w:rsidR="009B0FCC" w:rsidRDefault="009B0FCC" w:rsidP="00721F16">
            <w:pPr>
              <w:keepNext/>
              <w:widowControl w:val="0"/>
              <w:spacing w:after="0" w:line="240" w:lineRule="auto"/>
            </w:pPr>
          </w:p>
        </w:tc>
      </w:tr>
    </w:tbl>
    <w:p w14:paraId="064DFAD2" w14:textId="77777777" w:rsidR="009B0FCC" w:rsidRDefault="009B0FCC" w:rsidP="009B0FCC">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 Median Earnings in the Past 12 Months</w:t>
      </w:r>
    </w:p>
    <w:tbl>
      <w:tblPr>
        <w:tblW w:w="5000" w:type="pct"/>
        <w:tblInd w:w="115" w:type="dxa"/>
        <w:tblLook w:val="01E0" w:firstRow="1" w:lastRow="1" w:firstColumn="1" w:lastColumn="1" w:noHBand="0" w:noVBand="0"/>
      </w:tblPr>
      <w:tblGrid>
        <w:gridCol w:w="1452"/>
        <w:gridCol w:w="11508"/>
      </w:tblGrid>
      <w:tr w:rsidR="009B0FCC" w14:paraId="3A7754CB" w14:textId="77777777" w:rsidTr="00721F16">
        <w:trPr>
          <w:cantSplit/>
        </w:trPr>
        <w:tc>
          <w:tcPr>
            <w:tcW w:w="1073" w:type="dxa"/>
          </w:tcPr>
          <w:p w14:paraId="789BFBBD" w14:textId="77777777" w:rsidR="009B0FCC" w:rsidRDefault="009B0FCC" w:rsidP="00721F16">
            <w:pPr>
              <w:spacing w:after="0" w:line="240" w:lineRule="auto"/>
              <w:rPr>
                <w:rFonts w:cs="Arial"/>
                <w:sz w:val="16"/>
                <w:szCs w:val="16"/>
              </w:rPr>
            </w:pPr>
            <w:r>
              <w:rPr>
                <w:b/>
                <w:bCs/>
                <w:sz w:val="16"/>
                <w:szCs w:val="16"/>
              </w:rPr>
              <w:t>Data Source:</w:t>
            </w:r>
          </w:p>
        </w:tc>
        <w:tc>
          <w:tcPr>
            <w:tcW w:w="8503" w:type="dxa"/>
          </w:tcPr>
          <w:p w14:paraId="13157D5F" w14:textId="77777777" w:rsidR="009B0FCC" w:rsidRDefault="009B0FCC" w:rsidP="00721F16">
            <w:pPr>
              <w:spacing w:beforeAutospacing="1" w:afterAutospacing="1"/>
              <w:rPr>
                <w:rFonts w:cs="Arial"/>
                <w:sz w:val="16"/>
                <w:szCs w:val="16"/>
              </w:rPr>
            </w:pPr>
            <w:r>
              <w:rPr>
                <w:rFonts w:cs="Arial"/>
                <w:sz w:val="16"/>
                <w:szCs w:val="16"/>
              </w:rPr>
              <w:t>2016-2020 ACS</w:t>
            </w:r>
          </w:p>
        </w:tc>
      </w:tr>
    </w:tbl>
    <w:p w14:paraId="0EFCBAD4" w14:textId="77777777" w:rsidR="009B0FCC" w:rsidRDefault="009B0FCC" w:rsidP="009B0FCC">
      <w:pPr>
        <w:keepNext/>
        <w:widowControl w:val="0"/>
        <w:spacing w:after="0" w:line="240" w:lineRule="auto"/>
        <w:jc w:val="center"/>
        <w:rPr>
          <w:b/>
          <w:bCs/>
          <w:vanish/>
          <w:sz w:val="20"/>
          <w:szCs w:val="20"/>
        </w:rPr>
      </w:pPr>
    </w:p>
    <w:p w14:paraId="10980AA5" w14:textId="77777777" w:rsidR="009B0FCC" w:rsidRDefault="009B0FCC" w:rsidP="009B0FCC">
      <w:pPr>
        <w:rPr>
          <w:b/>
          <w:bCs/>
          <w:vanish/>
          <w:sz w:val="16"/>
          <w:szCs w:val="16"/>
        </w:rPr>
      </w:pPr>
    </w:p>
    <w:p w14:paraId="33DD1530" w14:textId="77777777" w:rsidR="009B0FCC" w:rsidRDefault="009B0FCC" w:rsidP="009B0FCC">
      <w:pPr>
        <w:spacing w:after="0" w:line="240" w:lineRule="auto"/>
        <w:rPr>
          <w:b/>
          <w:bCs/>
          <w:sz w:val="16"/>
          <w:szCs w:val="16"/>
        </w:rPr>
      </w:pPr>
    </w:p>
    <w:p w14:paraId="4382A396" w14:textId="77777777" w:rsidR="009B0FCC" w:rsidRDefault="009B0FCC" w:rsidP="009B0FCC">
      <w:pPr>
        <w:rPr>
          <w:bCs/>
        </w:rPr>
      </w:pPr>
    </w:p>
    <w:p w14:paraId="05CA8078" w14:textId="77777777" w:rsidR="009B0FCC" w:rsidRDefault="009B0FCC" w:rsidP="009B0FCC">
      <w:pPr>
        <w:rPr>
          <w:b/>
          <w:sz w:val="24"/>
          <w:szCs w:val="24"/>
        </w:rPr>
      </w:pPr>
      <w:r w:rsidRPr="497B8E2D">
        <w:rPr>
          <w:b/>
          <w:bCs/>
          <w:sz w:val="24"/>
          <w:szCs w:val="24"/>
        </w:rPr>
        <w:t>Based on the Business Activity table above, what are the major employment sectors within the state?</w:t>
      </w:r>
    </w:p>
    <w:p w14:paraId="44AF404E" w14:textId="77777777" w:rsidR="009B0FCC" w:rsidRDefault="009B0FCC" w:rsidP="00DE53B6">
      <w:pPr>
        <w:jc w:val="both"/>
        <w:rPr>
          <w:b/>
          <w:bCs/>
          <w:sz w:val="24"/>
          <w:szCs w:val="24"/>
        </w:rPr>
      </w:pPr>
      <w:r w:rsidRPr="497B8E2D">
        <w:rPr>
          <w:sz w:val="24"/>
          <w:szCs w:val="24"/>
        </w:rPr>
        <w:t>The major employment sectors in Idaho for the period 2018-2022 based on the number of people employed and their percentage of total employment are:</w:t>
      </w:r>
    </w:p>
    <w:p w14:paraId="1242B978" w14:textId="77777777" w:rsidR="009B0FCC" w:rsidRDefault="009B0FCC" w:rsidP="00351170">
      <w:pPr>
        <w:pStyle w:val="ListParagraph"/>
        <w:numPr>
          <w:ilvl w:val="0"/>
          <w:numId w:val="3"/>
        </w:numPr>
        <w:rPr>
          <w:sz w:val="24"/>
          <w:szCs w:val="24"/>
        </w:rPr>
      </w:pPr>
      <w:r w:rsidRPr="497B8E2D">
        <w:rPr>
          <w:b/>
          <w:bCs/>
          <w:sz w:val="24"/>
          <w:szCs w:val="24"/>
        </w:rPr>
        <w:t xml:space="preserve">Health Care and Social Assistance </w:t>
      </w:r>
      <w:r w:rsidRPr="497B8E2D">
        <w:rPr>
          <w:sz w:val="24"/>
          <w:szCs w:val="24"/>
        </w:rPr>
        <w:t>– 116,763 people employed (13.37%)</w:t>
      </w:r>
    </w:p>
    <w:p w14:paraId="24D1EEDC" w14:textId="77777777" w:rsidR="009B0FCC" w:rsidRDefault="009B0FCC" w:rsidP="00351170">
      <w:pPr>
        <w:pStyle w:val="ListParagraph"/>
        <w:numPr>
          <w:ilvl w:val="0"/>
          <w:numId w:val="3"/>
        </w:numPr>
        <w:rPr>
          <w:sz w:val="24"/>
          <w:szCs w:val="24"/>
        </w:rPr>
      </w:pPr>
      <w:r w:rsidRPr="497B8E2D">
        <w:rPr>
          <w:b/>
          <w:bCs/>
          <w:sz w:val="24"/>
          <w:szCs w:val="24"/>
        </w:rPr>
        <w:t>Retail Trade</w:t>
      </w:r>
      <w:r w:rsidRPr="497B8E2D">
        <w:rPr>
          <w:sz w:val="24"/>
          <w:szCs w:val="24"/>
        </w:rPr>
        <w:t xml:space="preserve"> - 103,370 people employed (11.83%)</w:t>
      </w:r>
    </w:p>
    <w:p w14:paraId="24C54597" w14:textId="77777777" w:rsidR="009B0FCC" w:rsidRDefault="009B0FCC" w:rsidP="00351170">
      <w:pPr>
        <w:pStyle w:val="ListParagraph"/>
        <w:numPr>
          <w:ilvl w:val="0"/>
          <w:numId w:val="3"/>
        </w:numPr>
        <w:spacing w:after="0"/>
        <w:rPr>
          <w:sz w:val="24"/>
          <w:szCs w:val="24"/>
        </w:rPr>
      </w:pPr>
      <w:r w:rsidRPr="497B8E2D">
        <w:rPr>
          <w:b/>
          <w:bCs/>
          <w:sz w:val="24"/>
          <w:szCs w:val="24"/>
        </w:rPr>
        <w:t>Educational Services</w:t>
      </w:r>
      <w:r w:rsidRPr="497B8E2D">
        <w:rPr>
          <w:sz w:val="24"/>
          <w:szCs w:val="24"/>
        </w:rPr>
        <w:t xml:space="preserve"> - 77,271 people employed (8.85%)</w:t>
      </w:r>
    </w:p>
    <w:p w14:paraId="3F0B7943" w14:textId="77777777" w:rsidR="009B0FCC" w:rsidRDefault="009B0FCC" w:rsidP="00351170">
      <w:pPr>
        <w:pStyle w:val="ListParagraph"/>
        <w:numPr>
          <w:ilvl w:val="0"/>
          <w:numId w:val="3"/>
        </w:numPr>
        <w:spacing w:after="0"/>
        <w:rPr>
          <w:sz w:val="24"/>
          <w:szCs w:val="24"/>
        </w:rPr>
      </w:pPr>
      <w:r w:rsidRPr="497B8E2D">
        <w:rPr>
          <w:b/>
          <w:bCs/>
          <w:sz w:val="24"/>
          <w:szCs w:val="24"/>
        </w:rPr>
        <w:t>Manufacturing</w:t>
      </w:r>
      <w:r w:rsidRPr="497B8E2D">
        <w:rPr>
          <w:sz w:val="24"/>
          <w:szCs w:val="24"/>
        </w:rPr>
        <w:t xml:space="preserve"> - 83,456 people employed (9.55%)</w:t>
      </w:r>
    </w:p>
    <w:p w14:paraId="3637DD27" w14:textId="77777777" w:rsidR="009B0FCC" w:rsidRDefault="009B0FCC" w:rsidP="00351170">
      <w:pPr>
        <w:pStyle w:val="ListParagraph"/>
        <w:numPr>
          <w:ilvl w:val="0"/>
          <w:numId w:val="3"/>
        </w:numPr>
        <w:spacing w:after="0"/>
        <w:rPr>
          <w:sz w:val="24"/>
          <w:szCs w:val="24"/>
        </w:rPr>
      </w:pPr>
      <w:r w:rsidRPr="497B8E2D">
        <w:rPr>
          <w:b/>
          <w:bCs/>
          <w:sz w:val="24"/>
          <w:szCs w:val="24"/>
        </w:rPr>
        <w:t>Construction</w:t>
      </w:r>
      <w:r w:rsidRPr="497B8E2D">
        <w:rPr>
          <w:sz w:val="24"/>
          <w:szCs w:val="24"/>
        </w:rPr>
        <w:t xml:space="preserve"> - 79,176 people employed (9.06%)</w:t>
      </w:r>
    </w:p>
    <w:p w14:paraId="182BE488" w14:textId="5E37CCC8" w:rsidR="009B0FCC" w:rsidRDefault="009B0FCC" w:rsidP="009B0FCC"/>
    <w:p w14:paraId="62780E80" w14:textId="77777777" w:rsidR="00DE53B6" w:rsidRDefault="00DE53B6" w:rsidP="009B0FCC">
      <w:pPr>
        <w:rPr>
          <w:b/>
          <w:bCs/>
          <w:sz w:val="24"/>
          <w:szCs w:val="24"/>
        </w:rPr>
        <w:sectPr w:rsidR="00DE53B6" w:rsidSect="003D336B">
          <w:pgSz w:w="15840" w:h="12240" w:orient="landscape" w:code="1"/>
          <w:pgMar w:top="1440" w:right="1440" w:bottom="1440" w:left="1440" w:header="720" w:footer="720" w:gutter="0"/>
          <w:cols w:space="720"/>
          <w:docGrid w:linePitch="360"/>
        </w:sectPr>
      </w:pPr>
    </w:p>
    <w:p w14:paraId="66EAF432" w14:textId="77777777" w:rsidR="009B0FCC" w:rsidRDefault="009B0FCC" w:rsidP="009B0FCC">
      <w:pPr>
        <w:rPr>
          <w:b/>
          <w:sz w:val="24"/>
          <w:szCs w:val="24"/>
        </w:rPr>
      </w:pPr>
      <w:r w:rsidRPr="497B8E2D">
        <w:rPr>
          <w:b/>
          <w:bCs/>
          <w:sz w:val="24"/>
          <w:szCs w:val="24"/>
        </w:rPr>
        <w:lastRenderedPageBreak/>
        <w:t>Describe the workforce and infrastructure needs of business in the state.</w:t>
      </w:r>
    </w:p>
    <w:p w14:paraId="67390A11" w14:textId="7978F303" w:rsidR="006C3287" w:rsidRDefault="009B0FCC" w:rsidP="00DE53B6">
      <w:pPr>
        <w:jc w:val="both"/>
        <w:rPr>
          <w:b/>
          <w:sz w:val="24"/>
          <w:szCs w:val="24"/>
        </w:rPr>
        <w:sectPr w:rsidR="006C3287" w:rsidSect="00DE53B6">
          <w:pgSz w:w="12240" w:h="15840" w:code="1"/>
          <w:pgMar w:top="1440" w:right="1440" w:bottom="1440" w:left="1440" w:header="720" w:footer="720" w:gutter="0"/>
          <w:cols w:space="720"/>
          <w:docGrid w:linePitch="360"/>
        </w:sectPr>
      </w:pPr>
      <w:r w:rsidRPr="497B8E2D">
        <w:rPr>
          <w:rFonts w:cs="Calibri"/>
          <w:color w:val="000000" w:themeColor="text1"/>
          <w:sz w:val="24"/>
          <w:szCs w:val="24"/>
        </w:rPr>
        <w:t xml:space="preserve">According to BLS data, the unemployment rate in Idaho as of </w:t>
      </w:r>
      <w:r w:rsidR="00A83142">
        <w:rPr>
          <w:rFonts w:cs="Calibri"/>
          <w:color w:val="000000" w:themeColor="text1"/>
          <w:sz w:val="24"/>
          <w:szCs w:val="24"/>
        </w:rPr>
        <w:t>December</w:t>
      </w:r>
      <w:r w:rsidRPr="497B8E2D">
        <w:rPr>
          <w:rFonts w:cs="Calibri"/>
          <w:color w:val="000000" w:themeColor="text1"/>
          <w:sz w:val="24"/>
          <w:szCs w:val="24"/>
        </w:rPr>
        <w:t xml:space="preserve"> 2024 was </w:t>
      </w:r>
      <w:r w:rsidR="00A83142">
        <w:rPr>
          <w:rFonts w:cs="Calibri"/>
          <w:color w:val="000000" w:themeColor="text1"/>
          <w:sz w:val="24"/>
          <w:szCs w:val="24"/>
        </w:rPr>
        <w:t>2.3</w:t>
      </w:r>
      <w:r w:rsidRPr="497B8E2D">
        <w:rPr>
          <w:rFonts w:cs="Calibri"/>
          <w:color w:val="000000" w:themeColor="text1"/>
          <w:sz w:val="24"/>
          <w:szCs w:val="24"/>
        </w:rPr>
        <w:t>%, however, stakeholders indicated that while jobs are available wag</w:t>
      </w:r>
      <w:r w:rsidRPr="00DA2F97">
        <w:rPr>
          <w:rFonts w:cs="Calibri"/>
          <w:color w:val="000000" w:themeColor="text1"/>
          <w:sz w:val="24"/>
          <w:szCs w:val="24"/>
        </w:rPr>
        <w:t xml:space="preserve">es are not sufficient to meet the cost of living, especially in relation to housing costs. </w:t>
      </w:r>
      <w:r w:rsidR="00A83142" w:rsidRPr="00DA2F97">
        <w:rPr>
          <w:rFonts w:cs="Calibri"/>
          <w:color w:val="000000" w:themeColor="text1"/>
          <w:sz w:val="24"/>
          <w:szCs w:val="24"/>
        </w:rPr>
        <w:t>The Unique Appendices includes a list of unemployment rates by County as of December 2024.</w:t>
      </w:r>
      <w:r w:rsidR="00A83142">
        <w:rPr>
          <w:rFonts w:cs="Calibri"/>
          <w:color w:val="000000" w:themeColor="text1"/>
          <w:sz w:val="24"/>
          <w:szCs w:val="24"/>
        </w:rPr>
        <w:t xml:space="preserve"> </w:t>
      </w:r>
    </w:p>
    <w:p w14:paraId="5AFDA6A1" w14:textId="77777777" w:rsidR="009B0FCC" w:rsidRDefault="009B0FCC" w:rsidP="00DE53B6">
      <w:pPr>
        <w:jc w:val="both"/>
        <w:rPr>
          <w:b/>
          <w:sz w:val="24"/>
          <w:szCs w:val="24"/>
        </w:rPr>
      </w:pPr>
      <w:r>
        <w:rPr>
          <w:b/>
          <w:sz w:val="24"/>
          <w:szCs w:val="24"/>
        </w:rPr>
        <w:lastRenderedPageBreak/>
        <w:t>Describe any major changes that may have an economic impact, such as planned public or private sector investments or initiatives that have affected or may affect job and business growth opportunities during the planning period. Describe any needs for workforce development, business support or infrastructure these changes may create.</w:t>
      </w:r>
    </w:p>
    <w:p w14:paraId="1343397C" w14:textId="30BED444" w:rsidR="6B840069" w:rsidRDefault="6B840069" w:rsidP="001865FB">
      <w:pPr>
        <w:jc w:val="both"/>
        <w:rPr>
          <w:sz w:val="24"/>
          <w:szCs w:val="24"/>
        </w:rPr>
      </w:pPr>
      <w:r w:rsidRPr="5857EA85">
        <w:rPr>
          <w:sz w:val="24"/>
          <w:szCs w:val="24"/>
        </w:rPr>
        <w:t xml:space="preserve">Idaho has </w:t>
      </w:r>
      <w:proofErr w:type="gramStart"/>
      <w:r w:rsidRPr="5857EA85">
        <w:rPr>
          <w:sz w:val="24"/>
          <w:szCs w:val="24"/>
        </w:rPr>
        <w:t>a number of</w:t>
      </w:r>
      <w:proofErr w:type="gramEnd"/>
      <w:r w:rsidRPr="5857EA85">
        <w:rPr>
          <w:sz w:val="24"/>
          <w:szCs w:val="24"/>
        </w:rPr>
        <w:t xml:space="preserve"> strategic public and private sector initiatives aimed at fostering job creation and business growth. Key development include:</w:t>
      </w:r>
    </w:p>
    <w:p w14:paraId="084BE558" w14:textId="06441350" w:rsidR="22C536B2" w:rsidRDefault="22C536B2">
      <w:pPr>
        <w:pStyle w:val="ListParagraph"/>
        <w:numPr>
          <w:ilvl w:val="0"/>
          <w:numId w:val="27"/>
        </w:numPr>
        <w:jc w:val="both"/>
        <w:rPr>
          <w:sz w:val="24"/>
          <w:szCs w:val="24"/>
        </w:rPr>
      </w:pPr>
      <w:r w:rsidRPr="5857EA85">
        <w:rPr>
          <w:sz w:val="24"/>
          <w:szCs w:val="24"/>
        </w:rPr>
        <w:t xml:space="preserve">Workforce Development Programs: </w:t>
      </w:r>
      <w:r w:rsidRPr="001865FB">
        <w:rPr>
          <w:sz w:val="24"/>
          <w:szCs w:val="24"/>
        </w:rPr>
        <w:t>The Idaho Workforce Development Council offers various grants to address workforce challenges and skills gaps.</w:t>
      </w:r>
      <w:r w:rsidR="5A9B3D14" w:rsidRPr="5857EA85">
        <w:rPr>
          <w:sz w:val="24"/>
          <w:szCs w:val="24"/>
        </w:rPr>
        <w:t xml:space="preserve"> Grant opportunities include:</w:t>
      </w:r>
    </w:p>
    <w:p w14:paraId="2631E957" w14:textId="17017CC3" w:rsidR="001A2E67" w:rsidRDefault="001A2E67" w:rsidP="001A2E67">
      <w:pPr>
        <w:pStyle w:val="ListParagraph"/>
        <w:numPr>
          <w:ilvl w:val="1"/>
          <w:numId w:val="27"/>
        </w:numPr>
        <w:jc w:val="both"/>
        <w:rPr>
          <w:sz w:val="24"/>
          <w:szCs w:val="24"/>
        </w:rPr>
      </w:pPr>
      <w:r>
        <w:rPr>
          <w:sz w:val="24"/>
          <w:szCs w:val="24"/>
        </w:rPr>
        <w:t>Industry sector grants: aim to involve employers in creating innovative training solutions that tackle Idaho’s workforce challenges and close skills gaps.</w:t>
      </w:r>
    </w:p>
    <w:p w14:paraId="3928047D" w14:textId="3A26EBFC" w:rsidR="001A2E67" w:rsidRDefault="00015350" w:rsidP="001A2E67">
      <w:pPr>
        <w:pStyle w:val="ListParagraph"/>
        <w:numPr>
          <w:ilvl w:val="1"/>
          <w:numId w:val="27"/>
        </w:numPr>
        <w:jc w:val="both"/>
        <w:rPr>
          <w:sz w:val="24"/>
          <w:szCs w:val="24"/>
        </w:rPr>
      </w:pPr>
      <w:r>
        <w:rPr>
          <w:sz w:val="24"/>
          <w:szCs w:val="24"/>
        </w:rPr>
        <w:t xml:space="preserve">Innovation grants: </w:t>
      </w:r>
      <w:r w:rsidR="00CB6BDD">
        <w:rPr>
          <w:sz w:val="24"/>
          <w:szCs w:val="24"/>
        </w:rPr>
        <w:t>fund projects that address local workforce development needs.</w:t>
      </w:r>
    </w:p>
    <w:p w14:paraId="2649C65B" w14:textId="7907D55E" w:rsidR="00CB6BDD" w:rsidRDefault="00D90D9F" w:rsidP="001A2E67">
      <w:pPr>
        <w:pStyle w:val="ListParagraph"/>
        <w:numPr>
          <w:ilvl w:val="1"/>
          <w:numId w:val="27"/>
        </w:numPr>
        <w:jc w:val="both"/>
        <w:rPr>
          <w:sz w:val="24"/>
          <w:szCs w:val="24"/>
        </w:rPr>
      </w:pPr>
      <w:r>
        <w:rPr>
          <w:sz w:val="24"/>
          <w:szCs w:val="24"/>
        </w:rPr>
        <w:t>Employer grants:</w:t>
      </w:r>
      <w:r w:rsidR="00E33C11">
        <w:rPr>
          <w:sz w:val="24"/>
          <w:szCs w:val="24"/>
        </w:rPr>
        <w:t xml:space="preserve"> </w:t>
      </w:r>
      <w:r w:rsidR="007B15A6" w:rsidRPr="007B15A6">
        <w:rPr>
          <w:sz w:val="24"/>
          <w:szCs w:val="24"/>
        </w:rPr>
        <w:t>available to Idaho businesses that are expanding their workforce and/or retraining current employees with the skills needed to support specific economic opportunities or industrial growth initiatives.</w:t>
      </w:r>
    </w:p>
    <w:p w14:paraId="5C0E622D" w14:textId="54B40751" w:rsidR="007B15A6" w:rsidRDefault="001153DF" w:rsidP="001A2E67">
      <w:pPr>
        <w:pStyle w:val="ListParagraph"/>
        <w:numPr>
          <w:ilvl w:val="1"/>
          <w:numId w:val="27"/>
        </w:numPr>
        <w:jc w:val="both"/>
        <w:rPr>
          <w:sz w:val="24"/>
          <w:szCs w:val="24"/>
        </w:rPr>
      </w:pPr>
      <w:r>
        <w:rPr>
          <w:sz w:val="24"/>
          <w:szCs w:val="24"/>
        </w:rPr>
        <w:t xml:space="preserve">Registered Apprenticeship Incentive: </w:t>
      </w:r>
      <w:r w:rsidR="00C42310" w:rsidRPr="00C42310">
        <w:rPr>
          <w:sz w:val="24"/>
          <w:szCs w:val="24"/>
        </w:rPr>
        <w:t>intended to help offset the unique costs associated with implementing a Registered Apprenticeship training program.</w:t>
      </w:r>
    </w:p>
    <w:p w14:paraId="620EDB42" w14:textId="7FAC6EF2" w:rsidR="00A70C43" w:rsidRDefault="00A70C43" w:rsidP="001A2E67">
      <w:pPr>
        <w:pStyle w:val="ListParagraph"/>
        <w:numPr>
          <w:ilvl w:val="1"/>
          <w:numId w:val="27"/>
        </w:numPr>
        <w:jc w:val="both"/>
        <w:rPr>
          <w:sz w:val="24"/>
          <w:szCs w:val="24"/>
        </w:rPr>
      </w:pPr>
      <w:r>
        <w:rPr>
          <w:sz w:val="24"/>
          <w:szCs w:val="24"/>
        </w:rPr>
        <w:t xml:space="preserve">Preceptor Incentive: </w:t>
      </w:r>
      <w:r w:rsidR="00DD2C5D" w:rsidRPr="00DD2C5D">
        <w:rPr>
          <w:sz w:val="24"/>
          <w:szCs w:val="24"/>
        </w:rPr>
        <w:t>intended to encourage medical providers across Idaho to mentor students, helping to expand the state’s health care workforce.</w:t>
      </w:r>
    </w:p>
    <w:p w14:paraId="6FFF2333" w14:textId="439807EF" w:rsidR="00DD2C5D" w:rsidRDefault="007F36FE" w:rsidP="001A2E67">
      <w:pPr>
        <w:pStyle w:val="ListParagraph"/>
        <w:numPr>
          <w:ilvl w:val="1"/>
          <w:numId w:val="27"/>
        </w:numPr>
        <w:jc w:val="both"/>
        <w:rPr>
          <w:sz w:val="24"/>
          <w:szCs w:val="24"/>
        </w:rPr>
      </w:pPr>
      <w:r>
        <w:rPr>
          <w:sz w:val="24"/>
          <w:szCs w:val="24"/>
        </w:rPr>
        <w:t xml:space="preserve">Outreach grants: </w:t>
      </w:r>
      <w:r w:rsidR="00016CCE" w:rsidRPr="00016CCE">
        <w:rPr>
          <w:sz w:val="24"/>
          <w:szCs w:val="24"/>
        </w:rPr>
        <w:t>The Workforce Development Council’s Outreach Committee reviews and funds proposals that promote public awareness of career education and workforce training opportunities, including existing programs and services not supported by the training fund.</w:t>
      </w:r>
    </w:p>
    <w:p w14:paraId="393E7503" w14:textId="25DFC15C" w:rsidR="00016CCE" w:rsidRDefault="00B639A3" w:rsidP="001A2E67">
      <w:pPr>
        <w:pStyle w:val="ListParagraph"/>
        <w:numPr>
          <w:ilvl w:val="1"/>
          <w:numId w:val="27"/>
        </w:numPr>
        <w:jc w:val="both"/>
        <w:rPr>
          <w:sz w:val="24"/>
          <w:szCs w:val="24"/>
        </w:rPr>
      </w:pPr>
      <w:r>
        <w:rPr>
          <w:sz w:val="24"/>
          <w:szCs w:val="24"/>
        </w:rPr>
        <w:t xml:space="preserve">Childcare Expansion grants: </w:t>
      </w:r>
      <w:r w:rsidR="0024559E" w:rsidRPr="0024559E">
        <w:rPr>
          <w:sz w:val="24"/>
          <w:szCs w:val="24"/>
        </w:rPr>
        <w:t xml:space="preserve">managed by the Workforce Development Council, </w:t>
      </w:r>
      <w:r w:rsidR="0024559E">
        <w:rPr>
          <w:sz w:val="24"/>
          <w:szCs w:val="24"/>
        </w:rPr>
        <w:t xml:space="preserve">these grants </w:t>
      </w:r>
      <w:r w:rsidR="0024559E" w:rsidRPr="0024559E">
        <w:rPr>
          <w:sz w:val="24"/>
          <w:szCs w:val="24"/>
        </w:rPr>
        <w:t xml:space="preserve">aim to increase access to </w:t>
      </w:r>
      <w:proofErr w:type="gramStart"/>
      <w:r w:rsidR="0024559E" w:rsidRPr="0024559E">
        <w:rPr>
          <w:sz w:val="24"/>
          <w:szCs w:val="24"/>
        </w:rPr>
        <w:t>child care</w:t>
      </w:r>
      <w:proofErr w:type="gramEnd"/>
      <w:r w:rsidR="0024559E" w:rsidRPr="0024559E">
        <w:rPr>
          <w:sz w:val="24"/>
          <w:szCs w:val="24"/>
        </w:rPr>
        <w:t xml:space="preserve"> for working families by supporting employers and child care providers who are building new on-site or near-site facilities or expanding existing ones. Recognizing </w:t>
      </w:r>
      <w:proofErr w:type="gramStart"/>
      <w:r w:rsidR="0024559E" w:rsidRPr="0024559E">
        <w:rPr>
          <w:sz w:val="24"/>
          <w:szCs w:val="24"/>
        </w:rPr>
        <w:t>child care</w:t>
      </w:r>
      <w:proofErr w:type="gramEnd"/>
      <w:r w:rsidR="0024559E" w:rsidRPr="0024559E">
        <w:rPr>
          <w:sz w:val="24"/>
          <w:szCs w:val="24"/>
        </w:rPr>
        <w:t xml:space="preserve"> as a critical support for workforce participation—especially in light of pandemic-related declines in Idaho’s labor force—these grants offer funding for infrastructure and operations in areas where child care demand significantly exceeds supply.</w:t>
      </w:r>
    </w:p>
    <w:p w14:paraId="4ED56477" w14:textId="58DF2492" w:rsidR="00C82F24" w:rsidRDefault="00C82F24" w:rsidP="00C82F24">
      <w:pPr>
        <w:pStyle w:val="ListParagraph"/>
        <w:numPr>
          <w:ilvl w:val="0"/>
          <w:numId w:val="27"/>
        </w:numPr>
        <w:jc w:val="both"/>
        <w:rPr>
          <w:sz w:val="24"/>
          <w:szCs w:val="24"/>
        </w:rPr>
      </w:pPr>
      <w:r w:rsidRPr="001865FB">
        <w:rPr>
          <w:sz w:val="24"/>
          <w:szCs w:val="24"/>
        </w:rPr>
        <w:t>Workforce Innovation and Opportunity Act (WIOA):</w:t>
      </w:r>
      <w:r w:rsidRPr="00C82F24">
        <w:rPr>
          <w:sz w:val="24"/>
          <w:szCs w:val="24"/>
        </w:rPr>
        <w:t xml:space="preserve"> This federally funded program aims to increase employment, retention, earnings, and occupational skills among Idaho's workforce, focusing on adults, dislocated workers, and youth.</w:t>
      </w:r>
    </w:p>
    <w:p w14:paraId="32C99AB7" w14:textId="07B938FC" w:rsidR="004354A4" w:rsidRDefault="004354A4" w:rsidP="00C82F24">
      <w:pPr>
        <w:pStyle w:val="ListParagraph"/>
        <w:numPr>
          <w:ilvl w:val="0"/>
          <w:numId w:val="27"/>
        </w:numPr>
        <w:jc w:val="both"/>
        <w:rPr>
          <w:sz w:val="24"/>
          <w:szCs w:val="24"/>
        </w:rPr>
      </w:pPr>
      <w:r w:rsidRPr="001865FB">
        <w:rPr>
          <w:sz w:val="24"/>
          <w:szCs w:val="24"/>
        </w:rPr>
        <w:t>Aerospace Materials Manufacturing Tech Hub:</w:t>
      </w:r>
      <w:r w:rsidRPr="004354A4">
        <w:rPr>
          <w:sz w:val="24"/>
          <w:szCs w:val="24"/>
        </w:rPr>
        <w:t xml:space="preserve"> In January 2025, the U.S. Department of Commerce awarded approximately $48 million to strengthen the aerospace materials manufacturing industry in Washington and Idaho. This initiative is expected to spur job </w:t>
      </w:r>
      <w:r w:rsidRPr="004354A4">
        <w:rPr>
          <w:sz w:val="24"/>
          <w:szCs w:val="24"/>
        </w:rPr>
        <w:lastRenderedPageBreak/>
        <w:t>growth, attract private investment, and position the region as a global leader in aerospace materials manufacturing.</w:t>
      </w:r>
    </w:p>
    <w:p w14:paraId="387F6BD2" w14:textId="1223C994" w:rsidR="004C1A79" w:rsidRDefault="004C1A79" w:rsidP="00C82F24">
      <w:pPr>
        <w:pStyle w:val="ListParagraph"/>
        <w:numPr>
          <w:ilvl w:val="0"/>
          <w:numId w:val="27"/>
        </w:numPr>
        <w:jc w:val="both"/>
        <w:rPr>
          <w:sz w:val="24"/>
          <w:szCs w:val="24"/>
        </w:rPr>
      </w:pPr>
      <w:r w:rsidRPr="001865FB">
        <w:rPr>
          <w:sz w:val="24"/>
          <w:szCs w:val="24"/>
        </w:rPr>
        <w:t>Statewide Rural Economic Development Strategy:</w:t>
      </w:r>
      <w:r w:rsidRPr="004C1A79">
        <w:rPr>
          <w:sz w:val="24"/>
          <w:szCs w:val="24"/>
        </w:rPr>
        <w:t xml:space="preserve"> The Idaho Department of Commerce is implementing a strategy focused on sector-based development, job growth, workforce development, entrepreneurship, and placemaking, particularly in rural areas. This approach aims to diversify the economy and create sustainable employment opportunities across the state.</w:t>
      </w:r>
    </w:p>
    <w:p w14:paraId="39954315" w14:textId="14E2E3F6" w:rsidR="26D844EF" w:rsidRPr="001865FB" w:rsidRDefault="26D844EF" w:rsidP="001865FB">
      <w:pPr>
        <w:jc w:val="both"/>
        <w:rPr>
          <w:sz w:val="24"/>
          <w:szCs w:val="24"/>
        </w:rPr>
      </w:pPr>
    </w:p>
    <w:p w14:paraId="4FEE65EC" w14:textId="77777777" w:rsidR="009B0FCC" w:rsidRDefault="009B0FCC" w:rsidP="009B0FCC">
      <w:pPr>
        <w:rPr>
          <w:b/>
          <w:sz w:val="24"/>
          <w:szCs w:val="24"/>
        </w:rPr>
      </w:pPr>
      <w:r w:rsidRPr="497B8E2D">
        <w:rPr>
          <w:b/>
          <w:bCs/>
          <w:sz w:val="24"/>
          <w:szCs w:val="24"/>
        </w:rPr>
        <w:t>How do the skills and education of the current workforce correspond to employment opportunities in the state?</w:t>
      </w:r>
    </w:p>
    <w:p w14:paraId="64E32E83" w14:textId="7481DD69" w:rsidR="00104870" w:rsidRPr="00A83142" w:rsidRDefault="00104870" w:rsidP="00DE53B6">
      <w:pPr>
        <w:jc w:val="both"/>
        <w:rPr>
          <w:rFonts w:cs="Calibri"/>
          <w:sz w:val="24"/>
          <w:szCs w:val="24"/>
        </w:rPr>
      </w:pPr>
      <w:r w:rsidRPr="787E070B">
        <w:rPr>
          <w:rFonts w:cs="Calibri"/>
          <w:sz w:val="24"/>
          <w:szCs w:val="24"/>
        </w:rPr>
        <w:t>With the geographical size and somewhat three distinct regions within Idaho (north, central, eastern) there is no one private sector investment(s) that is likely to have a significant effect on job and business growth opportunities statewide. Overall</w:t>
      </w:r>
      <w:r w:rsidR="0DFCD0B4" w:rsidRPr="098FA5AC">
        <w:rPr>
          <w:rFonts w:cs="Calibri"/>
          <w:sz w:val="24"/>
          <w:szCs w:val="24"/>
        </w:rPr>
        <w:t>,</w:t>
      </w:r>
      <w:r w:rsidRPr="787E070B">
        <w:rPr>
          <w:rFonts w:cs="Calibri"/>
          <w:sz w:val="24"/>
          <w:szCs w:val="24"/>
        </w:rPr>
        <w:t xml:space="preserve"> the most frequently cited concern during community consultation discussed the need for increased wages that keep pace with rising costs, particularly housing costs.  Few communities reported concerns with unemployment, but with minimum wage set at $7.25 per hour, low wage workers will continue to meet basic needs. </w:t>
      </w:r>
      <w:r w:rsidR="6A5B1001" w:rsidRPr="5857EA85">
        <w:rPr>
          <w:rFonts w:cs="Calibri"/>
          <w:sz w:val="24"/>
          <w:szCs w:val="24"/>
        </w:rPr>
        <w:t xml:space="preserve"> </w:t>
      </w:r>
      <w:r w:rsidR="46604562" w:rsidRPr="5857EA85">
        <w:rPr>
          <w:rFonts w:cs="Calibri"/>
          <w:sz w:val="24"/>
          <w:szCs w:val="24"/>
        </w:rPr>
        <w:t>As of 2023, Idaho’s median average wage was $21.27, which was a 10.4% increase from 2022.</w:t>
      </w:r>
      <w:r w:rsidRPr="787E070B">
        <w:rPr>
          <w:rFonts w:cs="Calibri"/>
          <w:sz w:val="24"/>
          <w:szCs w:val="24"/>
        </w:rPr>
        <w:t xml:space="preserve"> Skills training to make residents more marketable for higher paying positions was noted as a need throughout community consultation.</w:t>
      </w:r>
    </w:p>
    <w:p w14:paraId="7A7C37CB" w14:textId="77777777" w:rsidR="00104870" w:rsidRDefault="00104870" w:rsidP="00DE53B6">
      <w:pPr>
        <w:jc w:val="both"/>
        <w:rPr>
          <w:rFonts w:cs="Calibri"/>
          <w:sz w:val="24"/>
          <w:szCs w:val="24"/>
        </w:rPr>
      </w:pPr>
      <w:r>
        <w:rPr>
          <w:rFonts w:cs="Calibri"/>
          <w:sz w:val="24"/>
          <w:szCs w:val="24"/>
        </w:rPr>
        <w:t xml:space="preserve">The Department of Labor’s long-term industry projections for 2023-2032 indicate that </w:t>
      </w:r>
      <w:r w:rsidRPr="00966A07">
        <w:rPr>
          <w:rFonts w:cs="Calibri"/>
          <w:sz w:val="24"/>
          <w:szCs w:val="24"/>
        </w:rPr>
        <w:t xml:space="preserve">several industries are expected to experience particularly fast growth. </w:t>
      </w:r>
      <w:r>
        <w:rPr>
          <w:rFonts w:cs="Calibri"/>
          <w:sz w:val="24"/>
          <w:szCs w:val="24"/>
        </w:rPr>
        <w:t xml:space="preserve">Skills training in these areas could result in more opportunities for residents with respect to economic mobility. </w:t>
      </w:r>
    </w:p>
    <w:p w14:paraId="0A756FA5" w14:textId="77777777" w:rsidR="00104870" w:rsidRPr="00104870" w:rsidRDefault="00104870" w:rsidP="00DE53B6">
      <w:pPr>
        <w:pStyle w:val="ListParagraph"/>
        <w:numPr>
          <w:ilvl w:val="0"/>
          <w:numId w:val="23"/>
        </w:numPr>
        <w:jc w:val="both"/>
        <w:rPr>
          <w:rFonts w:cs="Calibri"/>
          <w:sz w:val="24"/>
          <w:szCs w:val="24"/>
        </w:rPr>
      </w:pPr>
      <w:r w:rsidRPr="00104870">
        <w:rPr>
          <w:rFonts w:cs="Calibri"/>
          <w:sz w:val="24"/>
          <w:szCs w:val="24"/>
        </w:rPr>
        <w:t>Health care and social assistance are anticipated to account for 20% of new jobs (approximately 25,0000). Idaho’s retiree population is growing rapidly, with the 65 and older demographic expected to grow by 31% in the coming decade. Because Americans over the age of 65 consume significantly more health care than those younger than 65, this growing retiree demographic is expected to fuel a continued expansion of Idaho’s health care industry. By 2032, total health care employment in Idaho is expected to reach near 140,000, accounting for some 14% of all employment in the state.</w:t>
      </w:r>
    </w:p>
    <w:p w14:paraId="5648BB05" w14:textId="77777777" w:rsidR="00104870" w:rsidRPr="00104870" w:rsidRDefault="00104870" w:rsidP="00DE53B6">
      <w:pPr>
        <w:pStyle w:val="ListParagraph"/>
        <w:numPr>
          <w:ilvl w:val="0"/>
          <w:numId w:val="23"/>
        </w:numPr>
        <w:jc w:val="both"/>
        <w:rPr>
          <w:rFonts w:cs="Calibri"/>
          <w:sz w:val="24"/>
          <w:szCs w:val="24"/>
        </w:rPr>
      </w:pPr>
      <w:r w:rsidRPr="00104870">
        <w:rPr>
          <w:rFonts w:cs="Calibri"/>
          <w:sz w:val="24"/>
          <w:szCs w:val="24"/>
        </w:rPr>
        <w:t xml:space="preserve">Construction continues to grow in Idaho, driven by the state’s demand for new housing to accommodate rapid population growth, as well as infrastructure and civil engineering work required to serve Idaho’s growing communities. With Idaho’s population forecasted to grow by nearly 300,000 people by 2032, construction is expected to create more than 16,000 new jobs. The trades and transportation fields are also expected to grow rapidly, adding 19,000 jobs. </w:t>
      </w:r>
    </w:p>
    <w:p w14:paraId="44A2BDA4" w14:textId="77777777" w:rsidR="009B0FCC" w:rsidRPr="00A83142" w:rsidRDefault="009B0FCC" w:rsidP="00DE53B6">
      <w:pPr>
        <w:jc w:val="both"/>
        <w:rPr>
          <w:rFonts w:cs="Calibri"/>
          <w:sz w:val="24"/>
          <w:szCs w:val="24"/>
        </w:rPr>
      </w:pPr>
      <w:r w:rsidRPr="00A83142">
        <w:rPr>
          <w:rFonts w:cs="Calibri"/>
          <w:sz w:val="24"/>
          <w:szCs w:val="24"/>
        </w:rPr>
        <w:lastRenderedPageBreak/>
        <w:t>Idaho state government's reluctant to expand or develop public financing tools, (such as local option tax, expand impact fees allowance, fund a state housing trust, increase fuel taxes) especially during a time of high economic and population growth, will start to hamper quality growth in the future, as infrastructure, educational systems, and public services won't have the funding to adequately serve the future needs.  Although local government will collect more in terms of fees and taxes, due to the rapid pace of the growth, they will struggle with the price of growth.</w:t>
      </w:r>
    </w:p>
    <w:p w14:paraId="32520556" w14:textId="77777777" w:rsidR="009B0FCC" w:rsidRDefault="009B0FCC" w:rsidP="00DE53B6">
      <w:pPr>
        <w:jc w:val="both"/>
        <w:rPr>
          <w:b/>
          <w:bCs/>
          <w:sz w:val="24"/>
          <w:szCs w:val="24"/>
        </w:rPr>
      </w:pPr>
    </w:p>
    <w:p w14:paraId="0FA37608" w14:textId="07840180" w:rsidR="009B0FCC" w:rsidRDefault="009B0FCC" w:rsidP="00DE53B6">
      <w:pPr>
        <w:jc w:val="both"/>
        <w:rPr>
          <w:b/>
          <w:bCs/>
          <w:sz w:val="24"/>
          <w:szCs w:val="24"/>
        </w:rPr>
      </w:pPr>
      <w:r w:rsidRPr="497B8E2D">
        <w:rPr>
          <w:b/>
          <w:bCs/>
          <w:sz w:val="24"/>
          <w:szCs w:val="24"/>
        </w:rPr>
        <w:t>Describe current workforce training initiatives supported by the state. Describe how these efforts will support the state's Consolidated Plan.</w:t>
      </w:r>
      <w:r w:rsidR="00104870">
        <w:rPr>
          <w:b/>
          <w:bCs/>
          <w:sz w:val="24"/>
          <w:szCs w:val="24"/>
        </w:rPr>
        <w:t xml:space="preserve"> </w:t>
      </w:r>
    </w:p>
    <w:p w14:paraId="38E2CBAA" w14:textId="5F501F99" w:rsidR="00063A49" w:rsidRDefault="00976BBA" w:rsidP="00DE53B6">
      <w:pPr>
        <w:pStyle w:val="ListParagraph"/>
        <w:numPr>
          <w:ilvl w:val="2"/>
          <w:numId w:val="21"/>
        </w:numPr>
        <w:jc w:val="both"/>
        <w:rPr>
          <w:sz w:val="24"/>
          <w:szCs w:val="24"/>
        </w:rPr>
      </w:pPr>
      <w:r>
        <w:rPr>
          <w:sz w:val="24"/>
          <w:szCs w:val="24"/>
        </w:rPr>
        <w:t xml:space="preserve">The Idaho Workforce Development Council (WDC) leads several statewide initiatives aimed at closing skill gaps and preparing Idaho’s workforce for </w:t>
      </w:r>
      <w:r w:rsidR="004F45D6">
        <w:rPr>
          <w:sz w:val="24"/>
          <w:szCs w:val="24"/>
        </w:rPr>
        <w:t>careers in high</w:t>
      </w:r>
      <w:r w:rsidR="00063A49">
        <w:rPr>
          <w:sz w:val="24"/>
          <w:szCs w:val="24"/>
        </w:rPr>
        <w:t xml:space="preserve">-demand sectors. These </w:t>
      </w:r>
      <w:proofErr w:type="spellStart"/>
      <w:proofErr w:type="gramStart"/>
      <w:r w:rsidR="00063A49">
        <w:rPr>
          <w:sz w:val="24"/>
          <w:szCs w:val="24"/>
        </w:rPr>
        <w:t>include:Workforce</w:t>
      </w:r>
      <w:proofErr w:type="spellEnd"/>
      <w:proofErr w:type="gramEnd"/>
      <w:r w:rsidR="00063A49">
        <w:rPr>
          <w:sz w:val="24"/>
          <w:szCs w:val="24"/>
        </w:rPr>
        <w:t xml:space="preserve"> Training Fund (WTF): supports businesses and community co</w:t>
      </w:r>
      <w:r w:rsidR="00891B7B">
        <w:rPr>
          <w:sz w:val="24"/>
          <w:szCs w:val="24"/>
        </w:rPr>
        <w:t xml:space="preserve">lleges to develop customized training for new and existing workers. The WTF priorities </w:t>
      </w:r>
      <w:r w:rsidR="00B7406E">
        <w:rPr>
          <w:sz w:val="24"/>
          <w:szCs w:val="24"/>
        </w:rPr>
        <w:t xml:space="preserve">industry sectors like manufacturing, healthcare, construction, and technology. </w:t>
      </w:r>
    </w:p>
    <w:p w14:paraId="39780979" w14:textId="6D582523" w:rsidR="00B7406E" w:rsidRDefault="00B7406E" w:rsidP="00DE53B6">
      <w:pPr>
        <w:pStyle w:val="ListParagraph"/>
        <w:numPr>
          <w:ilvl w:val="2"/>
          <w:numId w:val="21"/>
        </w:numPr>
        <w:jc w:val="both"/>
        <w:rPr>
          <w:sz w:val="24"/>
          <w:szCs w:val="24"/>
        </w:rPr>
      </w:pPr>
      <w:r>
        <w:rPr>
          <w:sz w:val="24"/>
          <w:szCs w:val="24"/>
        </w:rPr>
        <w:t>Industry Sector Grants: Promotes employer-led partnerships</w:t>
      </w:r>
      <w:r w:rsidR="00FE411E">
        <w:rPr>
          <w:sz w:val="24"/>
          <w:szCs w:val="24"/>
        </w:rPr>
        <w:t xml:space="preserve"> to design and deliver industry-specific training. They encourage collaboration between employers, educational institutions, and workforce agencies.</w:t>
      </w:r>
    </w:p>
    <w:p w14:paraId="01B143C0" w14:textId="027762BA" w:rsidR="00FE411E" w:rsidRDefault="00FE411E" w:rsidP="00DE53B6">
      <w:pPr>
        <w:pStyle w:val="ListParagraph"/>
        <w:numPr>
          <w:ilvl w:val="2"/>
          <w:numId w:val="21"/>
        </w:numPr>
        <w:jc w:val="both"/>
        <w:rPr>
          <w:sz w:val="24"/>
          <w:szCs w:val="24"/>
        </w:rPr>
      </w:pPr>
      <w:r>
        <w:rPr>
          <w:sz w:val="24"/>
          <w:szCs w:val="24"/>
        </w:rPr>
        <w:t xml:space="preserve">Apprenticeship Idaho: expands registered apprenticeships in non-traditional fields like IT, healthcare, and finance. </w:t>
      </w:r>
    </w:p>
    <w:p w14:paraId="57483DB7" w14:textId="7F2DAFF8" w:rsidR="001112B5" w:rsidRDefault="001112B5" w:rsidP="00DE53B6">
      <w:pPr>
        <w:pStyle w:val="ListParagraph"/>
        <w:numPr>
          <w:ilvl w:val="2"/>
          <w:numId w:val="21"/>
        </w:numPr>
        <w:jc w:val="both"/>
        <w:rPr>
          <w:sz w:val="24"/>
          <w:szCs w:val="24"/>
        </w:rPr>
      </w:pPr>
      <w:r>
        <w:rPr>
          <w:sz w:val="24"/>
          <w:szCs w:val="24"/>
        </w:rPr>
        <w:t xml:space="preserve">Childcare Expansion Grants: </w:t>
      </w:r>
      <w:r w:rsidR="00882440">
        <w:rPr>
          <w:sz w:val="24"/>
          <w:szCs w:val="24"/>
        </w:rPr>
        <w:t>provides funding for projects that increase access to affordable childcare</w:t>
      </w:r>
      <w:r w:rsidR="00257D8B">
        <w:rPr>
          <w:sz w:val="24"/>
          <w:szCs w:val="24"/>
        </w:rPr>
        <w:t xml:space="preserve">, especially for </w:t>
      </w:r>
      <w:proofErr w:type="gramStart"/>
      <w:r w:rsidR="00257D8B">
        <w:rPr>
          <w:sz w:val="24"/>
          <w:szCs w:val="24"/>
        </w:rPr>
        <w:t>low and moderate income</w:t>
      </w:r>
      <w:proofErr w:type="gramEnd"/>
      <w:r w:rsidR="00257D8B">
        <w:rPr>
          <w:sz w:val="24"/>
          <w:szCs w:val="24"/>
        </w:rPr>
        <w:t xml:space="preserve"> households.</w:t>
      </w:r>
    </w:p>
    <w:p w14:paraId="6DC7B48C" w14:textId="3C557779" w:rsidR="00257D8B" w:rsidRPr="001865FB" w:rsidRDefault="00257D8B" w:rsidP="00DE53B6">
      <w:pPr>
        <w:pStyle w:val="ListParagraph"/>
        <w:numPr>
          <w:ilvl w:val="2"/>
          <w:numId w:val="21"/>
        </w:numPr>
        <w:jc w:val="both"/>
        <w:rPr>
          <w:sz w:val="24"/>
          <w:szCs w:val="24"/>
        </w:rPr>
      </w:pPr>
      <w:r>
        <w:rPr>
          <w:sz w:val="24"/>
          <w:szCs w:val="24"/>
        </w:rPr>
        <w:t xml:space="preserve">Work-Based Learning (WBL) </w:t>
      </w:r>
      <w:proofErr w:type="gramStart"/>
      <w:r>
        <w:rPr>
          <w:sz w:val="24"/>
          <w:szCs w:val="24"/>
        </w:rPr>
        <w:t>Programs:</w:t>
      </w:r>
      <w:proofErr w:type="gramEnd"/>
      <w:r>
        <w:rPr>
          <w:sz w:val="24"/>
          <w:szCs w:val="24"/>
        </w:rPr>
        <w:t xml:space="preserve"> </w:t>
      </w:r>
      <w:proofErr w:type="gramStart"/>
      <w:r>
        <w:rPr>
          <w:sz w:val="24"/>
          <w:szCs w:val="24"/>
        </w:rPr>
        <w:t>connects</w:t>
      </w:r>
      <w:proofErr w:type="gramEnd"/>
      <w:r>
        <w:rPr>
          <w:sz w:val="24"/>
          <w:szCs w:val="24"/>
        </w:rPr>
        <w:t xml:space="preserve"> students and </w:t>
      </w:r>
      <w:r w:rsidR="00891694">
        <w:rPr>
          <w:sz w:val="24"/>
          <w:szCs w:val="24"/>
        </w:rPr>
        <w:t>those searching for jobs with internships, job shadow opportunities, and pre-apprenticeships.</w:t>
      </w:r>
    </w:p>
    <w:p w14:paraId="6FBFA6E4" w14:textId="1C22757C" w:rsidR="00212CA4" w:rsidRPr="001865FB" w:rsidRDefault="00212CA4" w:rsidP="00DE53B6">
      <w:pPr>
        <w:jc w:val="both"/>
        <w:rPr>
          <w:sz w:val="24"/>
          <w:szCs w:val="24"/>
        </w:rPr>
      </w:pPr>
    </w:p>
    <w:p w14:paraId="75B7E339" w14:textId="1D042663" w:rsidR="00212CA4" w:rsidRPr="001865FB" w:rsidRDefault="00212CA4" w:rsidP="00DE53B6">
      <w:pPr>
        <w:jc w:val="both"/>
        <w:rPr>
          <w:sz w:val="24"/>
          <w:szCs w:val="24"/>
        </w:rPr>
      </w:pPr>
    </w:p>
    <w:p w14:paraId="0CF3D6D1" w14:textId="4972C88F" w:rsidR="009B0FCC" w:rsidRDefault="009B0FCC" w:rsidP="00DE53B6">
      <w:pPr>
        <w:jc w:val="both"/>
        <w:rPr>
          <w:b/>
          <w:bCs/>
          <w:sz w:val="24"/>
          <w:szCs w:val="24"/>
        </w:rPr>
      </w:pPr>
      <w:r w:rsidRPr="497B8E2D">
        <w:rPr>
          <w:b/>
          <w:bCs/>
          <w:sz w:val="24"/>
          <w:szCs w:val="24"/>
        </w:rPr>
        <w:t>Describe any other state efforts to support economic growth.</w:t>
      </w:r>
    </w:p>
    <w:p w14:paraId="0184D577" w14:textId="6732301A" w:rsidR="009B0FCC" w:rsidRDefault="00E269D2" w:rsidP="00DE53B6">
      <w:pPr>
        <w:jc w:val="both"/>
        <w:rPr>
          <w:rFonts w:cs="Arial"/>
        </w:rPr>
      </w:pPr>
      <w:r>
        <w:rPr>
          <w:rFonts w:cs="Arial"/>
        </w:rPr>
        <w:t>See above.</w:t>
      </w:r>
    </w:p>
    <w:p w14:paraId="5FFDD8EC" w14:textId="77777777" w:rsidR="009B0FCC" w:rsidRDefault="009B0FCC" w:rsidP="00DE53B6">
      <w:pPr>
        <w:keepNext/>
        <w:spacing w:line="204" w:lineRule="auto"/>
        <w:jc w:val="both"/>
        <w:rPr>
          <w:b/>
          <w:bCs/>
          <w:sz w:val="24"/>
          <w:szCs w:val="24"/>
        </w:rPr>
      </w:pPr>
      <w:r w:rsidRPr="497B8E2D">
        <w:rPr>
          <w:b/>
          <w:bCs/>
          <w:sz w:val="24"/>
          <w:szCs w:val="24"/>
        </w:rPr>
        <w:lastRenderedPageBreak/>
        <w:t>Discussion</w:t>
      </w:r>
    </w:p>
    <w:p w14:paraId="2877B366" w14:textId="1AAE43EF" w:rsidR="009B0FCC" w:rsidRDefault="00E269D2" w:rsidP="00DE53B6">
      <w:pPr>
        <w:keepNext/>
        <w:spacing w:line="204" w:lineRule="auto"/>
        <w:jc w:val="both"/>
        <w:rPr>
          <w:rFonts w:cs="Arial"/>
        </w:rPr>
      </w:pPr>
      <w:r>
        <w:rPr>
          <w:rFonts w:cs="Arial"/>
        </w:rPr>
        <w:t>None.</w:t>
      </w:r>
    </w:p>
    <w:p w14:paraId="132A10F2" w14:textId="77777777" w:rsidR="009B0FCC" w:rsidRDefault="009B0FCC" w:rsidP="009B0FCC">
      <w:pPr>
        <w:pStyle w:val="Heading2"/>
        <w:pageBreakBefore/>
        <w:rPr>
          <w:rFonts w:ascii="Calibri" w:hAnsi="Calibri"/>
          <w:i/>
          <w:iCs/>
        </w:rPr>
      </w:pPr>
      <w:bookmarkStart w:id="45" w:name="_Toc194673855"/>
      <w:r w:rsidRPr="497B8E2D">
        <w:rPr>
          <w:rFonts w:ascii="Calibri" w:hAnsi="Calibri"/>
        </w:rPr>
        <w:lastRenderedPageBreak/>
        <w:t>MA-50 Needs and Market Analysis Discussion</w:t>
      </w:r>
      <w:bookmarkEnd w:id="45"/>
      <w:r w:rsidRPr="497B8E2D">
        <w:rPr>
          <w:rFonts w:ascii="Calibri" w:hAnsi="Calibri"/>
        </w:rPr>
        <w:t xml:space="preserve"> </w:t>
      </w:r>
    </w:p>
    <w:p w14:paraId="4FD8D2EE" w14:textId="77777777" w:rsidR="009B0FCC" w:rsidRPr="00104870" w:rsidRDefault="009B0FCC" w:rsidP="009B0FCC">
      <w:pPr>
        <w:rPr>
          <w:b/>
          <w:sz w:val="24"/>
          <w:szCs w:val="24"/>
        </w:rPr>
      </w:pPr>
      <w:r w:rsidRPr="00104870">
        <w:rPr>
          <w:b/>
          <w:sz w:val="24"/>
          <w:szCs w:val="24"/>
        </w:rPr>
        <w:t>Are there areas where households with multiple housing problems are concentrated? (include a definition of "concentration")</w:t>
      </w:r>
    </w:p>
    <w:p w14:paraId="4C20C515" w14:textId="77777777" w:rsidR="009B0FCC" w:rsidRPr="00104870" w:rsidRDefault="009B0FCC" w:rsidP="009B0FCC">
      <w:pPr>
        <w:rPr>
          <w:b/>
          <w:sz w:val="24"/>
          <w:szCs w:val="24"/>
        </w:rPr>
      </w:pPr>
      <w:r w:rsidRPr="00104870">
        <w:rPr>
          <w:b/>
          <w:sz w:val="24"/>
          <w:szCs w:val="24"/>
        </w:rPr>
        <w:t>Are there any areas in the jurisdiction where racial or ethnic minorities or low-income families are concentrated? (include a definition of "concentration")</w:t>
      </w:r>
    </w:p>
    <w:p w14:paraId="604FABE7" w14:textId="56F7BB82" w:rsidR="00395532" w:rsidRPr="00104870" w:rsidRDefault="00395532" w:rsidP="00395532">
      <w:pPr>
        <w:spacing w:beforeAutospacing="1" w:afterAutospacing="1"/>
        <w:rPr>
          <w:rFonts w:cs="Arial"/>
          <w:sz w:val="24"/>
          <w:szCs w:val="24"/>
        </w:rPr>
      </w:pPr>
      <w:r w:rsidRPr="00104870">
        <w:rPr>
          <w:rFonts w:cs="Arial"/>
          <w:sz w:val="24"/>
          <w:szCs w:val="24"/>
        </w:rPr>
        <w:t xml:space="preserve">State Grantees response </w:t>
      </w:r>
      <w:r w:rsidR="287FB975" w:rsidRPr="098FA5AC">
        <w:rPr>
          <w:rFonts w:cs="Arial"/>
          <w:sz w:val="24"/>
          <w:szCs w:val="24"/>
        </w:rPr>
        <w:t xml:space="preserve">is </w:t>
      </w:r>
      <w:r w:rsidRPr="00104870">
        <w:rPr>
          <w:rFonts w:cs="Arial"/>
          <w:sz w:val="24"/>
          <w:szCs w:val="24"/>
        </w:rPr>
        <w:t>not required</w:t>
      </w:r>
      <w:r w:rsidR="72482EBF" w:rsidRPr="098FA5AC">
        <w:rPr>
          <w:rFonts w:cs="Arial"/>
          <w:sz w:val="24"/>
          <w:szCs w:val="24"/>
        </w:rPr>
        <w:t>.</w:t>
      </w:r>
    </w:p>
    <w:p w14:paraId="2035A18E" w14:textId="77777777" w:rsidR="009B0FCC" w:rsidRPr="00104870" w:rsidRDefault="009B0FCC" w:rsidP="009B0FCC">
      <w:pPr>
        <w:rPr>
          <w:b/>
          <w:sz w:val="24"/>
          <w:szCs w:val="24"/>
        </w:rPr>
      </w:pPr>
      <w:r w:rsidRPr="00104870">
        <w:rPr>
          <w:b/>
          <w:sz w:val="24"/>
          <w:szCs w:val="24"/>
        </w:rPr>
        <w:t>What are the characteristics of the market in these areas/neighborhoods?</w:t>
      </w:r>
    </w:p>
    <w:p w14:paraId="06198568" w14:textId="1299D0D7" w:rsidR="00395532" w:rsidRPr="00104870" w:rsidRDefault="00395532" w:rsidP="00395532">
      <w:pPr>
        <w:spacing w:beforeAutospacing="1" w:afterAutospacing="1"/>
        <w:rPr>
          <w:rFonts w:cs="Arial"/>
          <w:sz w:val="24"/>
          <w:szCs w:val="24"/>
        </w:rPr>
      </w:pPr>
      <w:r w:rsidRPr="00104870">
        <w:rPr>
          <w:rFonts w:cs="Arial"/>
          <w:sz w:val="24"/>
          <w:szCs w:val="24"/>
        </w:rPr>
        <w:t xml:space="preserve">State Grantees response </w:t>
      </w:r>
      <w:r w:rsidR="5DB29969" w:rsidRPr="098FA5AC">
        <w:rPr>
          <w:rFonts w:cs="Arial"/>
          <w:sz w:val="24"/>
          <w:szCs w:val="24"/>
        </w:rPr>
        <w:t xml:space="preserve">is </w:t>
      </w:r>
      <w:r w:rsidRPr="00104870">
        <w:rPr>
          <w:rFonts w:cs="Arial"/>
          <w:sz w:val="24"/>
          <w:szCs w:val="24"/>
        </w:rPr>
        <w:t>not required</w:t>
      </w:r>
      <w:r w:rsidR="219BF7BB" w:rsidRPr="098FA5AC">
        <w:rPr>
          <w:rFonts w:cs="Arial"/>
          <w:sz w:val="24"/>
          <w:szCs w:val="24"/>
        </w:rPr>
        <w:t>.</w:t>
      </w:r>
    </w:p>
    <w:p w14:paraId="44837FC8" w14:textId="77777777" w:rsidR="009B0FCC" w:rsidRPr="00104870" w:rsidRDefault="009B0FCC" w:rsidP="009B0FCC">
      <w:pPr>
        <w:rPr>
          <w:b/>
          <w:sz w:val="24"/>
          <w:szCs w:val="24"/>
        </w:rPr>
      </w:pPr>
      <w:r w:rsidRPr="00104870">
        <w:rPr>
          <w:b/>
          <w:sz w:val="24"/>
          <w:szCs w:val="24"/>
        </w:rPr>
        <w:t>Are there any community assets in these areas/neighborhoods?</w:t>
      </w:r>
    </w:p>
    <w:p w14:paraId="09B2AE4B" w14:textId="462B7E86" w:rsidR="00395532" w:rsidRPr="00104870" w:rsidRDefault="00395532" w:rsidP="00395532">
      <w:pPr>
        <w:spacing w:beforeAutospacing="1" w:afterAutospacing="1"/>
        <w:rPr>
          <w:rFonts w:cs="Arial"/>
          <w:sz w:val="24"/>
          <w:szCs w:val="24"/>
        </w:rPr>
      </w:pPr>
      <w:r w:rsidRPr="00104870">
        <w:rPr>
          <w:rFonts w:cs="Arial"/>
          <w:sz w:val="24"/>
          <w:szCs w:val="24"/>
        </w:rPr>
        <w:t xml:space="preserve">State Grantees response </w:t>
      </w:r>
      <w:r w:rsidR="328B3E8F" w:rsidRPr="098FA5AC">
        <w:rPr>
          <w:rFonts w:cs="Arial"/>
          <w:sz w:val="24"/>
          <w:szCs w:val="24"/>
        </w:rPr>
        <w:t xml:space="preserve">is </w:t>
      </w:r>
      <w:r w:rsidRPr="00104870">
        <w:rPr>
          <w:rFonts w:cs="Arial"/>
          <w:sz w:val="24"/>
          <w:szCs w:val="24"/>
        </w:rPr>
        <w:t>not required</w:t>
      </w:r>
      <w:r w:rsidR="1DF68540" w:rsidRPr="098FA5AC">
        <w:rPr>
          <w:rFonts w:cs="Arial"/>
          <w:sz w:val="24"/>
          <w:szCs w:val="24"/>
        </w:rPr>
        <w:t>.</w:t>
      </w:r>
    </w:p>
    <w:p w14:paraId="03C9E22B" w14:textId="77777777" w:rsidR="009B0FCC" w:rsidRPr="00104870" w:rsidRDefault="009B0FCC" w:rsidP="009B0FCC">
      <w:pPr>
        <w:rPr>
          <w:b/>
          <w:sz w:val="24"/>
          <w:szCs w:val="24"/>
        </w:rPr>
      </w:pPr>
      <w:r w:rsidRPr="00104870">
        <w:rPr>
          <w:b/>
          <w:sz w:val="24"/>
          <w:szCs w:val="24"/>
        </w:rPr>
        <w:t>Are there other strategic opportunities in any of these areas?</w:t>
      </w:r>
    </w:p>
    <w:p w14:paraId="7FF477DD" w14:textId="0BF419A8" w:rsidR="00395532" w:rsidRPr="00104870" w:rsidRDefault="00395532" w:rsidP="00395532">
      <w:pPr>
        <w:spacing w:beforeAutospacing="1" w:afterAutospacing="1"/>
        <w:rPr>
          <w:rFonts w:cs="Arial"/>
          <w:sz w:val="24"/>
          <w:szCs w:val="24"/>
        </w:rPr>
      </w:pPr>
      <w:r w:rsidRPr="00104870">
        <w:rPr>
          <w:rFonts w:cs="Arial"/>
          <w:sz w:val="24"/>
          <w:szCs w:val="24"/>
        </w:rPr>
        <w:t xml:space="preserve">State Grantees response </w:t>
      </w:r>
      <w:r w:rsidR="04B4B42E" w:rsidRPr="098FA5AC">
        <w:rPr>
          <w:rFonts w:cs="Arial"/>
          <w:sz w:val="24"/>
          <w:szCs w:val="24"/>
        </w:rPr>
        <w:t xml:space="preserve">is </w:t>
      </w:r>
      <w:r w:rsidRPr="00104870">
        <w:rPr>
          <w:rFonts w:cs="Arial"/>
          <w:sz w:val="24"/>
          <w:szCs w:val="24"/>
        </w:rPr>
        <w:t>not required</w:t>
      </w:r>
      <w:r w:rsidR="1627B107" w:rsidRPr="098FA5AC">
        <w:rPr>
          <w:rFonts w:cs="Arial"/>
          <w:sz w:val="24"/>
          <w:szCs w:val="24"/>
        </w:rPr>
        <w:t>.</w:t>
      </w:r>
    </w:p>
    <w:p w14:paraId="72F63C2C" w14:textId="77777777" w:rsidR="009B0FCC" w:rsidRDefault="009B0FCC" w:rsidP="009B0FCC">
      <w:pPr>
        <w:rPr>
          <w:bCs/>
        </w:rPr>
      </w:pPr>
    </w:p>
    <w:p w14:paraId="6B6F58CC" w14:textId="77777777" w:rsidR="009B0FCC" w:rsidRDefault="009B0FCC" w:rsidP="009B0FCC">
      <w:pPr>
        <w:rPr>
          <w:bCs/>
        </w:rPr>
      </w:pPr>
    </w:p>
    <w:p w14:paraId="29AE6AD8" w14:textId="77777777" w:rsidR="009B0FCC" w:rsidRDefault="009B0FCC" w:rsidP="009B0FCC">
      <w:pPr>
        <w:rPr>
          <w:bCs/>
        </w:rPr>
      </w:pPr>
    </w:p>
    <w:p w14:paraId="2345A721" w14:textId="77777777" w:rsidR="009B0FCC" w:rsidRDefault="009B0FCC" w:rsidP="009B0FCC">
      <w:pPr>
        <w:rPr>
          <w:bCs/>
        </w:rPr>
      </w:pPr>
    </w:p>
    <w:p w14:paraId="42295B7B" w14:textId="77777777" w:rsidR="009B0FCC" w:rsidRDefault="009B0FCC" w:rsidP="009B0FCC">
      <w:pPr>
        <w:rPr>
          <w:bCs/>
        </w:rPr>
      </w:pPr>
    </w:p>
    <w:p w14:paraId="47A743E4" w14:textId="77777777" w:rsidR="009B0FCC" w:rsidRDefault="009B0FCC" w:rsidP="009B0FCC">
      <w:pPr>
        <w:rPr>
          <w:bCs/>
        </w:rPr>
      </w:pPr>
    </w:p>
    <w:p w14:paraId="76E4633B" w14:textId="77777777" w:rsidR="009B0FCC" w:rsidRDefault="009B0FCC" w:rsidP="009B0FCC">
      <w:pPr>
        <w:rPr>
          <w:bCs/>
        </w:rPr>
      </w:pPr>
    </w:p>
    <w:p w14:paraId="32BFD3BB" w14:textId="77777777" w:rsidR="009B0FCC" w:rsidRDefault="009B0FCC" w:rsidP="009B0FCC">
      <w:pPr>
        <w:rPr>
          <w:bCs/>
        </w:rPr>
      </w:pPr>
    </w:p>
    <w:p w14:paraId="48F52DA8" w14:textId="77777777" w:rsidR="00B01AF0" w:rsidRPr="00E269D2" w:rsidRDefault="00B01AF0" w:rsidP="00E269D2">
      <w:pPr>
        <w:pStyle w:val="Heading2"/>
        <w:pageBreakBefore/>
        <w:rPr>
          <w:rFonts w:ascii="Calibri" w:eastAsia="Calibri" w:hAnsi="Calibri" w:cs="Calibri"/>
          <w:b/>
          <w:bCs/>
          <w:i/>
          <w:iCs/>
          <w:color w:val="000000" w:themeColor="text1"/>
          <w:sz w:val="24"/>
          <w:szCs w:val="24"/>
        </w:rPr>
      </w:pPr>
      <w:bookmarkStart w:id="46" w:name="_Toc194673856"/>
      <w:r w:rsidRPr="00B01AF0">
        <w:rPr>
          <w:rFonts w:ascii="Calibri" w:hAnsi="Calibri"/>
        </w:rPr>
        <w:lastRenderedPageBreak/>
        <w:t>MA-60 Broadband Needs of Housing occupied by Low- and Moderate-Income Households - 91.210(a)(4), 91.310(a)(2)</w:t>
      </w:r>
      <w:bookmarkEnd w:id="46"/>
      <w:r w:rsidRPr="00C355B0">
        <w:rPr>
          <w:rFonts w:ascii="Calibri" w:hAnsi="Calibri" w:cs="Calibri"/>
        </w:rPr>
        <w:br/>
      </w:r>
    </w:p>
    <w:p w14:paraId="00E5596E" w14:textId="77777777" w:rsidR="00B01AF0" w:rsidRPr="00E269D2" w:rsidRDefault="00B01AF0" w:rsidP="00E269D2">
      <w:pPr>
        <w:jc w:val="both"/>
        <w:rPr>
          <w:rFonts w:cs="Calibri"/>
          <w:b/>
          <w:bCs/>
          <w:color w:val="000000" w:themeColor="text1"/>
          <w:sz w:val="24"/>
          <w:szCs w:val="24"/>
        </w:rPr>
      </w:pPr>
      <w:r w:rsidRPr="00E269D2">
        <w:rPr>
          <w:rFonts w:cs="Calibri"/>
          <w:b/>
          <w:bCs/>
          <w:color w:val="000000" w:themeColor="text1"/>
          <w:sz w:val="24"/>
          <w:szCs w:val="24"/>
        </w:rPr>
        <w:t>Describe the need for broadband wiring and connections for households, including low- and moderate-income households and neighborhoods.</w:t>
      </w:r>
    </w:p>
    <w:p w14:paraId="1C6062DB" w14:textId="2B3520A4" w:rsidR="004653EE" w:rsidRPr="00E269D2" w:rsidRDefault="00B01AF0" w:rsidP="00E269D2">
      <w:pPr>
        <w:jc w:val="both"/>
        <w:rPr>
          <w:color w:val="000000" w:themeColor="text1"/>
          <w:sz w:val="24"/>
          <w:szCs w:val="24"/>
        </w:rPr>
      </w:pPr>
      <w:r w:rsidRPr="00E269D2">
        <w:rPr>
          <w:color w:val="000000" w:themeColor="text1"/>
          <w:sz w:val="24"/>
          <w:szCs w:val="24"/>
        </w:rPr>
        <w:t xml:space="preserve">Internet is an essential communications and information platform that allows users to take advantage of the increased interconnectedness of business, education, commerce, and day to day utility. Reliable access to the internet is becoming a necessity to thrive in the modern economic environment. Communities that lack broadband access struggle to keep pace with the country. </w:t>
      </w:r>
      <w:r w:rsidR="004653EE" w:rsidRPr="00E269D2">
        <w:rPr>
          <w:color w:val="000000" w:themeColor="text1"/>
          <w:sz w:val="24"/>
          <w:szCs w:val="24"/>
        </w:rPr>
        <w:t>According to the Idaho Broadband Strategic Plan (2022-2027), determining the number of unserved households in Idaho varies widely depending on the source cited. The FCC estimates that nearly 18,000 households lack access to fixed terrestrial broadband service at 25/3Mbps. Conversely, Broadband</w:t>
      </w:r>
      <w:r w:rsidR="00721F16" w:rsidRPr="00E269D2">
        <w:rPr>
          <w:color w:val="000000" w:themeColor="text1"/>
          <w:sz w:val="24"/>
          <w:szCs w:val="24"/>
        </w:rPr>
        <w:t xml:space="preserve"> </w:t>
      </w:r>
      <w:r w:rsidR="004653EE" w:rsidRPr="00E269D2">
        <w:rPr>
          <w:color w:val="000000" w:themeColor="text1"/>
          <w:sz w:val="24"/>
          <w:szCs w:val="24"/>
        </w:rPr>
        <w:t xml:space="preserve">Now and the US Census estimate the number of unserved households is closer to 100,000. Connecting Idahoans who are underserved, or lack access to 100/20Mbps, to high-speed broadband, is an even larger task, estimated by the FCC to be 150,000 households. </w:t>
      </w:r>
    </w:p>
    <w:p w14:paraId="79A48ACD" w14:textId="4FEAD7B7" w:rsidR="00B01AF0" w:rsidRPr="00E269D2" w:rsidRDefault="00B01AF0" w:rsidP="00E269D2">
      <w:pPr>
        <w:jc w:val="both"/>
        <w:rPr>
          <w:color w:val="000000" w:themeColor="text1"/>
          <w:sz w:val="24"/>
          <w:szCs w:val="24"/>
        </w:rPr>
      </w:pPr>
      <w:r w:rsidRPr="00E269D2">
        <w:rPr>
          <w:color w:val="000000" w:themeColor="text1"/>
          <w:sz w:val="24"/>
          <w:szCs w:val="24"/>
        </w:rPr>
        <w:t>Locations without broadband access impedes its population’s ability to take advantage of the educational and entrepreneurial opportunities available online. This is particularly problematic for LMI areas where economic opportunities are often already lacking. Studies suggest a strong correlation between increased high-speed internet access and increased education and employment opportunities, especially in small cities and rural areas.</w:t>
      </w:r>
    </w:p>
    <w:p w14:paraId="386DE35E" w14:textId="38ABCD0D" w:rsidR="00B01AF0" w:rsidRPr="00E269D2" w:rsidRDefault="00B01AF0" w:rsidP="00E269D2">
      <w:pPr>
        <w:jc w:val="both"/>
        <w:rPr>
          <w:color w:val="000000" w:themeColor="text1"/>
          <w:sz w:val="24"/>
          <w:szCs w:val="24"/>
        </w:rPr>
      </w:pPr>
      <w:r w:rsidRPr="00E269D2">
        <w:rPr>
          <w:color w:val="000000" w:themeColor="text1"/>
          <w:sz w:val="24"/>
          <w:szCs w:val="24"/>
        </w:rPr>
        <w:t>In 2020, the state created the Office of Broadband within the Department of Commerce to help communities improve broadband infrastructure in support of improving distance learning, remote work, access to telehealth, and ensuring communities have reliable internet.  In 2021, the Idaho Broadband Advisory Board was created by the Idaho Legislature in 2021, via the passage of  </w:t>
      </w:r>
      <w:hyperlink r:id="rId19" w:tgtFrame="_blank" w:history="1">
        <w:r w:rsidRPr="00E269D2">
          <w:rPr>
            <w:rStyle w:val="Hyperlink"/>
            <w:b/>
            <w:bCs/>
            <w:sz w:val="24"/>
            <w:szCs w:val="24"/>
          </w:rPr>
          <w:t>House Bill 127.</w:t>
        </w:r>
      </w:hyperlink>
      <w:r w:rsidRPr="00E269D2">
        <w:rPr>
          <w:color w:val="000000" w:themeColor="text1"/>
          <w:sz w:val="24"/>
          <w:szCs w:val="24"/>
        </w:rPr>
        <w:t> The board established the Idaho Broadband Strategic Plan, which supports the board’s vision that Idahoans have access to affordable and reliable broadband infrastructure. The board is responsible for structuring, prioritizing and dispersing state and federal grants, which will enhance connectivity across the state and address equal access to economic development, telework, public safety, telehealth and education.</w:t>
      </w:r>
      <w:r w:rsidR="00A04684" w:rsidRPr="00E269D2">
        <w:rPr>
          <w:color w:val="000000" w:themeColor="text1"/>
          <w:sz w:val="24"/>
          <w:szCs w:val="24"/>
        </w:rPr>
        <w:t xml:space="preserve"> Pursuant to the Broadband Strategic Plan, by 2027 Idaho will strive to serve 100% of Idaho’s businesses and homes with access to high-speed broadband that provides minimum download speeds of at least 100 megabits per second and minimum upload speeds of at least 20 megabits per second. Part of this strategy includes implementing grant programs that focus on unserved and underserved communities.</w:t>
      </w:r>
    </w:p>
    <w:p w14:paraId="6AB86D21" w14:textId="77777777" w:rsidR="00B01AF0" w:rsidRPr="00E269D2" w:rsidRDefault="00B01AF0" w:rsidP="00E269D2">
      <w:pPr>
        <w:jc w:val="both"/>
        <w:rPr>
          <w:rFonts w:cs="Calibri"/>
          <w:color w:val="000000" w:themeColor="text1"/>
          <w:sz w:val="24"/>
          <w:szCs w:val="24"/>
        </w:rPr>
      </w:pPr>
      <w:r w:rsidRPr="00E269D2">
        <w:rPr>
          <w:rFonts w:cs="Calibri"/>
          <w:b/>
          <w:bCs/>
          <w:color w:val="000000" w:themeColor="text1"/>
          <w:sz w:val="24"/>
          <w:szCs w:val="24"/>
        </w:rPr>
        <w:lastRenderedPageBreak/>
        <w:t>Describe the need for increased competition by having more than one broadband Internet service provider serve the jurisdiction.</w:t>
      </w:r>
    </w:p>
    <w:p w14:paraId="403F7EFA" w14:textId="2235941C" w:rsidR="00B01AF0" w:rsidRPr="00E269D2" w:rsidRDefault="00B01AF0" w:rsidP="00E269D2">
      <w:pPr>
        <w:spacing w:after="0"/>
        <w:jc w:val="both"/>
        <w:rPr>
          <w:rFonts w:cs="Calibri"/>
          <w:color w:val="000000" w:themeColor="text1"/>
          <w:sz w:val="24"/>
          <w:szCs w:val="24"/>
        </w:rPr>
      </w:pPr>
      <w:r w:rsidRPr="00E269D2">
        <w:rPr>
          <w:color w:val="000000" w:themeColor="text1"/>
          <w:sz w:val="24"/>
          <w:szCs w:val="24"/>
        </w:rPr>
        <w:t xml:space="preserve">Once broadband access has been obtained, it is important to ensure there is competition among service providers. </w:t>
      </w:r>
      <w:r w:rsidR="004653EE" w:rsidRPr="00E269D2">
        <w:rPr>
          <w:color w:val="000000" w:themeColor="text1"/>
          <w:sz w:val="24"/>
          <w:szCs w:val="24"/>
        </w:rPr>
        <w:t xml:space="preserve">According to the Federal Communications Commission (FCC), the State of Idaho is home to 67 terrestrial broadband providers, however, connectivity is uneven for the residents of Idaho. </w:t>
      </w:r>
      <w:r w:rsidRPr="00E269D2">
        <w:rPr>
          <w:color w:val="000000" w:themeColor="text1"/>
          <w:sz w:val="24"/>
          <w:szCs w:val="24"/>
        </w:rPr>
        <w:t>Any resource that has a de facto monopoly on an area may not be incentivized to provide standard and consistent services</w:t>
      </w:r>
      <w:r w:rsidR="00A04684" w:rsidRPr="00E269D2">
        <w:rPr>
          <w:color w:val="000000" w:themeColor="text1"/>
          <w:sz w:val="24"/>
          <w:szCs w:val="24"/>
        </w:rPr>
        <w:t xml:space="preserve"> so it will be important to ensure there is competition among providers as broadband services reaches all communities across the state. </w:t>
      </w:r>
    </w:p>
    <w:p w14:paraId="5EF71D8D" w14:textId="77777777" w:rsidR="00B01AF0" w:rsidRPr="00E269D2" w:rsidRDefault="00B01AF0" w:rsidP="00E269D2">
      <w:pPr>
        <w:spacing w:after="0"/>
        <w:jc w:val="both"/>
        <w:rPr>
          <w:rFonts w:cs="Calibri"/>
          <w:color w:val="000000" w:themeColor="text1"/>
          <w:sz w:val="24"/>
          <w:szCs w:val="24"/>
        </w:rPr>
      </w:pPr>
    </w:p>
    <w:p w14:paraId="4935972B" w14:textId="77777777" w:rsidR="00B01AF0" w:rsidRPr="00E269D2" w:rsidRDefault="00B01AF0" w:rsidP="00E269D2">
      <w:pPr>
        <w:jc w:val="both"/>
        <w:rPr>
          <w:rFonts w:cs="Calibri"/>
          <w:sz w:val="24"/>
          <w:szCs w:val="24"/>
        </w:rPr>
      </w:pPr>
      <w:r w:rsidRPr="00E269D2">
        <w:rPr>
          <w:rFonts w:cs="Calibri"/>
          <w:sz w:val="24"/>
          <w:szCs w:val="24"/>
        </w:rPr>
        <w:br w:type="page"/>
      </w:r>
    </w:p>
    <w:p w14:paraId="27F52A82" w14:textId="77777777" w:rsidR="00B01AF0" w:rsidRPr="00E269D2" w:rsidRDefault="00B01AF0" w:rsidP="00E269D2">
      <w:pPr>
        <w:pStyle w:val="Heading2"/>
        <w:pageBreakBefore/>
        <w:rPr>
          <w:rFonts w:ascii="Calibri" w:eastAsia="Calibri" w:hAnsi="Calibri" w:cs="Calibri"/>
          <w:b/>
          <w:bCs/>
          <w:i/>
          <w:iCs/>
          <w:color w:val="000000" w:themeColor="text1"/>
          <w:sz w:val="24"/>
          <w:szCs w:val="24"/>
        </w:rPr>
      </w:pPr>
      <w:bookmarkStart w:id="47" w:name="_Toc194673857"/>
      <w:r w:rsidRPr="00E269D2">
        <w:rPr>
          <w:rFonts w:ascii="Calibri" w:hAnsi="Calibri"/>
        </w:rPr>
        <w:lastRenderedPageBreak/>
        <w:t>MA-65 Hazard Mitigation - 91.210(a)(5), 91.310(a)(3)</w:t>
      </w:r>
      <w:bookmarkEnd w:id="47"/>
      <w:r w:rsidRPr="00E269D2">
        <w:rPr>
          <w:rFonts w:ascii="Calibri" w:hAnsi="Calibri" w:cs="Calibri"/>
          <w:sz w:val="24"/>
          <w:szCs w:val="24"/>
        </w:rPr>
        <w:br/>
      </w:r>
    </w:p>
    <w:p w14:paraId="036C878F" w14:textId="77777777" w:rsidR="00B01AF0" w:rsidRPr="00E269D2" w:rsidRDefault="00B01AF0" w:rsidP="00E269D2">
      <w:pPr>
        <w:jc w:val="both"/>
        <w:rPr>
          <w:rFonts w:cs="Calibri"/>
          <w:b/>
          <w:bCs/>
          <w:color w:val="000000" w:themeColor="text1"/>
          <w:sz w:val="24"/>
          <w:szCs w:val="24"/>
        </w:rPr>
      </w:pPr>
      <w:r w:rsidRPr="00E269D2">
        <w:rPr>
          <w:rFonts w:cs="Calibri"/>
          <w:b/>
          <w:bCs/>
          <w:color w:val="000000" w:themeColor="text1"/>
          <w:sz w:val="24"/>
          <w:szCs w:val="24"/>
        </w:rPr>
        <w:t>Describe the jurisdiction’s increased natural hazard risks associated with climate change.</w:t>
      </w:r>
    </w:p>
    <w:p w14:paraId="32714720" w14:textId="79736798" w:rsidR="00B01AF0" w:rsidRPr="00E269D2" w:rsidRDefault="00B01AF0" w:rsidP="00E269D2">
      <w:pPr>
        <w:jc w:val="both"/>
        <w:rPr>
          <w:rFonts w:cs="Calibri"/>
          <w:color w:val="000000" w:themeColor="text1"/>
          <w:sz w:val="24"/>
          <w:szCs w:val="24"/>
        </w:rPr>
      </w:pPr>
      <w:r w:rsidRPr="00E269D2">
        <w:rPr>
          <w:rFonts w:cs="Calibri"/>
          <w:color w:val="000000" w:themeColor="text1"/>
          <w:sz w:val="24"/>
          <w:szCs w:val="24"/>
        </w:rPr>
        <w:t xml:space="preserve">The Idaho State Hazard </w:t>
      </w:r>
      <w:r w:rsidR="00D329AB" w:rsidRPr="00E269D2">
        <w:rPr>
          <w:rFonts w:cs="Calibri"/>
          <w:color w:val="000000" w:themeColor="text1"/>
          <w:sz w:val="24"/>
          <w:szCs w:val="24"/>
        </w:rPr>
        <w:t>Mitigation</w:t>
      </w:r>
      <w:r w:rsidRPr="00E269D2">
        <w:rPr>
          <w:rFonts w:cs="Calibri"/>
          <w:color w:val="000000" w:themeColor="text1"/>
          <w:sz w:val="24"/>
          <w:szCs w:val="24"/>
        </w:rPr>
        <w:t xml:space="preserve"> Plan (SHMP) </w:t>
      </w:r>
      <w:r w:rsidR="009C257C" w:rsidRPr="00E269D2">
        <w:rPr>
          <w:rFonts w:cs="Calibri"/>
          <w:color w:val="000000" w:themeColor="text1"/>
          <w:sz w:val="24"/>
          <w:szCs w:val="24"/>
        </w:rPr>
        <w:t xml:space="preserve">(2023) </w:t>
      </w:r>
      <w:r w:rsidRPr="00E269D2">
        <w:rPr>
          <w:rFonts w:cs="Calibri"/>
          <w:color w:val="000000" w:themeColor="text1"/>
          <w:sz w:val="24"/>
          <w:szCs w:val="24"/>
        </w:rPr>
        <w:t>focuses on hazards and risks that affect local jurisdictions, including impacts from risks on the built environment; community lifelines; future conditions; population; land use; and socially vulnerable communities. The SHMP also assesses the effects of climate change on hazards, their potential impacts, and strategies for addressing them.</w:t>
      </w:r>
    </w:p>
    <w:p w14:paraId="5B24AF6E" w14:textId="77777777" w:rsidR="009C257C" w:rsidRPr="00E269D2" w:rsidRDefault="009C257C" w:rsidP="00E269D2">
      <w:pPr>
        <w:jc w:val="both"/>
        <w:rPr>
          <w:rFonts w:cs="Calibri"/>
          <w:color w:val="000000" w:themeColor="text1"/>
          <w:sz w:val="24"/>
          <w:szCs w:val="24"/>
        </w:rPr>
      </w:pPr>
      <w:r w:rsidRPr="00E269D2">
        <w:rPr>
          <w:rFonts w:cs="Calibri"/>
          <w:color w:val="000000" w:themeColor="text1"/>
          <w:sz w:val="24"/>
          <w:szCs w:val="24"/>
        </w:rPr>
        <w:t xml:space="preserve">The SHMP assessed that Idaho has experienced thousands of hazard events, resulting in casualties, millions of dollars in losses, 32 federal major disaster (DR) declarations, three federal emergency (EM) declarations, and 19 federal fire management assistance (FM) declarations. Federal disaster declarations in Idaho since 1956 can be categorized as follows: </w:t>
      </w:r>
    </w:p>
    <w:p w14:paraId="05C80E45" w14:textId="07CC7977" w:rsidR="009C257C" w:rsidRPr="00E269D2" w:rsidRDefault="009C257C" w:rsidP="00E269D2">
      <w:pPr>
        <w:jc w:val="both"/>
        <w:rPr>
          <w:rFonts w:cs="Calibri"/>
          <w:color w:val="000000" w:themeColor="text1"/>
          <w:sz w:val="24"/>
          <w:szCs w:val="24"/>
        </w:rPr>
      </w:pPr>
      <w:r w:rsidRPr="00E269D2">
        <w:rPr>
          <w:rFonts w:cs="Calibri"/>
          <w:color w:val="000000" w:themeColor="text1"/>
          <w:sz w:val="24"/>
          <w:szCs w:val="24"/>
        </w:rPr>
        <w:t>• Floods and wildfires were components of 22 declarations each (44</w:t>
      </w:r>
      <w:r w:rsidR="70CFD025" w:rsidRPr="00E269D2">
        <w:rPr>
          <w:rFonts w:cs="Calibri"/>
          <w:color w:val="000000" w:themeColor="text1"/>
          <w:sz w:val="24"/>
          <w:szCs w:val="24"/>
        </w:rPr>
        <w:t>%</w:t>
      </w:r>
      <w:r w:rsidRPr="00E269D2">
        <w:rPr>
          <w:rFonts w:cs="Calibri"/>
          <w:color w:val="000000" w:themeColor="text1"/>
          <w:sz w:val="24"/>
          <w:szCs w:val="24"/>
        </w:rPr>
        <w:t xml:space="preserve">) </w:t>
      </w:r>
    </w:p>
    <w:p w14:paraId="0B0C55B1" w14:textId="7BA63A57" w:rsidR="009C257C" w:rsidRPr="00E269D2" w:rsidRDefault="009C257C" w:rsidP="00E269D2">
      <w:pPr>
        <w:jc w:val="both"/>
        <w:rPr>
          <w:rFonts w:cs="Calibri"/>
          <w:color w:val="000000" w:themeColor="text1"/>
          <w:sz w:val="24"/>
          <w:szCs w:val="24"/>
        </w:rPr>
      </w:pPr>
      <w:r w:rsidRPr="00E269D2">
        <w:rPr>
          <w:rFonts w:cs="Calibri"/>
          <w:color w:val="000000" w:themeColor="text1"/>
          <w:sz w:val="24"/>
          <w:szCs w:val="24"/>
        </w:rPr>
        <w:t>• Severe storms were a component of 10 declarations (21</w:t>
      </w:r>
      <w:r w:rsidR="13271158" w:rsidRPr="00E269D2">
        <w:rPr>
          <w:rFonts w:cs="Calibri"/>
          <w:color w:val="000000" w:themeColor="text1"/>
          <w:sz w:val="24"/>
          <w:szCs w:val="24"/>
        </w:rPr>
        <w:t>%</w:t>
      </w:r>
      <w:r w:rsidRPr="00E269D2">
        <w:rPr>
          <w:rFonts w:cs="Calibri"/>
          <w:color w:val="000000" w:themeColor="text1"/>
          <w:sz w:val="24"/>
          <w:szCs w:val="24"/>
        </w:rPr>
        <w:t xml:space="preserve">) </w:t>
      </w:r>
    </w:p>
    <w:p w14:paraId="7C9DDDFB" w14:textId="017066D0" w:rsidR="009C257C" w:rsidRPr="00E269D2" w:rsidRDefault="009C257C" w:rsidP="00E269D2">
      <w:pPr>
        <w:jc w:val="both"/>
        <w:rPr>
          <w:rFonts w:cs="Calibri"/>
          <w:color w:val="000000" w:themeColor="text1"/>
          <w:sz w:val="24"/>
          <w:szCs w:val="24"/>
        </w:rPr>
      </w:pPr>
      <w:r w:rsidRPr="00E269D2">
        <w:rPr>
          <w:rFonts w:cs="Calibri"/>
          <w:color w:val="000000" w:themeColor="text1"/>
          <w:sz w:val="24"/>
          <w:szCs w:val="24"/>
        </w:rPr>
        <w:t>• Landslides and mudslides were a component of four declarations (8</w:t>
      </w:r>
      <w:r w:rsidR="1E5CCB30" w:rsidRPr="00E269D2">
        <w:rPr>
          <w:rFonts w:cs="Calibri"/>
          <w:color w:val="000000" w:themeColor="text1"/>
          <w:sz w:val="24"/>
          <w:szCs w:val="24"/>
        </w:rPr>
        <w:t>%</w:t>
      </w:r>
      <w:r w:rsidRPr="00E269D2">
        <w:rPr>
          <w:rFonts w:cs="Calibri"/>
          <w:color w:val="000000" w:themeColor="text1"/>
          <w:sz w:val="24"/>
          <w:szCs w:val="24"/>
        </w:rPr>
        <w:t xml:space="preserve">) </w:t>
      </w:r>
    </w:p>
    <w:p w14:paraId="44E2CCFE" w14:textId="59D2963D" w:rsidR="009C257C" w:rsidRPr="00E269D2" w:rsidRDefault="009C257C" w:rsidP="00E269D2">
      <w:pPr>
        <w:jc w:val="both"/>
        <w:rPr>
          <w:rFonts w:cs="Calibri"/>
          <w:color w:val="000000" w:themeColor="text1"/>
          <w:sz w:val="24"/>
          <w:szCs w:val="24"/>
        </w:rPr>
      </w:pPr>
      <w:r w:rsidRPr="00E269D2">
        <w:rPr>
          <w:rFonts w:cs="Calibri"/>
          <w:color w:val="000000" w:themeColor="text1"/>
          <w:sz w:val="24"/>
          <w:szCs w:val="24"/>
        </w:rPr>
        <w:t>• Severe weather was a component of 2 declarations (4</w:t>
      </w:r>
      <w:r w:rsidR="499A66FC" w:rsidRPr="00E269D2">
        <w:rPr>
          <w:rFonts w:cs="Calibri"/>
          <w:color w:val="000000" w:themeColor="text1"/>
          <w:sz w:val="24"/>
          <w:szCs w:val="24"/>
        </w:rPr>
        <w:t>%</w:t>
      </w:r>
      <w:r w:rsidRPr="00E269D2">
        <w:rPr>
          <w:rFonts w:cs="Calibri"/>
          <w:color w:val="000000" w:themeColor="text1"/>
          <w:sz w:val="24"/>
          <w:szCs w:val="24"/>
        </w:rPr>
        <w:t xml:space="preserve">) </w:t>
      </w:r>
    </w:p>
    <w:p w14:paraId="432318ED" w14:textId="520E0A76" w:rsidR="009C257C" w:rsidRPr="00E269D2" w:rsidRDefault="009C257C" w:rsidP="00E269D2">
      <w:pPr>
        <w:jc w:val="both"/>
        <w:rPr>
          <w:rFonts w:cs="Calibri"/>
          <w:color w:val="000000" w:themeColor="text1"/>
          <w:sz w:val="24"/>
          <w:szCs w:val="24"/>
        </w:rPr>
      </w:pPr>
      <w:r w:rsidRPr="00E269D2">
        <w:rPr>
          <w:rFonts w:cs="Calibri"/>
          <w:color w:val="000000" w:themeColor="text1"/>
          <w:sz w:val="24"/>
          <w:szCs w:val="24"/>
        </w:rPr>
        <w:t>• Earthquake, drought, dam collapse, and evaluation were components of one declaration each (2</w:t>
      </w:r>
      <w:r w:rsidR="5E4B643F" w:rsidRPr="00E269D2">
        <w:rPr>
          <w:rFonts w:cs="Calibri"/>
          <w:color w:val="000000" w:themeColor="text1"/>
          <w:sz w:val="24"/>
          <w:szCs w:val="24"/>
        </w:rPr>
        <w:t>%)</w:t>
      </w:r>
    </w:p>
    <w:p w14:paraId="6628603A" w14:textId="4BDEF328" w:rsidR="009C257C" w:rsidRPr="00E269D2" w:rsidRDefault="009C257C" w:rsidP="00E269D2">
      <w:pPr>
        <w:jc w:val="both"/>
        <w:rPr>
          <w:rFonts w:cs="Calibri"/>
          <w:color w:val="000000" w:themeColor="text1"/>
          <w:sz w:val="24"/>
          <w:szCs w:val="24"/>
        </w:rPr>
      </w:pPr>
      <w:r w:rsidRPr="00E269D2">
        <w:rPr>
          <w:rFonts w:cs="Calibri"/>
          <w:color w:val="000000" w:themeColor="text1"/>
          <w:sz w:val="24"/>
          <w:szCs w:val="24"/>
        </w:rPr>
        <w:t>Many of the declarations were classified as a combination of incident types; therefore, these percentages may include the same event in multiple declaration types.</w:t>
      </w:r>
    </w:p>
    <w:p w14:paraId="43D57DD8" w14:textId="77777777" w:rsidR="009C257C" w:rsidRPr="00E269D2" w:rsidRDefault="009C257C" w:rsidP="00E269D2">
      <w:pPr>
        <w:jc w:val="both"/>
        <w:rPr>
          <w:rFonts w:cs="Calibri"/>
          <w:color w:val="000000" w:themeColor="text1"/>
          <w:sz w:val="24"/>
          <w:szCs w:val="24"/>
        </w:rPr>
      </w:pPr>
      <w:r w:rsidRPr="00E269D2">
        <w:rPr>
          <w:rFonts w:cs="Calibri"/>
          <w:color w:val="000000" w:themeColor="text1"/>
          <w:sz w:val="24"/>
          <w:szCs w:val="24"/>
        </w:rPr>
        <w:t xml:space="preserve">Climate change will continue to exacerbate the frequency, scale, and intensity of hazards across Idaho. Many communities have experienced substantial damage from climate-related hazards. Climate patterns are shifting, resulting in more extreme and variable weather conditions across the state, with more extreme precipitation events, declining snowpack, more frequent and severe heat waves, and drought conditions. Climate change has impacted Idaho’s natural areas and forests, increasing the frequency of wildfires. </w:t>
      </w:r>
    </w:p>
    <w:p w14:paraId="7599339D" w14:textId="77777777" w:rsidR="00B01AF0" w:rsidRPr="00E269D2" w:rsidRDefault="00B01AF0" w:rsidP="00E269D2">
      <w:pPr>
        <w:jc w:val="both"/>
        <w:rPr>
          <w:rFonts w:cs="Calibri"/>
          <w:b/>
          <w:bCs/>
          <w:color w:val="000000" w:themeColor="text1"/>
          <w:sz w:val="24"/>
          <w:szCs w:val="24"/>
        </w:rPr>
      </w:pPr>
      <w:r w:rsidRPr="00E269D2">
        <w:rPr>
          <w:rFonts w:cs="Calibri"/>
          <w:b/>
          <w:bCs/>
          <w:color w:val="000000" w:themeColor="text1"/>
          <w:sz w:val="24"/>
          <w:szCs w:val="24"/>
        </w:rPr>
        <w:t>Describe the vulnerability to these risks of housing occupied by low- and moderate-income households based on an analysis of data, findings, and methods.</w:t>
      </w:r>
    </w:p>
    <w:p w14:paraId="09DEBAAA" w14:textId="77777777" w:rsidR="009C257C" w:rsidRPr="00E269D2" w:rsidRDefault="00B01AF0" w:rsidP="00E269D2">
      <w:pPr>
        <w:jc w:val="both"/>
        <w:rPr>
          <w:rFonts w:cs="Calibri"/>
          <w:color w:val="000000" w:themeColor="text1"/>
          <w:sz w:val="24"/>
          <w:szCs w:val="24"/>
        </w:rPr>
      </w:pPr>
      <w:r w:rsidRPr="00E269D2">
        <w:rPr>
          <w:rFonts w:cstheme="minorHAnsi"/>
          <w:color w:val="000000"/>
          <w:sz w:val="24"/>
          <w:szCs w:val="24"/>
        </w:rPr>
        <w:t>Low and moderate-income residents are at particular risk due to having less available resources to combat the impacts of natural disasters.</w:t>
      </w:r>
      <w:r w:rsidR="009C257C" w:rsidRPr="00E269D2">
        <w:rPr>
          <w:rFonts w:cstheme="minorHAnsi"/>
          <w:color w:val="000000"/>
          <w:sz w:val="24"/>
          <w:szCs w:val="24"/>
        </w:rPr>
        <w:t xml:space="preserve"> </w:t>
      </w:r>
      <w:r w:rsidR="009C257C" w:rsidRPr="00E269D2">
        <w:rPr>
          <w:rFonts w:cs="Calibri"/>
          <w:color w:val="000000" w:themeColor="text1"/>
          <w:sz w:val="24"/>
          <w:szCs w:val="24"/>
        </w:rPr>
        <w:t xml:space="preserve">Adapting to the changing climate will require an approach to hazard mitigation that prioritizes long-term community resilience practices. Such </w:t>
      </w:r>
      <w:r w:rsidR="009C257C" w:rsidRPr="00E269D2">
        <w:rPr>
          <w:rFonts w:cs="Calibri"/>
          <w:color w:val="000000" w:themeColor="text1"/>
          <w:sz w:val="24"/>
          <w:szCs w:val="24"/>
        </w:rPr>
        <w:lastRenderedPageBreak/>
        <w:t>practices aim to reduce harm for those who experience greater risk and burden of harm due to historical and current marginalization and under-investment, thus resulting in greater resilience across the whole community. The hazard mitigation actions necessary to achieve this goal constantly evolve as conditions change, and the participation of all levels of government, non-profit organizations, the private sector, and the public enhances all actions. It is important to ensure that hazard mitigation actions do not contribute to greenhouse gas emissions, which exacerbate climate change impacts.</w:t>
      </w:r>
    </w:p>
    <w:p w14:paraId="2D9AF300" w14:textId="2163A0AA" w:rsidR="00D329AB" w:rsidRPr="00E269D2" w:rsidRDefault="00D329AB" w:rsidP="00E269D2">
      <w:pPr>
        <w:jc w:val="both"/>
        <w:rPr>
          <w:rFonts w:cs="Calibri"/>
          <w:color w:val="000000" w:themeColor="text1"/>
          <w:sz w:val="24"/>
          <w:szCs w:val="24"/>
        </w:rPr>
      </w:pPr>
      <w:r w:rsidRPr="00E269D2">
        <w:rPr>
          <w:rFonts w:cs="Calibri"/>
          <w:color w:val="000000" w:themeColor="text1"/>
          <w:sz w:val="24"/>
          <w:szCs w:val="24"/>
        </w:rPr>
        <w:t xml:space="preserve">Looking at the top three hazards, wildfires, floods, and severe storms, which historically have </w:t>
      </w:r>
      <w:r w:rsidR="1B1DCA06" w:rsidRPr="00E269D2">
        <w:rPr>
          <w:rFonts w:cs="Calibri"/>
          <w:color w:val="000000" w:themeColor="text1"/>
          <w:sz w:val="24"/>
          <w:szCs w:val="24"/>
        </w:rPr>
        <w:t>cause</w:t>
      </w:r>
      <w:r w:rsidR="76CF9A7B" w:rsidRPr="00E269D2">
        <w:rPr>
          <w:rFonts w:cs="Calibri"/>
          <w:color w:val="000000" w:themeColor="text1"/>
          <w:sz w:val="24"/>
          <w:szCs w:val="24"/>
        </w:rPr>
        <w:t>d</w:t>
      </w:r>
      <w:r w:rsidRPr="00E269D2">
        <w:rPr>
          <w:rFonts w:cs="Calibri"/>
          <w:color w:val="000000" w:themeColor="text1"/>
          <w:sz w:val="24"/>
          <w:szCs w:val="24"/>
        </w:rPr>
        <w:t xml:space="preserve"> the most disasters in the state, the vulnerability to these risks of housing occupied by low- and moderate-income households as described in the SHMP follows:</w:t>
      </w:r>
    </w:p>
    <w:p w14:paraId="41F15C7F" w14:textId="2799EF73" w:rsidR="00D329AB" w:rsidRPr="00E269D2" w:rsidRDefault="00D329AB" w:rsidP="00E269D2">
      <w:pPr>
        <w:pStyle w:val="ListParagraph"/>
        <w:numPr>
          <w:ilvl w:val="0"/>
          <w:numId w:val="15"/>
        </w:numPr>
        <w:jc w:val="both"/>
        <w:rPr>
          <w:rFonts w:cs="Calibri"/>
          <w:color w:val="000000" w:themeColor="text1"/>
          <w:sz w:val="24"/>
          <w:szCs w:val="24"/>
        </w:rPr>
      </w:pPr>
      <w:r w:rsidRPr="00E269D2">
        <w:rPr>
          <w:rFonts w:cs="Calibri"/>
          <w:color w:val="000000" w:themeColor="text1"/>
          <w:sz w:val="24"/>
          <w:szCs w:val="24"/>
        </w:rPr>
        <w:t>Wildfires: Low-income communities, migrant populations, populations whose primary language is not English, indigenous populations, communities of older adults, and those with respiratory and other health concerns are all especially vulnerable to wildfires. Members of immigrant communities may be concerned about impacts to their immigration status and do not seek help. When a wildfire impacts an area with high rents where multiple families live in one structure, it may be difficult for those not listed on the lease to prove that they were affected by the fire; this could result in a lack of access to services. Additionally, fires quickly increase housing prices and rent prices, further displacing people already affected by the fire. Homelessness can increase.</w:t>
      </w:r>
    </w:p>
    <w:p w14:paraId="7644F7CE" w14:textId="77777777" w:rsidR="00D329AB" w:rsidRPr="00E269D2" w:rsidRDefault="00D329AB" w:rsidP="00E269D2">
      <w:pPr>
        <w:pStyle w:val="ListParagraph"/>
        <w:jc w:val="both"/>
        <w:rPr>
          <w:rFonts w:cs="Calibri"/>
          <w:color w:val="000000" w:themeColor="text1"/>
          <w:sz w:val="24"/>
          <w:szCs w:val="24"/>
        </w:rPr>
      </w:pPr>
    </w:p>
    <w:p w14:paraId="0FE0C564" w14:textId="08F1456E" w:rsidR="00D329AB" w:rsidRPr="00E269D2" w:rsidRDefault="00D329AB" w:rsidP="00E269D2">
      <w:pPr>
        <w:pStyle w:val="ListParagraph"/>
        <w:numPr>
          <w:ilvl w:val="0"/>
          <w:numId w:val="15"/>
        </w:numPr>
        <w:jc w:val="both"/>
        <w:rPr>
          <w:rFonts w:cs="Calibri"/>
          <w:color w:val="000000" w:themeColor="text1"/>
          <w:sz w:val="24"/>
          <w:szCs w:val="24"/>
        </w:rPr>
      </w:pPr>
      <w:r w:rsidRPr="00E269D2">
        <w:rPr>
          <w:rFonts w:cs="Calibri"/>
          <w:color w:val="000000" w:themeColor="text1"/>
          <w:sz w:val="24"/>
          <w:szCs w:val="24"/>
        </w:rPr>
        <w:t xml:space="preserve">Floods: </w:t>
      </w:r>
      <w:r w:rsidR="004653EE" w:rsidRPr="00E269D2">
        <w:rPr>
          <w:rFonts w:cs="Calibri"/>
          <w:color w:val="000000" w:themeColor="text1"/>
          <w:sz w:val="24"/>
          <w:szCs w:val="24"/>
        </w:rPr>
        <w:t>Socially vulnerable populations are most susceptible based on many factors, including their physical and financial ability to react or respond during a hazard and the location and construction quality of their housing. Economically disadvantaged populations are likely to evaluate their risk and make decisions based on the major economic impact on their family and may not have funds to evacuate. The aftermath of flooding events presents numerous threats to public health and safety, including unsafe food, contaminated drinking and washing water and poor sanitation, mosquitoes and animals, mold and mildew, carbon monoxide poisoning, and mental stress and fatigue.</w:t>
      </w:r>
    </w:p>
    <w:p w14:paraId="18159988" w14:textId="77777777" w:rsidR="00D329AB" w:rsidRPr="00E269D2" w:rsidRDefault="00D329AB" w:rsidP="00E269D2">
      <w:pPr>
        <w:pStyle w:val="ListParagraph"/>
        <w:jc w:val="both"/>
        <w:rPr>
          <w:rFonts w:cs="Calibri"/>
          <w:color w:val="000000" w:themeColor="text1"/>
          <w:sz w:val="24"/>
          <w:szCs w:val="24"/>
        </w:rPr>
      </w:pPr>
    </w:p>
    <w:p w14:paraId="6EF51C24" w14:textId="3A135DC5" w:rsidR="009A2C2E" w:rsidRPr="00E269D2" w:rsidRDefault="00D329AB" w:rsidP="00E269D2">
      <w:pPr>
        <w:pStyle w:val="ListParagraph"/>
        <w:numPr>
          <w:ilvl w:val="0"/>
          <w:numId w:val="15"/>
        </w:numPr>
        <w:spacing w:after="0" w:line="240" w:lineRule="auto"/>
        <w:jc w:val="both"/>
        <w:rPr>
          <w:rFonts w:cs="Calibri"/>
          <w:color w:val="000000" w:themeColor="text1"/>
          <w:sz w:val="24"/>
          <w:szCs w:val="24"/>
        </w:rPr>
      </w:pPr>
      <w:r w:rsidRPr="00E269D2">
        <w:rPr>
          <w:rFonts w:cs="Calibri"/>
          <w:color w:val="000000" w:themeColor="text1"/>
          <w:sz w:val="24"/>
          <w:szCs w:val="24"/>
        </w:rPr>
        <w:t>Severe Storms:</w:t>
      </w:r>
      <w:r w:rsidR="004653EE" w:rsidRPr="00E269D2">
        <w:rPr>
          <w:rFonts w:cs="Calibri"/>
          <w:color w:val="000000" w:themeColor="text1"/>
          <w:sz w:val="24"/>
          <w:szCs w:val="24"/>
        </w:rPr>
        <w:t xml:space="preserve"> Power outages from severe weather can be life-threatening to those dependent on electricity for life support and are a significant concern. These populations face isolation and exposure during severe weather events and could suffer more secondary effects of the hazard. Vulnerable populations, such as the elderly, low-income and linguistically isolated populations, are most susceptible to severe weather. This vulnerability is based on several factors, including their physical and financial ability to react or respond during a hazard and the location and construction quality of their housing. Other risk factors include that power outages can be life-threatening to people dependent on electricity for life support. Because these vulnerable populations face </w:t>
      </w:r>
      <w:r w:rsidR="004653EE" w:rsidRPr="00E269D2">
        <w:rPr>
          <w:rFonts w:cs="Calibri"/>
          <w:color w:val="000000" w:themeColor="text1"/>
          <w:sz w:val="24"/>
          <w:szCs w:val="24"/>
        </w:rPr>
        <w:lastRenderedPageBreak/>
        <w:t>various forms of isolation, they are more at risk for secondary effects from severe weather hazards.</w:t>
      </w:r>
    </w:p>
    <w:p w14:paraId="14013213" w14:textId="77777777" w:rsidR="009A2C2E" w:rsidRPr="00E269D2" w:rsidRDefault="009A2C2E" w:rsidP="00E269D2">
      <w:pPr>
        <w:spacing w:after="160" w:line="259" w:lineRule="auto"/>
        <w:jc w:val="both"/>
        <w:rPr>
          <w:rFonts w:cs="Calibri"/>
          <w:color w:val="000000" w:themeColor="text1"/>
          <w:sz w:val="24"/>
          <w:szCs w:val="24"/>
        </w:rPr>
      </w:pPr>
      <w:r w:rsidRPr="00E269D2">
        <w:rPr>
          <w:rFonts w:cs="Calibri"/>
          <w:color w:val="000000" w:themeColor="text1"/>
          <w:sz w:val="24"/>
          <w:szCs w:val="24"/>
        </w:rPr>
        <w:br w:type="page"/>
      </w:r>
    </w:p>
    <w:p w14:paraId="1396EDD6" w14:textId="77777777" w:rsidR="00E256FC" w:rsidRDefault="009A2C2E" w:rsidP="00E256FC">
      <w:pPr>
        <w:pStyle w:val="Heading1"/>
        <w:pageBreakBefore/>
      </w:pPr>
      <w:bookmarkStart w:id="48" w:name="_Toc191358737"/>
      <w:bookmarkStart w:id="49" w:name="_Toc194673858"/>
      <w:bookmarkStart w:id="50" w:name="_Hlk192087231"/>
      <w:r w:rsidRPr="00E256FC">
        <w:lastRenderedPageBreak/>
        <w:t>Strategic Plan</w:t>
      </w:r>
      <w:bookmarkStart w:id="51" w:name="_Toc191358738"/>
      <w:bookmarkEnd w:id="48"/>
      <w:bookmarkEnd w:id="49"/>
    </w:p>
    <w:p w14:paraId="67D4B9D3" w14:textId="677BCDE6" w:rsidR="009A2C2E" w:rsidRPr="00E269D2" w:rsidRDefault="009A2C2E" w:rsidP="00E269D2">
      <w:pPr>
        <w:pStyle w:val="Heading2"/>
        <w:pageBreakBefore/>
        <w:rPr>
          <w:rFonts w:ascii="Calibri" w:hAnsi="Calibri"/>
        </w:rPr>
      </w:pPr>
      <w:bookmarkStart w:id="52" w:name="_Toc194673859"/>
      <w:r w:rsidRPr="00E269D2">
        <w:rPr>
          <w:rFonts w:ascii="Calibri" w:hAnsi="Calibri"/>
        </w:rPr>
        <w:lastRenderedPageBreak/>
        <w:t>SP-05 Overview</w:t>
      </w:r>
      <w:bookmarkEnd w:id="51"/>
      <w:bookmarkEnd w:id="52"/>
    </w:p>
    <w:p w14:paraId="66E9B8A7" w14:textId="77777777" w:rsidR="009A2C2E" w:rsidRPr="00E269D2" w:rsidRDefault="009A2C2E" w:rsidP="00E269D2">
      <w:pPr>
        <w:jc w:val="both"/>
        <w:rPr>
          <w:b/>
          <w:sz w:val="24"/>
          <w:szCs w:val="24"/>
        </w:rPr>
      </w:pPr>
      <w:r w:rsidRPr="00E269D2">
        <w:rPr>
          <w:b/>
          <w:sz w:val="24"/>
          <w:szCs w:val="24"/>
        </w:rPr>
        <w:t>Strategic Plan Overview</w:t>
      </w:r>
    </w:p>
    <w:p w14:paraId="3E616C83" w14:textId="77777777" w:rsidR="009A2C2E" w:rsidRPr="00E269D2" w:rsidRDefault="009A2C2E" w:rsidP="00E269D2">
      <w:pPr>
        <w:spacing w:beforeAutospacing="1" w:afterAutospacing="1"/>
        <w:jc w:val="both"/>
        <w:rPr>
          <w:rFonts w:cs="Arial"/>
          <w:sz w:val="24"/>
          <w:szCs w:val="24"/>
        </w:rPr>
      </w:pPr>
      <w:r w:rsidRPr="00E269D2">
        <w:rPr>
          <w:rFonts w:cs="Arial"/>
          <w:b/>
          <w:sz w:val="24"/>
          <w:szCs w:val="24"/>
        </w:rPr>
        <w:t>State of Idaho- HOME and HTF Programs</w:t>
      </w:r>
    </w:p>
    <w:p w14:paraId="3A8CBD46" w14:textId="7C115319" w:rsidR="009A2C2E" w:rsidRPr="00E269D2" w:rsidRDefault="009A2C2E" w:rsidP="00E269D2">
      <w:pPr>
        <w:spacing w:beforeAutospacing="1" w:afterAutospacing="1"/>
        <w:jc w:val="both"/>
        <w:rPr>
          <w:rFonts w:cs="Arial"/>
          <w:sz w:val="24"/>
          <w:szCs w:val="24"/>
        </w:rPr>
      </w:pPr>
      <w:r w:rsidRPr="00E269D2">
        <w:rPr>
          <w:rFonts w:cs="Arial"/>
          <w:sz w:val="24"/>
          <w:szCs w:val="24"/>
        </w:rPr>
        <w:t xml:space="preserve">The Strategic Plan identifies Idaho's affordable housing goals and community development needs, as well as the strategies and resources used to help address the priority needs as identified herein. </w:t>
      </w:r>
      <w:r w:rsidR="00896D66" w:rsidRPr="00E269D2">
        <w:rPr>
          <w:rFonts w:cs="Arial"/>
          <w:sz w:val="24"/>
          <w:szCs w:val="24"/>
        </w:rPr>
        <w:t xml:space="preserve">Idaho Housing and Finance Association (IHFA) </w:t>
      </w:r>
      <w:r w:rsidRPr="00E269D2">
        <w:rPr>
          <w:rFonts w:cs="Arial"/>
          <w:sz w:val="24"/>
          <w:szCs w:val="24"/>
        </w:rPr>
        <w:t xml:space="preserve">and </w:t>
      </w:r>
      <w:r w:rsidR="00896D66" w:rsidRPr="00E269D2">
        <w:rPr>
          <w:rFonts w:cs="Arial"/>
          <w:sz w:val="24"/>
          <w:szCs w:val="24"/>
        </w:rPr>
        <w:t>Idaho Department of Commerce (</w:t>
      </w:r>
      <w:r w:rsidRPr="00E269D2">
        <w:rPr>
          <w:rFonts w:cs="Arial"/>
          <w:sz w:val="24"/>
          <w:szCs w:val="24"/>
        </w:rPr>
        <w:t>IDC</w:t>
      </w:r>
      <w:r w:rsidR="00896D66" w:rsidRPr="00E269D2">
        <w:rPr>
          <w:rFonts w:cs="Arial"/>
          <w:sz w:val="24"/>
          <w:szCs w:val="24"/>
        </w:rPr>
        <w:t>)</w:t>
      </w:r>
      <w:r w:rsidRPr="00E269D2">
        <w:rPr>
          <w:rFonts w:cs="Arial"/>
          <w:sz w:val="24"/>
          <w:szCs w:val="24"/>
        </w:rPr>
        <w:t xml:space="preserve"> conducted statewide affordable housing and community development surveys, inviting stakeholders and the public to help identify needs at the local level.  In addition, IHFA commissioned a </w:t>
      </w:r>
      <w:r w:rsidRPr="00E269D2">
        <w:rPr>
          <w:rFonts w:cs="Arial"/>
          <w:i/>
          <w:sz w:val="24"/>
          <w:szCs w:val="24"/>
        </w:rPr>
        <w:t>2024 Idaho County-Level Housing &amp; Demographic Data Report</w:t>
      </w:r>
      <w:r w:rsidRPr="00E269D2">
        <w:rPr>
          <w:rFonts w:cs="Arial"/>
          <w:sz w:val="24"/>
          <w:szCs w:val="24"/>
        </w:rPr>
        <w:t xml:space="preserve">.  This report provides information regarding housing affordability, income and income levels, types of housing available, and wage gaps in Idaho’s </w:t>
      </w:r>
      <w:r w:rsidR="1E1EAE52" w:rsidRPr="00E269D2">
        <w:rPr>
          <w:rFonts w:cs="Arial"/>
          <w:sz w:val="24"/>
          <w:szCs w:val="24"/>
        </w:rPr>
        <w:t>forty-four (</w:t>
      </w:r>
      <w:r w:rsidRPr="00E269D2">
        <w:rPr>
          <w:rFonts w:cs="Arial"/>
          <w:sz w:val="24"/>
          <w:szCs w:val="24"/>
        </w:rPr>
        <w:t>44</w:t>
      </w:r>
      <w:r w:rsidR="1E1EAE52" w:rsidRPr="00E269D2">
        <w:rPr>
          <w:rFonts w:cs="Arial"/>
          <w:sz w:val="24"/>
          <w:szCs w:val="24"/>
        </w:rPr>
        <w:t>)</w:t>
      </w:r>
      <w:r w:rsidRPr="00E269D2">
        <w:rPr>
          <w:rFonts w:cs="Arial"/>
          <w:sz w:val="24"/>
          <w:szCs w:val="24"/>
        </w:rPr>
        <w:t xml:space="preserve"> counties, as well as a statewide overview.  IHFA used this report to help inform the affordable housing needs assessment, market analysis, goals and strategies.</w:t>
      </w:r>
    </w:p>
    <w:p w14:paraId="4EC973E0" w14:textId="77777777" w:rsidR="00312541" w:rsidRDefault="009A2C2E" w:rsidP="00E269D2">
      <w:pPr>
        <w:spacing w:beforeAutospacing="1" w:afterAutospacing="1"/>
        <w:jc w:val="both"/>
        <w:rPr>
          <w:rFonts w:cs="Arial"/>
          <w:sz w:val="24"/>
          <w:szCs w:val="24"/>
        </w:rPr>
      </w:pPr>
      <w:r w:rsidRPr="00E269D2">
        <w:rPr>
          <w:rFonts w:cs="Arial"/>
          <w:sz w:val="24"/>
          <w:szCs w:val="24"/>
        </w:rPr>
        <w:t xml:space="preserve">The State of Idaho </w:t>
      </w:r>
      <w:r w:rsidR="00A10CF5">
        <w:rPr>
          <w:rFonts w:cs="Arial"/>
          <w:sz w:val="24"/>
          <w:szCs w:val="24"/>
        </w:rPr>
        <w:t xml:space="preserve">has </w:t>
      </w:r>
      <w:r w:rsidR="008D00A7">
        <w:rPr>
          <w:rFonts w:cs="Arial"/>
          <w:sz w:val="24"/>
          <w:szCs w:val="24"/>
        </w:rPr>
        <w:t xml:space="preserve">four </w:t>
      </w:r>
      <w:r w:rsidRPr="00E269D2">
        <w:rPr>
          <w:rFonts w:cs="Arial"/>
          <w:sz w:val="24"/>
          <w:szCs w:val="24"/>
        </w:rPr>
        <w:t xml:space="preserve">Metropolitan Statistical </w:t>
      </w:r>
      <w:r w:rsidR="238127C0" w:rsidRPr="00E269D2">
        <w:rPr>
          <w:rFonts w:cs="Arial"/>
          <w:sz w:val="24"/>
          <w:szCs w:val="24"/>
        </w:rPr>
        <w:t>A</w:t>
      </w:r>
      <w:r w:rsidR="7B270814" w:rsidRPr="00E269D2">
        <w:rPr>
          <w:rFonts w:cs="Arial"/>
          <w:sz w:val="24"/>
          <w:szCs w:val="24"/>
        </w:rPr>
        <w:t>reas</w:t>
      </w:r>
      <w:r w:rsidRPr="00E269D2">
        <w:rPr>
          <w:rFonts w:cs="Arial"/>
          <w:sz w:val="24"/>
          <w:szCs w:val="24"/>
        </w:rPr>
        <w:t xml:space="preserve"> (MSA) that are contained entirely within the State's boundaries. </w:t>
      </w:r>
      <w:r w:rsidR="000D5A30">
        <w:rPr>
          <w:rFonts w:cs="Arial"/>
          <w:sz w:val="24"/>
          <w:szCs w:val="24"/>
        </w:rPr>
        <w:t>(T</w:t>
      </w:r>
      <w:r w:rsidRPr="00E269D2">
        <w:rPr>
          <w:rFonts w:cs="Arial"/>
          <w:sz w:val="24"/>
          <w:szCs w:val="24"/>
        </w:rPr>
        <w:t xml:space="preserve">here are additional MSA's that have shared boundaries with the states of Washington and Utah). </w:t>
      </w:r>
      <w:r w:rsidR="00712AAD" w:rsidRPr="00712AAD">
        <w:rPr>
          <w:rFonts w:ascii="Roboto" w:hAnsi="Roboto"/>
          <w:color w:val="333333"/>
          <w:sz w:val="27"/>
          <w:szCs w:val="27"/>
          <w:shd w:val="clear" w:color="auto" w:fill="FFFFFF"/>
        </w:rPr>
        <w:t xml:space="preserve"> </w:t>
      </w:r>
      <w:r w:rsidR="00712AAD" w:rsidRPr="00712AAD">
        <w:rPr>
          <w:rFonts w:cs="Arial"/>
          <w:sz w:val="24"/>
          <w:szCs w:val="24"/>
        </w:rPr>
        <w:t>To qualify as an urban area</w:t>
      </w:r>
      <w:r w:rsidR="00712AAD">
        <w:rPr>
          <w:rFonts w:cs="Arial"/>
          <w:sz w:val="24"/>
          <w:szCs w:val="24"/>
        </w:rPr>
        <w:t xml:space="preserve"> under census guidelines</w:t>
      </w:r>
      <w:r w:rsidR="00712AAD" w:rsidRPr="00712AAD">
        <w:rPr>
          <w:rFonts w:cs="Arial"/>
          <w:sz w:val="24"/>
          <w:szCs w:val="24"/>
        </w:rPr>
        <w:t xml:space="preserve">, </w:t>
      </w:r>
      <w:r w:rsidR="00712AAD">
        <w:rPr>
          <w:rFonts w:cs="Arial"/>
          <w:sz w:val="24"/>
          <w:szCs w:val="24"/>
        </w:rPr>
        <w:t xml:space="preserve">an area </w:t>
      </w:r>
      <w:r w:rsidR="00712AAD" w:rsidRPr="00712AAD">
        <w:rPr>
          <w:rFonts w:cs="Arial"/>
          <w:sz w:val="24"/>
          <w:szCs w:val="24"/>
        </w:rPr>
        <w:t>must encompass at least 2,000 housing units or have a population of at least 5,000.</w:t>
      </w:r>
      <w:r w:rsidR="00712AAD">
        <w:rPr>
          <w:rFonts w:cs="Arial"/>
          <w:sz w:val="24"/>
          <w:szCs w:val="24"/>
        </w:rPr>
        <w:t xml:space="preserve"> </w:t>
      </w:r>
      <w:r w:rsidR="00312541">
        <w:rPr>
          <w:rFonts w:cs="Arial"/>
          <w:sz w:val="24"/>
          <w:szCs w:val="24"/>
        </w:rPr>
        <w:t xml:space="preserve">Just under 40 of the State’s 234 cities have populations exceeding 5,000 people. </w:t>
      </w:r>
      <w:r w:rsidR="00712AAD">
        <w:rPr>
          <w:rFonts w:cs="Arial"/>
          <w:sz w:val="24"/>
          <w:szCs w:val="24"/>
        </w:rPr>
        <w:t>Areas under these thresholds are considered rural</w:t>
      </w:r>
      <w:r w:rsidR="00312541">
        <w:rPr>
          <w:rFonts w:cs="Arial"/>
          <w:sz w:val="24"/>
          <w:szCs w:val="24"/>
        </w:rPr>
        <w:t>.</w:t>
      </w:r>
      <w:r w:rsidR="00C5653A">
        <w:rPr>
          <w:rFonts w:cs="Arial"/>
          <w:sz w:val="24"/>
          <w:szCs w:val="24"/>
        </w:rPr>
        <w:t xml:space="preserve"> </w:t>
      </w:r>
    </w:p>
    <w:p w14:paraId="4445FE8C" w14:textId="53BB2D66" w:rsidR="009A2C2E" w:rsidRPr="00E269D2" w:rsidRDefault="009A2C2E" w:rsidP="00E269D2">
      <w:pPr>
        <w:spacing w:beforeAutospacing="1" w:afterAutospacing="1"/>
        <w:jc w:val="both"/>
        <w:rPr>
          <w:rFonts w:cs="Arial"/>
          <w:sz w:val="24"/>
          <w:szCs w:val="24"/>
        </w:rPr>
      </w:pPr>
      <w:r w:rsidRPr="00E269D2">
        <w:rPr>
          <w:rFonts w:cs="Arial"/>
          <w:sz w:val="24"/>
          <w:szCs w:val="24"/>
        </w:rPr>
        <w:t xml:space="preserve">The geographical makeup includes two major mountain ranges, five major river systems, </w:t>
      </w:r>
      <w:r w:rsidR="1DF03D00" w:rsidRPr="00E269D2">
        <w:rPr>
          <w:rFonts w:cs="Arial"/>
          <w:sz w:val="24"/>
          <w:szCs w:val="24"/>
        </w:rPr>
        <w:t>forty-four (</w:t>
      </w:r>
      <w:r w:rsidRPr="00E269D2">
        <w:rPr>
          <w:rFonts w:cs="Arial"/>
          <w:sz w:val="24"/>
          <w:szCs w:val="24"/>
        </w:rPr>
        <w:t>44</w:t>
      </w:r>
      <w:r w:rsidR="12925F9D" w:rsidRPr="00E269D2">
        <w:rPr>
          <w:rFonts w:cs="Arial"/>
          <w:sz w:val="24"/>
          <w:szCs w:val="24"/>
        </w:rPr>
        <w:t>)</w:t>
      </w:r>
      <w:r w:rsidRPr="00E269D2">
        <w:rPr>
          <w:rFonts w:cs="Arial"/>
          <w:sz w:val="24"/>
          <w:szCs w:val="24"/>
        </w:rPr>
        <w:t xml:space="preserve"> counties, all of which create a unique set of barriers and challenges to the delivery of goods and services.  It also creates a challenge when prioritizing affordable housing and homeless needs. The City of Boise is the only HOME Entitlement Community in the state, receiving its own allocation of HOME funds.  There are no </w:t>
      </w:r>
      <w:r w:rsidR="00896D66" w:rsidRPr="00E269D2">
        <w:rPr>
          <w:rFonts w:cs="Arial"/>
          <w:sz w:val="24"/>
          <w:szCs w:val="24"/>
        </w:rPr>
        <w:t>Housing Trust Fund (</w:t>
      </w:r>
      <w:r w:rsidRPr="00E269D2">
        <w:rPr>
          <w:rFonts w:cs="Arial"/>
          <w:sz w:val="24"/>
          <w:szCs w:val="24"/>
        </w:rPr>
        <w:t>HTF</w:t>
      </w:r>
      <w:r w:rsidR="00896D66" w:rsidRPr="00E269D2">
        <w:rPr>
          <w:rFonts w:cs="Arial"/>
          <w:sz w:val="24"/>
          <w:szCs w:val="24"/>
        </w:rPr>
        <w:t>)</w:t>
      </w:r>
      <w:r w:rsidRPr="00E269D2">
        <w:rPr>
          <w:rFonts w:cs="Arial"/>
          <w:sz w:val="24"/>
          <w:szCs w:val="24"/>
        </w:rPr>
        <w:t xml:space="preserve"> Entitlement Communities.  IHFA administers both programs for the non-entitlement areas of Idaho.</w:t>
      </w:r>
    </w:p>
    <w:p w14:paraId="4C430BB6" w14:textId="198C6E49" w:rsidR="009A2C2E" w:rsidRPr="00E269D2" w:rsidRDefault="009A2C2E" w:rsidP="00E269D2">
      <w:pPr>
        <w:spacing w:beforeAutospacing="1" w:afterAutospacing="1"/>
        <w:jc w:val="both"/>
        <w:rPr>
          <w:rFonts w:cs="Arial"/>
          <w:sz w:val="24"/>
          <w:szCs w:val="24"/>
        </w:rPr>
      </w:pPr>
      <w:r w:rsidRPr="00E269D2">
        <w:rPr>
          <w:rFonts w:cs="Arial"/>
          <w:sz w:val="24"/>
          <w:szCs w:val="24"/>
        </w:rPr>
        <w:t xml:space="preserve">Each five years, IHFA and IDC create a Fair Housing Assessment for Idaho’s non-entitlement areas. The </w:t>
      </w:r>
      <w:r w:rsidR="00AF6805" w:rsidRPr="00E269D2">
        <w:rPr>
          <w:rFonts w:cs="Arial"/>
          <w:sz w:val="24"/>
          <w:szCs w:val="24"/>
        </w:rPr>
        <w:t xml:space="preserve">2022-2027 </w:t>
      </w:r>
      <w:r w:rsidRPr="00E269D2">
        <w:rPr>
          <w:rFonts w:cs="Arial"/>
          <w:sz w:val="24"/>
          <w:szCs w:val="24"/>
        </w:rPr>
        <w:t>assessment is available online. This plan includes the most current assessment of Idaho’s barriers to affordable housing and community development needs, as well as current strategies and anticipated outcomes.</w:t>
      </w:r>
    </w:p>
    <w:p w14:paraId="43253091" w14:textId="2081EE5C" w:rsidR="009A2C2E" w:rsidRPr="00E269D2" w:rsidRDefault="009A2C2E" w:rsidP="00312541">
      <w:pPr>
        <w:spacing w:before="100" w:beforeAutospacing="1" w:after="100" w:afterAutospacing="1"/>
        <w:jc w:val="both"/>
        <w:rPr>
          <w:rFonts w:cs="Arial"/>
          <w:sz w:val="24"/>
          <w:szCs w:val="24"/>
        </w:rPr>
      </w:pPr>
      <w:r w:rsidRPr="00E269D2">
        <w:rPr>
          <w:rFonts w:cs="Arial"/>
          <w:sz w:val="24"/>
          <w:szCs w:val="24"/>
        </w:rPr>
        <w:t xml:space="preserve">Additional information regarding lead-based paint hazard reduction programs, program monitoring, institutional delivery structure, public housing under IHFA’s jurisdiction in Idaho’s non-entitlement areas, geographic priorities, </w:t>
      </w:r>
      <w:r w:rsidR="0B604477" w:rsidRPr="00E269D2">
        <w:rPr>
          <w:rFonts w:cs="Arial"/>
          <w:sz w:val="24"/>
          <w:szCs w:val="24"/>
        </w:rPr>
        <w:t>h</w:t>
      </w:r>
      <w:r w:rsidR="7B270814" w:rsidRPr="00E269D2">
        <w:rPr>
          <w:rFonts w:cs="Arial"/>
          <w:sz w:val="24"/>
          <w:szCs w:val="24"/>
        </w:rPr>
        <w:t>omelessness</w:t>
      </w:r>
      <w:r w:rsidRPr="00E269D2">
        <w:rPr>
          <w:rFonts w:cs="Arial"/>
          <w:sz w:val="24"/>
          <w:szCs w:val="24"/>
        </w:rPr>
        <w:t xml:space="preserve"> strategies, and IHFA and IDC’s anti-poverty strategies are described in this plan.   </w:t>
      </w:r>
    </w:p>
    <w:p w14:paraId="04C4F04A" w14:textId="77777777" w:rsidR="009A2C2E" w:rsidRPr="00E269D2" w:rsidRDefault="009A2C2E" w:rsidP="00E269D2">
      <w:pPr>
        <w:jc w:val="both"/>
        <w:rPr>
          <w:sz w:val="24"/>
          <w:szCs w:val="24"/>
        </w:rPr>
      </w:pPr>
      <w:r w:rsidRPr="00E269D2">
        <w:rPr>
          <w:rFonts w:cs="Arial"/>
          <w:b/>
          <w:sz w:val="24"/>
          <w:szCs w:val="24"/>
        </w:rPr>
        <w:lastRenderedPageBreak/>
        <w:t>State of Idaho-CDBG Program</w:t>
      </w:r>
    </w:p>
    <w:p w14:paraId="1242F08C" w14:textId="70D6AD3A" w:rsidR="009A2C2E" w:rsidRPr="00E269D2" w:rsidRDefault="00896D66" w:rsidP="00E269D2">
      <w:pPr>
        <w:spacing w:beforeAutospacing="1" w:afterAutospacing="1"/>
        <w:jc w:val="both"/>
        <w:rPr>
          <w:rFonts w:cs="Arial"/>
          <w:sz w:val="24"/>
          <w:szCs w:val="24"/>
        </w:rPr>
      </w:pPr>
      <w:r w:rsidRPr="00E269D2">
        <w:rPr>
          <w:sz w:val="24"/>
          <w:szCs w:val="24"/>
        </w:rPr>
        <w:t xml:space="preserve">Idaho Department of </w:t>
      </w:r>
      <w:r w:rsidR="009A2C2E" w:rsidRPr="00E269D2">
        <w:rPr>
          <w:sz w:val="24"/>
          <w:szCs w:val="24"/>
        </w:rPr>
        <w:t xml:space="preserve">Commerce will not target </w:t>
      </w:r>
      <w:r w:rsidR="7D26657E" w:rsidRPr="00E269D2">
        <w:rPr>
          <w:sz w:val="24"/>
          <w:szCs w:val="24"/>
        </w:rPr>
        <w:t xml:space="preserve">Community Development Block Grant </w:t>
      </w:r>
      <w:r w:rsidR="7A4450A9" w:rsidRPr="00E269D2">
        <w:rPr>
          <w:sz w:val="24"/>
          <w:szCs w:val="24"/>
        </w:rPr>
        <w:t>(</w:t>
      </w:r>
      <w:r w:rsidR="009A2C2E" w:rsidRPr="00E269D2">
        <w:rPr>
          <w:sz w:val="24"/>
          <w:szCs w:val="24"/>
        </w:rPr>
        <w:t>CDBG</w:t>
      </w:r>
      <w:r w:rsidR="0EF32C35" w:rsidRPr="00E269D2">
        <w:rPr>
          <w:sz w:val="24"/>
          <w:szCs w:val="24"/>
        </w:rPr>
        <w:t>)</w:t>
      </w:r>
      <w:r w:rsidR="009A2C2E" w:rsidRPr="00E269D2">
        <w:rPr>
          <w:sz w:val="24"/>
          <w:szCs w:val="24"/>
        </w:rPr>
        <w:t xml:space="preserve"> funds </w:t>
      </w:r>
      <w:proofErr w:type="gramStart"/>
      <w:r w:rsidR="009A2C2E" w:rsidRPr="00E269D2">
        <w:rPr>
          <w:sz w:val="24"/>
          <w:szCs w:val="24"/>
        </w:rPr>
        <w:t>geographically, but</w:t>
      </w:r>
      <w:proofErr w:type="gramEnd"/>
      <w:r w:rsidR="009A2C2E" w:rsidRPr="00E269D2">
        <w:rPr>
          <w:sz w:val="24"/>
          <w:szCs w:val="24"/>
        </w:rPr>
        <w:t xml:space="preserve"> will ensure at least 70% of the CDBG funds will benefit low-to-moderate income </w:t>
      </w:r>
      <w:proofErr w:type="gramStart"/>
      <w:r w:rsidR="009A2C2E" w:rsidRPr="00E269D2">
        <w:rPr>
          <w:sz w:val="24"/>
          <w:szCs w:val="24"/>
        </w:rPr>
        <w:t>persons</w:t>
      </w:r>
      <w:proofErr w:type="gramEnd"/>
      <w:r w:rsidR="009A2C2E" w:rsidRPr="00E269D2">
        <w:rPr>
          <w:sz w:val="24"/>
          <w:szCs w:val="24"/>
        </w:rPr>
        <w:t xml:space="preserve"> in whatever eligible geographic area they reside.   </w:t>
      </w:r>
    </w:p>
    <w:p w14:paraId="2D12DE09" w14:textId="77777777" w:rsidR="009A2C2E" w:rsidRPr="00E269D2" w:rsidRDefault="009A2C2E" w:rsidP="00E269D2">
      <w:pPr>
        <w:spacing w:beforeAutospacing="1" w:afterAutospacing="1"/>
        <w:jc w:val="both"/>
        <w:rPr>
          <w:rFonts w:cs="Arial"/>
          <w:sz w:val="24"/>
          <w:szCs w:val="24"/>
        </w:rPr>
      </w:pPr>
      <w:r w:rsidRPr="00E269D2">
        <w:rPr>
          <w:sz w:val="24"/>
          <w:szCs w:val="24"/>
        </w:rPr>
        <w:t>The needs for the CDBG program were established by a local government survey, public hearing, and review of prior demand.   The top needs indicated are broad and include streets, sewers, public parks, community centers, and public infrastructure support for job growth.      </w:t>
      </w:r>
    </w:p>
    <w:p w14:paraId="47DCDB6E" w14:textId="23B70A84" w:rsidR="009A2C2E" w:rsidRPr="00E269D2" w:rsidRDefault="009A2C2E" w:rsidP="00E269D2">
      <w:pPr>
        <w:spacing w:beforeAutospacing="1" w:afterAutospacing="1"/>
        <w:jc w:val="both"/>
        <w:rPr>
          <w:rFonts w:cs="Arial"/>
          <w:sz w:val="24"/>
          <w:szCs w:val="24"/>
        </w:rPr>
      </w:pPr>
      <w:r w:rsidRPr="00E269D2">
        <w:rPr>
          <w:sz w:val="24"/>
          <w:szCs w:val="24"/>
        </w:rPr>
        <w:t xml:space="preserve">The CDBG delivery structure </w:t>
      </w:r>
      <w:r w:rsidR="7B270814" w:rsidRPr="00E269D2">
        <w:rPr>
          <w:sz w:val="24"/>
          <w:szCs w:val="24"/>
        </w:rPr>
        <w:t>consist</w:t>
      </w:r>
      <w:r w:rsidR="19FF80BE" w:rsidRPr="00E269D2">
        <w:rPr>
          <w:sz w:val="24"/>
          <w:szCs w:val="24"/>
        </w:rPr>
        <w:t>s</w:t>
      </w:r>
      <w:r w:rsidRPr="00E269D2">
        <w:rPr>
          <w:sz w:val="24"/>
          <w:szCs w:val="24"/>
        </w:rPr>
        <w:t xml:space="preserve"> of threshold factors; application format, submission dates, scoring criteria, and the </w:t>
      </w:r>
      <w:proofErr w:type="gramStart"/>
      <w:r w:rsidRPr="00E269D2">
        <w:rPr>
          <w:sz w:val="24"/>
          <w:szCs w:val="24"/>
        </w:rPr>
        <w:t>five funding</w:t>
      </w:r>
      <w:proofErr w:type="gramEnd"/>
      <w:r w:rsidRPr="00E269D2">
        <w:rPr>
          <w:sz w:val="24"/>
          <w:szCs w:val="24"/>
        </w:rPr>
        <w:t xml:space="preserve"> set-asides may have some slight changes made to them but they will not be significant.  </w:t>
      </w:r>
      <w:proofErr w:type="gramStart"/>
      <w:r w:rsidRPr="00E269D2">
        <w:rPr>
          <w:sz w:val="24"/>
          <w:szCs w:val="24"/>
        </w:rPr>
        <w:t>This constant,</w:t>
      </w:r>
      <w:proofErr w:type="gramEnd"/>
      <w:r w:rsidRPr="00E269D2">
        <w:rPr>
          <w:sz w:val="24"/>
          <w:szCs w:val="24"/>
        </w:rPr>
        <w:t xml:space="preserve"> keeps the process familiar and recognizable for local governments.   This is helpful since almost all local governments do not regularly submit for CDBG funds and may not have the resources to learn of a new process or procedures.  Consistency of delivery structure has kept the CDBG funds accessible. </w:t>
      </w:r>
    </w:p>
    <w:p w14:paraId="30EF8278" w14:textId="09685FA5" w:rsidR="009A2C2E" w:rsidRPr="00E269D2" w:rsidRDefault="009A2C2E" w:rsidP="00E269D2">
      <w:pPr>
        <w:spacing w:beforeAutospacing="1" w:afterAutospacing="1"/>
        <w:jc w:val="both"/>
        <w:rPr>
          <w:sz w:val="24"/>
          <w:szCs w:val="24"/>
        </w:rPr>
      </w:pPr>
      <w:proofErr w:type="gramStart"/>
      <w:r w:rsidRPr="00E269D2">
        <w:rPr>
          <w:sz w:val="24"/>
          <w:szCs w:val="24"/>
        </w:rPr>
        <w:t>Whereas,</w:t>
      </w:r>
      <w:proofErr w:type="gramEnd"/>
      <w:r w:rsidRPr="00E269D2">
        <w:rPr>
          <w:sz w:val="24"/>
          <w:szCs w:val="24"/>
        </w:rPr>
        <w:t xml:space="preserve"> Idaho local governments lack the tools necessary to generate revenue (such as a local option tax, limits on tax increases, and debt limitations) for improvements to public infrastructure and facilities they look to CDBG to help fill financial </w:t>
      </w:r>
      <w:r w:rsidR="7B270814" w:rsidRPr="00E269D2">
        <w:rPr>
          <w:sz w:val="24"/>
          <w:szCs w:val="24"/>
        </w:rPr>
        <w:t>gap</w:t>
      </w:r>
      <w:r w:rsidR="58DD638D" w:rsidRPr="00E269D2">
        <w:rPr>
          <w:sz w:val="24"/>
          <w:szCs w:val="24"/>
        </w:rPr>
        <w:t>s</w:t>
      </w:r>
      <w:r w:rsidRPr="00E269D2">
        <w:rPr>
          <w:sz w:val="24"/>
          <w:szCs w:val="24"/>
        </w:rPr>
        <w:t xml:space="preserve"> in meeting the needs of their citizens.  </w:t>
      </w:r>
    </w:p>
    <w:p w14:paraId="6F6D0F6E" w14:textId="77777777" w:rsidR="009A2C2E" w:rsidRPr="00E269D2" w:rsidRDefault="009A2C2E" w:rsidP="00E269D2">
      <w:pPr>
        <w:spacing w:beforeAutospacing="1" w:afterAutospacing="1"/>
        <w:jc w:val="both"/>
        <w:rPr>
          <w:rFonts w:cs="Arial"/>
          <w:sz w:val="24"/>
          <w:szCs w:val="24"/>
        </w:rPr>
      </w:pPr>
    </w:p>
    <w:p w14:paraId="45F5E6FF" w14:textId="77777777" w:rsidR="009A2C2E" w:rsidRPr="00E269D2" w:rsidRDefault="009A2C2E" w:rsidP="00E269D2">
      <w:pPr>
        <w:pStyle w:val="Heading2"/>
        <w:pageBreakBefore/>
        <w:jc w:val="both"/>
        <w:rPr>
          <w:rFonts w:ascii="Calibri" w:hAnsi="Calibri"/>
          <w:i/>
          <w:sz w:val="24"/>
          <w:szCs w:val="24"/>
        </w:rPr>
      </w:pPr>
      <w:bookmarkStart w:id="53" w:name="_Toc191358739"/>
      <w:bookmarkStart w:id="54" w:name="_Toc194673860"/>
      <w:r w:rsidRPr="00E269D2">
        <w:rPr>
          <w:rFonts w:ascii="Calibri" w:hAnsi="Calibri"/>
          <w:sz w:val="24"/>
          <w:szCs w:val="24"/>
        </w:rPr>
        <w:lastRenderedPageBreak/>
        <w:t>SP-10 Geographic Priorities – 91.315(a)(1)</w:t>
      </w:r>
      <w:bookmarkEnd w:id="53"/>
      <w:bookmarkEnd w:id="54"/>
    </w:p>
    <w:p w14:paraId="23E00083" w14:textId="77777777" w:rsidR="009A2C2E" w:rsidRPr="00E269D2" w:rsidRDefault="009A2C2E" w:rsidP="00E269D2">
      <w:pPr>
        <w:keepNext/>
        <w:widowControl w:val="0"/>
        <w:jc w:val="both"/>
        <w:rPr>
          <w:b/>
          <w:sz w:val="24"/>
          <w:szCs w:val="24"/>
        </w:rPr>
      </w:pPr>
      <w:r w:rsidRPr="00E269D2">
        <w:rPr>
          <w:b/>
          <w:sz w:val="24"/>
          <w:szCs w:val="24"/>
        </w:rPr>
        <w:t>Geographic Area</w:t>
      </w:r>
    </w:p>
    <w:p w14:paraId="63806519" w14:textId="77777777" w:rsidR="009A2C2E" w:rsidRPr="00E269D2" w:rsidRDefault="009A2C2E" w:rsidP="00E269D2">
      <w:pPr>
        <w:pStyle w:val="Caption"/>
        <w:jc w:val="both"/>
        <w:rPr>
          <w:rFonts w:asciiTheme="minorHAnsi" w:hAnsiTheme="minorHAnsi"/>
          <w:sz w:val="24"/>
          <w:szCs w:val="24"/>
        </w:rPr>
      </w:pPr>
      <w:r w:rsidRPr="00E269D2">
        <w:rPr>
          <w:rFonts w:asciiTheme="minorHAnsi" w:hAnsiTheme="minorHAnsi"/>
          <w:sz w:val="24"/>
          <w:szCs w:val="24"/>
        </w:rPr>
        <w:t xml:space="preserve">Table </w:t>
      </w:r>
      <w:r w:rsidRPr="00E269D2">
        <w:rPr>
          <w:rFonts w:asciiTheme="minorHAnsi" w:hAnsiTheme="minorHAnsi"/>
          <w:sz w:val="24"/>
          <w:szCs w:val="24"/>
        </w:rPr>
        <w:fldChar w:fldCharType="begin"/>
      </w:r>
      <w:r w:rsidRPr="00E269D2">
        <w:rPr>
          <w:rFonts w:asciiTheme="minorHAnsi" w:hAnsiTheme="minorHAnsi"/>
          <w:sz w:val="24"/>
          <w:szCs w:val="24"/>
        </w:rPr>
        <w:instrText xml:space="preserve"> SEQ Table \* ARABIC </w:instrText>
      </w:r>
      <w:r w:rsidRPr="00E269D2">
        <w:rPr>
          <w:rFonts w:asciiTheme="minorHAnsi" w:hAnsiTheme="minorHAnsi"/>
          <w:sz w:val="24"/>
          <w:szCs w:val="24"/>
        </w:rPr>
        <w:fldChar w:fldCharType="separate"/>
      </w:r>
      <w:r w:rsidRPr="00E269D2">
        <w:rPr>
          <w:rFonts w:asciiTheme="minorHAnsi" w:hAnsiTheme="minorHAnsi"/>
          <w:sz w:val="24"/>
          <w:szCs w:val="24"/>
        </w:rPr>
        <w:t>50</w:t>
      </w:r>
      <w:r w:rsidRPr="00E269D2">
        <w:rPr>
          <w:rFonts w:asciiTheme="minorHAnsi" w:hAnsiTheme="minorHAnsi"/>
          <w:sz w:val="24"/>
          <w:szCs w:val="24"/>
        </w:rPr>
        <w:fldChar w:fldCharType="end"/>
      </w:r>
      <w:r w:rsidRPr="00E269D2">
        <w:rPr>
          <w:rFonts w:asciiTheme="minorHAnsi" w:hAnsiTheme="minorHAnsi"/>
          <w:sz w:val="24"/>
          <w:szCs w:val="24"/>
        </w:rPr>
        <w:t xml:space="preserve"> - Geographic Priority Areas</w:t>
      </w:r>
    </w:p>
    <w:p w14:paraId="4FB3632C" w14:textId="77777777" w:rsidR="009A2C2E" w:rsidRPr="00E269D2" w:rsidRDefault="009A2C2E" w:rsidP="00E269D2">
      <w:pPr>
        <w:spacing w:after="0" w:line="240" w:lineRule="auto"/>
        <w:jc w:val="both"/>
        <w:rPr>
          <w:b/>
          <w:sz w:val="24"/>
          <w:szCs w:val="24"/>
        </w:rPr>
      </w:pPr>
    </w:p>
    <w:p w14:paraId="2FF068D3" w14:textId="77777777" w:rsidR="009A2C2E" w:rsidRPr="00E269D2" w:rsidRDefault="009A2C2E" w:rsidP="00E269D2">
      <w:pPr>
        <w:keepNext/>
        <w:widowControl w:val="0"/>
        <w:jc w:val="both"/>
        <w:rPr>
          <w:b/>
          <w:sz w:val="24"/>
          <w:szCs w:val="24"/>
        </w:rPr>
      </w:pPr>
      <w:r w:rsidRPr="00E269D2">
        <w:rPr>
          <w:b/>
          <w:sz w:val="24"/>
          <w:szCs w:val="24"/>
        </w:rPr>
        <w:t>General Allocation Priorities</w:t>
      </w:r>
    </w:p>
    <w:p w14:paraId="34F23853" w14:textId="18DF9DD5" w:rsidR="009A2C2E" w:rsidRPr="00E269D2" w:rsidRDefault="009A2C2E" w:rsidP="00E269D2">
      <w:pPr>
        <w:keepNext/>
        <w:widowControl w:val="0"/>
        <w:jc w:val="both"/>
        <w:rPr>
          <w:sz w:val="24"/>
          <w:szCs w:val="24"/>
        </w:rPr>
      </w:pPr>
      <w:r w:rsidRPr="00E269D2">
        <w:rPr>
          <w:sz w:val="24"/>
          <w:szCs w:val="24"/>
        </w:rPr>
        <w:t>Describe the basis for allocating investments geographically within the jurisdiction</w:t>
      </w:r>
      <w:r w:rsidR="02CB1140" w:rsidRPr="00E269D2">
        <w:rPr>
          <w:sz w:val="24"/>
          <w:szCs w:val="24"/>
        </w:rPr>
        <w:t>.</w:t>
      </w:r>
    </w:p>
    <w:p w14:paraId="4B67A18B" w14:textId="77777777" w:rsidR="009A2C2E" w:rsidRPr="00E269D2" w:rsidRDefault="009A2C2E" w:rsidP="00E269D2">
      <w:pPr>
        <w:spacing w:beforeAutospacing="1" w:afterAutospacing="1"/>
        <w:jc w:val="both"/>
        <w:rPr>
          <w:sz w:val="24"/>
          <w:szCs w:val="24"/>
        </w:rPr>
      </w:pPr>
      <w:r w:rsidRPr="00E269D2">
        <w:rPr>
          <w:b/>
          <w:sz w:val="24"/>
          <w:szCs w:val="24"/>
        </w:rPr>
        <w:t>HOME and HTF</w:t>
      </w:r>
    </w:p>
    <w:p w14:paraId="61AD1FB8" w14:textId="70F8726B" w:rsidR="009A2C2E" w:rsidRPr="00E269D2" w:rsidRDefault="6B404F8A" w:rsidP="00E269D2">
      <w:pPr>
        <w:spacing w:beforeAutospacing="1" w:afterAutospacing="1"/>
        <w:jc w:val="both"/>
        <w:rPr>
          <w:sz w:val="24"/>
          <w:szCs w:val="24"/>
        </w:rPr>
      </w:pPr>
      <w:r w:rsidRPr="00E269D2">
        <w:rPr>
          <w:sz w:val="24"/>
          <w:szCs w:val="24"/>
        </w:rPr>
        <w:t>Idaho Housing and Finance Association (</w:t>
      </w:r>
      <w:r w:rsidR="009A2C2E" w:rsidRPr="00E269D2">
        <w:rPr>
          <w:sz w:val="24"/>
          <w:szCs w:val="24"/>
        </w:rPr>
        <w:t>IHFA</w:t>
      </w:r>
      <w:r w:rsidR="0CEA5C0A" w:rsidRPr="00E269D2">
        <w:rPr>
          <w:sz w:val="24"/>
          <w:szCs w:val="24"/>
        </w:rPr>
        <w:t>)</w:t>
      </w:r>
      <w:r w:rsidR="009A2C2E" w:rsidRPr="00E269D2">
        <w:rPr>
          <w:sz w:val="24"/>
          <w:szCs w:val="24"/>
        </w:rPr>
        <w:t> does not award </w:t>
      </w:r>
      <w:r w:rsidR="48B3F0E9" w:rsidRPr="00E269D2">
        <w:rPr>
          <w:sz w:val="24"/>
          <w:szCs w:val="24"/>
        </w:rPr>
        <w:t>Home Investment Partnerships Program (</w:t>
      </w:r>
      <w:r w:rsidR="009A2C2E" w:rsidRPr="00E269D2">
        <w:rPr>
          <w:sz w:val="24"/>
          <w:szCs w:val="24"/>
        </w:rPr>
        <w:t>HOME</w:t>
      </w:r>
      <w:proofErr w:type="gramStart"/>
      <w:r w:rsidR="26AA8EF3" w:rsidRPr="00E269D2">
        <w:rPr>
          <w:sz w:val="24"/>
          <w:szCs w:val="24"/>
        </w:rPr>
        <w:t>)</w:t>
      </w:r>
      <w:proofErr w:type="gramEnd"/>
      <w:r w:rsidR="009A2C2E" w:rsidRPr="00E269D2">
        <w:rPr>
          <w:sz w:val="24"/>
          <w:szCs w:val="24"/>
        </w:rPr>
        <w:t xml:space="preserve"> or </w:t>
      </w:r>
      <w:r w:rsidR="6870EF94" w:rsidRPr="00E269D2">
        <w:rPr>
          <w:sz w:val="24"/>
          <w:szCs w:val="24"/>
        </w:rPr>
        <w:t>Housing Trust Fund (</w:t>
      </w:r>
      <w:r w:rsidR="009A2C2E" w:rsidRPr="00E269D2">
        <w:rPr>
          <w:sz w:val="24"/>
          <w:szCs w:val="24"/>
        </w:rPr>
        <w:t>HTF</w:t>
      </w:r>
      <w:r w:rsidR="21D78DB8" w:rsidRPr="00E269D2">
        <w:rPr>
          <w:sz w:val="24"/>
          <w:szCs w:val="24"/>
        </w:rPr>
        <w:t>)</w:t>
      </w:r>
      <w:r w:rsidR="009A2C2E" w:rsidRPr="00E269D2">
        <w:rPr>
          <w:sz w:val="24"/>
          <w:szCs w:val="24"/>
        </w:rPr>
        <w:t xml:space="preserve"> funds based on geographic distribution </w:t>
      </w:r>
      <w:proofErr w:type="gramStart"/>
      <w:r w:rsidR="009A2C2E" w:rsidRPr="00E269D2">
        <w:rPr>
          <w:sz w:val="24"/>
          <w:szCs w:val="24"/>
        </w:rPr>
        <w:t>model</w:t>
      </w:r>
      <w:proofErr w:type="gramEnd"/>
      <w:r w:rsidR="009A2C2E" w:rsidRPr="00E269D2">
        <w:rPr>
          <w:sz w:val="24"/>
          <w:szCs w:val="24"/>
        </w:rPr>
        <w:t xml:space="preserve"> or locally targeted areas.  IHFA awards these funds statewide following a published </w:t>
      </w:r>
      <w:r w:rsidR="7B270814" w:rsidRPr="00E269D2">
        <w:rPr>
          <w:sz w:val="24"/>
          <w:szCs w:val="24"/>
        </w:rPr>
        <w:t>N</w:t>
      </w:r>
      <w:r w:rsidR="37D21626" w:rsidRPr="00E269D2">
        <w:rPr>
          <w:sz w:val="24"/>
          <w:szCs w:val="24"/>
        </w:rPr>
        <w:t>otice of Funding Announcement (</w:t>
      </w:r>
      <w:r w:rsidR="009A2C2E" w:rsidRPr="00E269D2">
        <w:rPr>
          <w:sz w:val="24"/>
          <w:szCs w:val="24"/>
        </w:rPr>
        <w:t>NOFA</w:t>
      </w:r>
      <w:r w:rsidR="760FC792" w:rsidRPr="00E269D2">
        <w:rPr>
          <w:sz w:val="24"/>
          <w:szCs w:val="24"/>
        </w:rPr>
        <w:t>)</w:t>
      </w:r>
      <w:r w:rsidR="009A2C2E" w:rsidRPr="00E269D2">
        <w:rPr>
          <w:sz w:val="24"/>
          <w:szCs w:val="24"/>
        </w:rPr>
        <w:t xml:space="preserve"> or </w:t>
      </w:r>
      <w:r w:rsidR="64E2B76D" w:rsidRPr="00E269D2">
        <w:rPr>
          <w:sz w:val="24"/>
          <w:szCs w:val="24"/>
        </w:rPr>
        <w:t xml:space="preserve">Request </w:t>
      </w:r>
      <w:r w:rsidR="3041EC69" w:rsidRPr="00E269D2">
        <w:rPr>
          <w:sz w:val="24"/>
          <w:szCs w:val="24"/>
        </w:rPr>
        <w:t>f</w:t>
      </w:r>
      <w:r w:rsidR="64E2B76D" w:rsidRPr="00E269D2">
        <w:rPr>
          <w:sz w:val="24"/>
          <w:szCs w:val="24"/>
        </w:rPr>
        <w:t>or Proposal (</w:t>
      </w:r>
      <w:r w:rsidR="009A2C2E" w:rsidRPr="00E269D2">
        <w:rPr>
          <w:sz w:val="24"/>
          <w:szCs w:val="24"/>
        </w:rPr>
        <w:t>RFP</w:t>
      </w:r>
      <w:r w:rsidR="401A240F" w:rsidRPr="00E269D2">
        <w:rPr>
          <w:sz w:val="24"/>
          <w:szCs w:val="24"/>
        </w:rPr>
        <w:t>)</w:t>
      </w:r>
      <w:r w:rsidR="009A2C2E" w:rsidRPr="00E269D2">
        <w:rPr>
          <w:sz w:val="24"/>
          <w:szCs w:val="24"/>
        </w:rPr>
        <w:t xml:space="preserve"> process that includes minimum threshold and application scoring. This allows IHFA to award federal affordable housing resources to eligible recipients throughout Idaho who have illustrated a commitment to not only creating affordable housing that serves low, very-low and extremely-low</w:t>
      </w:r>
      <w:r w:rsidR="00AF6805" w:rsidRPr="00E269D2">
        <w:rPr>
          <w:sz w:val="24"/>
          <w:szCs w:val="24"/>
        </w:rPr>
        <w:t>-</w:t>
      </w:r>
      <w:r w:rsidR="009A2C2E" w:rsidRPr="00E269D2">
        <w:rPr>
          <w:sz w:val="24"/>
          <w:szCs w:val="24"/>
        </w:rPr>
        <w:t>income households, but also the ability to maintain it the long term. This also provides IHFA with maximum flexibility to allow communities in Idaho to address their own unique affordable housing priorities and needs. Each local unit of government</w:t>
      </w:r>
      <w:r w:rsidR="00D86697" w:rsidRPr="00E269D2">
        <w:rPr>
          <w:sz w:val="24"/>
          <w:szCs w:val="24"/>
        </w:rPr>
        <w:t>, receiving HUD entitlement funds,</w:t>
      </w:r>
      <w:r w:rsidR="009A2C2E" w:rsidRPr="00E269D2">
        <w:rPr>
          <w:sz w:val="24"/>
          <w:szCs w:val="24"/>
        </w:rPr>
        <w:t xml:space="preserve"> in which the rental housing is located, must have a documented commitment to affirmatively furthering fair housing. </w:t>
      </w:r>
      <w:r w:rsidR="00D86697" w:rsidRPr="00E269D2">
        <w:rPr>
          <w:sz w:val="24"/>
          <w:szCs w:val="24"/>
        </w:rPr>
        <w:t>If the community does not receive HUD entitlement funds, the developer/owner can adopt actions in conformance with IHFAs commitment to affirmatively further fair housing.</w:t>
      </w:r>
    </w:p>
    <w:p w14:paraId="1E51F459" w14:textId="77777777" w:rsidR="009A2C2E" w:rsidRPr="00E269D2" w:rsidRDefault="009A2C2E" w:rsidP="00E269D2">
      <w:pPr>
        <w:spacing w:beforeAutospacing="1" w:afterAutospacing="1"/>
        <w:jc w:val="both"/>
        <w:rPr>
          <w:sz w:val="24"/>
          <w:szCs w:val="24"/>
        </w:rPr>
      </w:pPr>
      <w:r w:rsidRPr="00E269D2">
        <w:rPr>
          <w:b/>
          <w:sz w:val="24"/>
          <w:szCs w:val="24"/>
        </w:rPr>
        <w:t>CDBG</w:t>
      </w:r>
    </w:p>
    <w:p w14:paraId="4917B4DA" w14:textId="71E26077" w:rsidR="009A2C2E" w:rsidRPr="00E269D2" w:rsidRDefault="009A2C2E" w:rsidP="00E269D2">
      <w:pPr>
        <w:spacing w:beforeAutospacing="1" w:afterAutospacing="1"/>
        <w:jc w:val="both"/>
        <w:rPr>
          <w:sz w:val="24"/>
          <w:szCs w:val="24"/>
        </w:rPr>
      </w:pPr>
      <w:r w:rsidRPr="00E269D2">
        <w:rPr>
          <w:sz w:val="24"/>
          <w:szCs w:val="24"/>
        </w:rPr>
        <w:t xml:space="preserve">Idaho </w:t>
      </w:r>
      <w:r w:rsidR="63C5249F" w:rsidRPr="00E269D2">
        <w:rPr>
          <w:sz w:val="24"/>
          <w:szCs w:val="24"/>
        </w:rPr>
        <w:t>Community Development Block Grant</w:t>
      </w:r>
      <w:r w:rsidR="701CE1EC" w:rsidRPr="00E269D2">
        <w:rPr>
          <w:sz w:val="24"/>
          <w:szCs w:val="24"/>
        </w:rPr>
        <w:t xml:space="preserve"> Program</w:t>
      </w:r>
      <w:r w:rsidR="63C5249F" w:rsidRPr="00E269D2">
        <w:rPr>
          <w:sz w:val="24"/>
          <w:szCs w:val="24"/>
        </w:rPr>
        <w:t xml:space="preserve"> (</w:t>
      </w:r>
      <w:r w:rsidRPr="00E269D2">
        <w:rPr>
          <w:sz w:val="24"/>
          <w:szCs w:val="24"/>
        </w:rPr>
        <w:t>CDBG</w:t>
      </w:r>
      <w:r w:rsidR="1E406AF0" w:rsidRPr="00E269D2">
        <w:rPr>
          <w:sz w:val="24"/>
          <w:szCs w:val="24"/>
        </w:rPr>
        <w:t>)</w:t>
      </w:r>
      <w:r w:rsidRPr="00E269D2">
        <w:rPr>
          <w:sz w:val="24"/>
          <w:szCs w:val="24"/>
        </w:rPr>
        <w:t xml:space="preserve"> does not award funds based on geographic distribution.  The State CDBG program benefits low to moderate income areas throughout the State of Idaho as required to meet HUDs national objective.</w:t>
      </w:r>
    </w:p>
    <w:p w14:paraId="2D81E3B7" w14:textId="77777777" w:rsidR="009A2C2E" w:rsidRPr="00E269D2" w:rsidRDefault="009A2C2E" w:rsidP="00E269D2">
      <w:pPr>
        <w:spacing w:beforeAutospacing="1" w:afterAutospacing="1"/>
        <w:jc w:val="both"/>
        <w:rPr>
          <w:sz w:val="24"/>
          <w:szCs w:val="24"/>
        </w:rPr>
      </w:pPr>
      <w:r w:rsidRPr="00E269D2">
        <w:rPr>
          <w:b/>
          <w:sz w:val="24"/>
          <w:szCs w:val="24"/>
        </w:rPr>
        <w:t>ESG</w:t>
      </w:r>
    </w:p>
    <w:p w14:paraId="34E49743" w14:textId="408BC68A" w:rsidR="00AF6805" w:rsidRPr="00E269D2" w:rsidRDefault="73A72A6A" w:rsidP="00E269D2">
      <w:pPr>
        <w:keepNext/>
        <w:widowControl w:val="0"/>
        <w:shd w:val="clear" w:color="auto" w:fill="FFFFFF" w:themeFill="background1"/>
        <w:spacing w:beforeAutospacing="1" w:afterAutospacing="1"/>
        <w:jc w:val="both"/>
        <w:rPr>
          <w:rFonts w:cs="Arial"/>
          <w:sz w:val="24"/>
          <w:szCs w:val="24"/>
        </w:rPr>
      </w:pPr>
      <w:r w:rsidRPr="00E269D2">
        <w:rPr>
          <w:rFonts w:cs="Arial"/>
          <w:sz w:val="24"/>
          <w:szCs w:val="24"/>
        </w:rPr>
        <w:t>Emergency Solutions Grant (ESG) f</w:t>
      </w:r>
      <w:r w:rsidR="2450818D" w:rsidRPr="00E269D2">
        <w:rPr>
          <w:rFonts w:cs="Arial"/>
          <w:sz w:val="24"/>
          <w:szCs w:val="24"/>
        </w:rPr>
        <w:t>unds</w:t>
      </w:r>
      <w:r w:rsidR="00AF6805" w:rsidRPr="00E269D2">
        <w:rPr>
          <w:rFonts w:cs="Arial"/>
          <w:sz w:val="24"/>
          <w:szCs w:val="24"/>
        </w:rPr>
        <w:t xml:space="preserve"> are distributed across the seven regions </w:t>
      </w:r>
      <w:r w:rsidR="2A312789" w:rsidRPr="00E269D2">
        <w:rPr>
          <w:rFonts w:cs="Arial"/>
          <w:sz w:val="24"/>
          <w:szCs w:val="24"/>
        </w:rPr>
        <w:t xml:space="preserve">of Idaho </w:t>
      </w:r>
      <w:r w:rsidR="00AF6805" w:rsidRPr="00E269D2">
        <w:rPr>
          <w:rFonts w:cs="Arial"/>
          <w:sz w:val="24"/>
          <w:szCs w:val="24"/>
        </w:rPr>
        <w:t xml:space="preserve">through a competitive application process, as described in AP-30. Final awards are based on a total application score, of which 20% is based on regional need. See Unique Appendices for </w:t>
      </w:r>
      <w:r w:rsidR="2F8FF537" w:rsidRPr="00E269D2">
        <w:rPr>
          <w:rFonts w:cs="Arial"/>
          <w:sz w:val="24"/>
          <w:szCs w:val="24"/>
        </w:rPr>
        <w:t>a map of the regions.</w:t>
      </w:r>
    </w:p>
    <w:p w14:paraId="491E7CD1" w14:textId="60B2C277" w:rsidR="00AF6805" w:rsidRPr="00E269D2" w:rsidRDefault="00AF6805" w:rsidP="00E269D2">
      <w:pPr>
        <w:keepNext/>
        <w:widowControl w:val="0"/>
        <w:spacing w:beforeAutospacing="1" w:afterAutospacing="1"/>
        <w:rPr>
          <w:rFonts w:cs="Arial"/>
          <w:sz w:val="24"/>
          <w:szCs w:val="24"/>
        </w:rPr>
      </w:pPr>
      <w:r w:rsidRPr="00E269D2">
        <w:rPr>
          <w:rFonts w:cs="Arial"/>
          <w:sz w:val="24"/>
          <w:szCs w:val="24"/>
        </w:rPr>
        <w:t>The</w:t>
      </w:r>
      <w:r w:rsidR="2450818D" w:rsidRPr="00E269D2">
        <w:rPr>
          <w:rFonts w:cs="Arial"/>
          <w:sz w:val="24"/>
          <w:szCs w:val="24"/>
        </w:rPr>
        <w:t xml:space="preserve"> </w:t>
      </w:r>
      <w:r w:rsidR="3309BF6B" w:rsidRPr="00E269D2">
        <w:rPr>
          <w:rFonts w:cs="Arial"/>
          <w:sz w:val="24"/>
          <w:szCs w:val="24"/>
        </w:rPr>
        <w:t>ESG</w:t>
      </w:r>
      <w:r w:rsidRPr="00E269D2">
        <w:rPr>
          <w:rFonts w:cs="Arial"/>
          <w:sz w:val="24"/>
          <w:szCs w:val="24"/>
        </w:rPr>
        <w:t xml:space="preserve"> regional need formula is calculated using four, equally weighted factors: </w:t>
      </w:r>
      <w:r w:rsidRPr="00E269D2">
        <w:rPr>
          <w:sz w:val="24"/>
          <w:szCs w:val="24"/>
        </w:rPr>
        <w:br/>
      </w:r>
      <w:r w:rsidRPr="00E269D2">
        <w:rPr>
          <w:rFonts w:cs="Arial"/>
          <w:sz w:val="24"/>
          <w:szCs w:val="24"/>
        </w:rPr>
        <w:t xml:space="preserve"> • Percentage of Idaho population </w:t>
      </w:r>
      <w:r w:rsidRPr="00E269D2">
        <w:rPr>
          <w:sz w:val="24"/>
          <w:szCs w:val="24"/>
        </w:rPr>
        <w:br/>
      </w:r>
      <w:r w:rsidRPr="00E269D2">
        <w:rPr>
          <w:rFonts w:cs="Arial"/>
          <w:sz w:val="24"/>
          <w:szCs w:val="24"/>
        </w:rPr>
        <w:lastRenderedPageBreak/>
        <w:t xml:space="preserve"> • Median rent-to-income ratio</w:t>
      </w:r>
      <w:r w:rsidRPr="00E269D2">
        <w:rPr>
          <w:sz w:val="24"/>
          <w:szCs w:val="24"/>
        </w:rPr>
        <w:br/>
      </w:r>
      <w:r w:rsidRPr="00E269D2">
        <w:rPr>
          <w:rFonts w:cs="Arial"/>
          <w:sz w:val="24"/>
          <w:szCs w:val="24"/>
        </w:rPr>
        <w:t xml:space="preserve"> • Percentage of population at or below poverty level</w:t>
      </w:r>
      <w:r w:rsidRPr="00E269D2">
        <w:rPr>
          <w:sz w:val="24"/>
          <w:szCs w:val="24"/>
        </w:rPr>
        <w:br/>
      </w:r>
      <w:r w:rsidRPr="00E269D2">
        <w:rPr>
          <w:rFonts w:cs="Arial"/>
          <w:sz w:val="24"/>
          <w:szCs w:val="24"/>
        </w:rPr>
        <w:t xml:space="preserve"> • Number of individuals experiencing homelessness</w:t>
      </w:r>
    </w:p>
    <w:p w14:paraId="352E5DEE" w14:textId="3AD6216B" w:rsidR="00AF6805" w:rsidRPr="00E269D2" w:rsidRDefault="00AF6805" w:rsidP="00E269D2">
      <w:pPr>
        <w:keepNext/>
        <w:widowControl w:val="0"/>
        <w:spacing w:beforeAutospacing="1" w:afterAutospacing="1"/>
        <w:rPr>
          <w:rFonts w:cs="Arial"/>
          <w:sz w:val="24"/>
          <w:szCs w:val="24"/>
        </w:rPr>
      </w:pPr>
      <w:r w:rsidRPr="00E269D2">
        <w:rPr>
          <w:rFonts w:cs="Arial"/>
          <w:sz w:val="24"/>
          <w:szCs w:val="24"/>
        </w:rPr>
        <w:t xml:space="preserve">The usage of this formula currently reveals the following need break-down (minus IHFA </w:t>
      </w:r>
      <w:r w:rsidR="2450818D" w:rsidRPr="00E269D2">
        <w:rPr>
          <w:rFonts w:cs="Arial"/>
          <w:sz w:val="24"/>
          <w:szCs w:val="24"/>
        </w:rPr>
        <w:t>admin</w:t>
      </w:r>
      <w:r w:rsidR="3ECA7436" w:rsidRPr="00E269D2">
        <w:rPr>
          <w:rFonts w:cs="Arial"/>
          <w:sz w:val="24"/>
          <w:szCs w:val="24"/>
        </w:rPr>
        <w:t>istrative funds</w:t>
      </w:r>
      <w:r w:rsidRPr="00E269D2">
        <w:rPr>
          <w:rFonts w:cs="Arial"/>
          <w:sz w:val="24"/>
          <w:szCs w:val="24"/>
        </w:rPr>
        <w:t>):</w:t>
      </w:r>
      <w:r w:rsidRPr="00E269D2">
        <w:rPr>
          <w:sz w:val="24"/>
          <w:szCs w:val="24"/>
        </w:rPr>
        <w:br/>
      </w:r>
      <w:r w:rsidRPr="00E269D2">
        <w:rPr>
          <w:rFonts w:cs="Arial"/>
          <w:sz w:val="24"/>
          <w:szCs w:val="24"/>
        </w:rPr>
        <w:t xml:space="preserve"> Region 1: 16% </w:t>
      </w:r>
      <w:r w:rsidRPr="00E269D2">
        <w:rPr>
          <w:sz w:val="24"/>
          <w:szCs w:val="24"/>
        </w:rPr>
        <w:br/>
      </w:r>
      <w:r w:rsidRPr="00E269D2">
        <w:rPr>
          <w:rFonts w:cs="Arial"/>
          <w:sz w:val="24"/>
          <w:szCs w:val="24"/>
        </w:rPr>
        <w:t xml:space="preserve"> Region 2: 10% </w:t>
      </w:r>
      <w:r w:rsidRPr="00E269D2">
        <w:rPr>
          <w:sz w:val="24"/>
          <w:szCs w:val="24"/>
        </w:rPr>
        <w:br/>
      </w:r>
      <w:r w:rsidRPr="00E269D2">
        <w:rPr>
          <w:rFonts w:cs="Arial"/>
          <w:sz w:val="24"/>
          <w:szCs w:val="24"/>
        </w:rPr>
        <w:t xml:space="preserve"> Region 3: 18% </w:t>
      </w:r>
      <w:r w:rsidRPr="00E269D2">
        <w:rPr>
          <w:sz w:val="24"/>
          <w:szCs w:val="24"/>
        </w:rPr>
        <w:br/>
      </w:r>
      <w:r w:rsidRPr="00E269D2">
        <w:rPr>
          <w:rFonts w:cs="Arial"/>
          <w:sz w:val="24"/>
          <w:szCs w:val="24"/>
        </w:rPr>
        <w:t xml:space="preserve"> Region 4: 3% </w:t>
      </w:r>
      <w:r w:rsidRPr="00E269D2">
        <w:rPr>
          <w:sz w:val="24"/>
          <w:szCs w:val="24"/>
        </w:rPr>
        <w:br/>
      </w:r>
      <w:r w:rsidRPr="00E269D2">
        <w:rPr>
          <w:rFonts w:cs="Arial"/>
          <w:sz w:val="24"/>
          <w:szCs w:val="24"/>
        </w:rPr>
        <w:t xml:space="preserve"> Region 5: 15% </w:t>
      </w:r>
      <w:r w:rsidRPr="00E269D2">
        <w:rPr>
          <w:sz w:val="24"/>
          <w:szCs w:val="24"/>
        </w:rPr>
        <w:br/>
      </w:r>
      <w:r w:rsidRPr="00E269D2">
        <w:rPr>
          <w:rFonts w:cs="Arial"/>
          <w:sz w:val="24"/>
          <w:szCs w:val="24"/>
        </w:rPr>
        <w:t xml:space="preserve"> Region 6: 3% </w:t>
      </w:r>
      <w:r w:rsidRPr="00E269D2">
        <w:rPr>
          <w:sz w:val="24"/>
          <w:szCs w:val="24"/>
        </w:rPr>
        <w:br/>
      </w:r>
      <w:r w:rsidRPr="00E269D2">
        <w:rPr>
          <w:rFonts w:cs="Arial"/>
          <w:sz w:val="24"/>
          <w:szCs w:val="24"/>
        </w:rPr>
        <w:t xml:space="preserve"> Region 7: 20%</w:t>
      </w:r>
    </w:p>
    <w:p w14:paraId="525EDB3C" w14:textId="4ED63639" w:rsidR="00AF6805" w:rsidRPr="00E269D2" w:rsidRDefault="00AF6805" w:rsidP="00E269D2">
      <w:pPr>
        <w:keepNext/>
        <w:widowControl w:val="0"/>
        <w:spacing w:beforeAutospacing="1" w:afterAutospacing="1"/>
        <w:jc w:val="both"/>
        <w:rPr>
          <w:rFonts w:cs="Arial"/>
          <w:sz w:val="24"/>
          <w:szCs w:val="24"/>
        </w:rPr>
      </w:pPr>
      <w:r w:rsidRPr="00E269D2">
        <w:rPr>
          <w:rFonts w:cs="Arial"/>
          <w:sz w:val="24"/>
          <w:szCs w:val="24"/>
        </w:rPr>
        <w:t>Because there are other factors considered during the award allocation, there is a slight (up to 8%) variance between the regional need and regional allocation.</w:t>
      </w:r>
    </w:p>
    <w:p w14:paraId="6F0FCBB3" w14:textId="77777777" w:rsidR="009A2C2E" w:rsidRPr="00E269D2" w:rsidRDefault="009A2C2E" w:rsidP="00E269D2">
      <w:pPr>
        <w:spacing w:after="0" w:line="240" w:lineRule="auto"/>
        <w:jc w:val="both"/>
        <w:rPr>
          <w:sz w:val="24"/>
          <w:szCs w:val="24"/>
        </w:rPr>
      </w:pPr>
    </w:p>
    <w:p w14:paraId="4C069287" w14:textId="298F7684" w:rsidR="009A2C2E" w:rsidRDefault="009A2C2E" w:rsidP="787E070B">
      <w:pPr>
        <w:spacing w:after="0" w:line="240" w:lineRule="auto"/>
        <w:rPr>
          <w:b/>
          <w:bCs/>
        </w:rPr>
      </w:pPr>
      <w:r>
        <w:rPr>
          <w:noProof/>
        </w:rPr>
        <w:drawing>
          <wp:inline distT="0" distB="0" distL="0" distR="0" wp14:anchorId="2A2B1C53" wp14:editId="18AC86A6">
            <wp:extent cx="3810000" cy="4241800"/>
            <wp:effectExtent l="0" t="0" r="0" b="0"/>
            <wp:docPr id="23" name="Picture 23" descr="A map of idaho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map of idaho with numbers&#10;&#10;Description automatically generated"/>
                    <pic:cNvPicPr/>
                  </pic:nvPicPr>
                  <pic:blipFill>
                    <a:blip r:embed="rId20"/>
                    <a:stretch>
                      <a:fillRect/>
                    </a:stretch>
                  </pic:blipFill>
                  <pic:spPr>
                    <a:xfrm>
                      <a:off x="0" y="0"/>
                      <a:ext cx="3810000" cy="4241800"/>
                    </a:xfrm>
                    <a:prstGeom prst="rect">
                      <a:avLst/>
                    </a:prstGeom>
                  </pic:spPr>
                </pic:pic>
              </a:graphicData>
            </a:graphic>
          </wp:inline>
        </w:drawing>
      </w:r>
      <w:r>
        <w:br/>
      </w:r>
      <w:r w:rsidR="0022568E" w:rsidRPr="787E070B">
        <w:rPr>
          <w:b/>
          <w:bCs/>
        </w:rPr>
        <w:t xml:space="preserve">HOME, HTF, </w:t>
      </w:r>
      <w:r w:rsidR="00312541">
        <w:rPr>
          <w:b/>
          <w:bCs/>
        </w:rPr>
        <w:t xml:space="preserve">and </w:t>
      </w:r>
      <w:r w:rsidRPr="787E070B">
        <w:rPr>
          <w:b/>
          <w:bCs/>
        </w:rPr>
        <w:t xml:space="preserve">ESG </w:t>
      </w:r>
      <w:r w:rsidR="7B270814" w:rsidRPr="098FA5AC">
        <w:rPr>
          <w:b/>
          <w:bCs/>
        </w:rPr>
        <w:t>Region</w:t>
      </w:r>
      <w:r w:rsidR="00312541">
        <w:rPr>
          <w:b/>
          <w:bCs/>
        </w:rPr>
        <w:t>s</w:t>
      </w:r>
    </w:p>
    <w:p w14:paraId="5B1473A1" w14:textId="77777777" w:rsidR="009A2C2E" w:rsidRDefault="009A2C2E" w:rsidP="009A2C2E">
      <w:pPr>
        <w:pStyle w:val="Heading2"/>
        <w:pageBreakBefore/>
        <w:rPr>
          <w:rFonts w:ascii="Calibri" w:hAnsi="Calibri"/>
          <w:i/>
        </w:rPr>
      </w:pPr>
      <w:bookmarkStart w:id="55" w:name="_Toc191358740"/>
      <w:bookmarkStart w:id="56" w:name="_Toc194673861"/>
      <w:r>
        <w:rPr>
          <w:rFonts w:ascii="Calibri" w:hAnsi="Calibri"/>
        </w:rPr>
        <w:lastRenderedPageBreak/>
        <w:t>SP-25 Priority Needs – 91.315(a)(2)</w:t>
      </w:r>
      <w:bookmarkEnd w:id="55"/>
      <w:bookmarkEnd w:id="56"/>
    </w:p>
    <w:p w14:paraId="3AA4D974" w14:textId="32CFD003" w:rsidR="009A2C2E" w:rsidRDefault="009A2C2E" w:rsidP="787E070B">
      <w:pPr>
        <w:keepNext/>
        <w:widowControl w:val="0"/>
        <w:rPr>
          <w:b/>
          <w:bCs/>
          <w:sz w:val="24"/>
          <w:szCs w:val="24"/>
        </w:rPr>
      </w:pPr>
      <w:r w:rsidRPr="787E070B">
        <w:rPr>
          <w:b/>
          <w:bCs/>
          <w:sz w:val="24"/>
          <w:szCs w:val="24"/>
        </w:rPr>
        <w:t>Priority Needs</w:t>
      </w:r>
      <w:r w:rsidR="00AF6805" w:rsidRPr="787E070B">
        <w:rPr>
          <w:b/>
          <w:bCs/>
          <w:sz w:val="24"/>
          <w:szCs w:val="24"/>
        </w:rPr>
        <w:t xml:space="preserve"> </w:t>
      </w:r>
    </w:p>
    <w:p w14:paraId="61371B8B" w14:textId="77777777" w:rsidR="009A2C2E" w:rsidRDefault="009A2C2E" w:rsidP="009A2C2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 Priority Needs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477"/>
        <w:gridCol w:w="7545"/>
      </w:tblGrid>
      <w:tr w:rsidR="009A2C2E" w14:paraId="7194C7A4" w14:textId="77777777" w:rsidTr="787E070B">
        <w:trPr>
          <w:cantSplit/>
        </w:trPr>
        <w:tc>
          <w:tcPr>
            <w:tcW w:w="0" w:type="auto"/>
            <w:vMerge w:val="restart"/>
          </w:tcPr>
          <w:p w14:paraId="1A288CA0" w14:textId="77777777" w:rsidR="009A2C2E" w:rsidRDefault="009A2C2E" w:rsidP="00E53512">
            <w:r>
              <w:rPr>
                <w:b/>
              </w:rPr>
              <w:t>1</w:t>
            </w:r>
          </w:p>
        </w:tc>
        <w:tc>
          <w:tcPr>
            <w:tcW w:w="0" w:type="auto"/>
          </w:tcPr>
          <w:p w14:paraId="20A78389" w14:textId="77777777" w:rsidR="009A2C2E" w:rsidRDefault="009A2C2E" w:rsidP="00E53512">
            <w:pPr>
              <w:keepNext/>
              <w:spacing w:before="100" w:after="0"/>
              <w:rPr>
                <w:b/>
              </w:rPr>
            </w:pPr>
            <w:r>
              <w:rPr>
                <w:b/>
              </w:rPr>
              <w:t>Priority Need Name</w:t>
            </w:r>
          </w:p>
        </w:tc>
        <w:tc>
          <w:tcPr>
            <w:tcW w:w="0" w:type="auto"/>
          </w:tcPr>
          <w:p w14:paraId="556DD517" w14:textId="77777777" w:rsidR="009A2C2E" w:rsidRDefault="009A2C2E" w:rsidP="00E53512">
            <w:pPr>
              <w:spacing w:before="100" w:after="0"/>
            </w:pPr>
            <w:bookmarkStart w:id="57" w:name="_Hlk188969007"/>
            <w:r>
              <w:rPr>
                <w:color w:val="000000"/>
              </w:rPr>
              <w:t>Create and Preserve Affordable Rental Housing</w:t>
            </w:r>
            <w:bookmarkEnd w:id="57"/>
          </w:p>
        </w:tc>
      </w:tr>
      <w:tr w:rsidR="009A2C2E" w14:paraId="2DB71589" w14:textId="77777777" w:rsidTr="787E070B">
        <w:trPr>
          <w:cantSplit/>
        </w:trPr>
        <w:tc>
          <w:tcPr>
            <w:tcW w:w="0" w:type="auto"/>
            <w:vMerge/>
          </w:tcPr>
          <w:p w14:paraId="73BBDB2E" w14:textId="77777777" w:rsidR="009A2C2E" w:rsidRDefault="009A2C2E" w:rsidP="00E53512"/>
        </w:tc>
        <w:tc>
          <w:tcPr>
            <w:tcW w:w="0" w:type="auto"/>
          </w:tcPr>
          <w:p w14:paraId="08D4769D" w14:textId="77777777" w:rsidR="009A2C2E" w:rsidRDefault="009A2C2E" w:rsidP="00E53512">
            <w:pPr>
              <w:keepNext/>
              <w:spacing w:before="100" w:after="0"/>
              <w:rPr>
                <w:b/>
              </w:rPr>
            </w:pPr>
            <w:r>
              <w:rPr>
                <w:b/>
              </w:rPr>
              <w:t>Priority Level</w:t>
            </w:r>
          </w:p>
        </w:tc>
        <w:tc>
          <w:tcPr>
            <w:tcW w:w="0" w:type="auto"/>
          </w:tcPr>
          <w:p w14:paraId="59D72519" w14:textId="77777777" w:rsidR="009A2C2E" w:rsidRDefault="009A2C2E" w:rsidP="00E53512">
            <w:pPr>
              <w:spacing w:before="100" w:after="0"/>
            </w:pPr>
            <w:r>
              <w:rPr>
                <w:color w:val="000000"/>
              </w:rPr>
              <w:t>High</w:t>
            </w:r>
          </w:p>
        </w:tc>
      </w:tr>
      <w:tr w:rsidR="009A2C2E" w14:paraId="6EA3C290" w14:textId="77777777" w:rsidTr="787E070B">
        <w:trPr>
          <w:cantSplit/>
        </w:trPr>
        <w:tc>
          <w:tcPr>
            <w:tcW w:w="0" w:type="auto"/>
            <w:vMerge/>
          </w:tcPr>
          <w:p w14:paraId="63C2005C" w14:textId="77777777" w:rsidR="009A2C2E" w:rsidRDefault="009A2C2E" w:rsidP="00E53512"/>
        </w:tc>
        <w:tc>
          <w:tcPr>
            <w:tcW w:w="0" w:type="auto"/>
          </w:tcPr>
          <w:p w14:paraId="2494B03A" w14:textId="77777777" w:rsidR="009A2C2E" w:rsidRDefault="009A2C2E" w:rsidP="00E53512">
            <w:pPr>
              <w:keepNext/>
              <w:spacing w:before="100" w:after="0"/>
              <w:rPr>
                <w:b/>
              </w:rPr>
            </w:pPr>
            <w:r>
              <w:rPr>
                <w:b/>
              </w:rPr>
              <w:t>Population</w:t>
            </w:r>
          </w:p>
        </w:tc>
        <w:tc>
          <w:tcPr>
            <w:tcW w:w="0" w:type="auto"/>
          </w:tcPr>
          <w:p w14:paraId="77395CA3" w14:textId="77777777" w:rsidR="009A2C2E" w:rsidRDefault="009A2C2E" w:rsidP="00E53512">
            <w:pPr>
              <w:spacing w:before="100" w:after="0"/>
            </w:pPr>
            <w:r>
              <w:rPr>
                <w:color w:val="000000"/>
              </w:rPr>
              <w:t>Extremely Low</w:t>
            </w:r>
            <w:r>
              <w:rPr>
                <w:color w:val="000000"/>
              </w:rPr>
              <w:br/>
              <w:t>Low</w:t>
            </w:r>
            <w:r>
              <w:rPr>
                <w:color w:val="000000"/>
              </w:rPr>
              <w:br/>
              <w:t>Elderly</w:t>
            </w:r>
            <w:r>
              <w:rPr>
                <w:color w:val="000000"/>
              </w:rPr>
              <w:br/>
              <w:t>Families with Children</w:t>
            </w:r>
            <w:r>
              <w:rPr>
                <w:color w:val="000000"/>
              </w:rPr>
              <w:br/>
              <w:t>Persons with Mental Disabilities</w:t>
            </w:r>
            <w:r>
              <w:rPr>
                <w:color w:val="000000"/>
              </w:rPr>
              <w:br/>
              <w:t>Persons with Physical Disabilities</w:t>
            </w:r>
            <w:r>
              <w:rPr>
                <w:color w:val="000000"/>
              </w:rPr>
              <w:br/>
              <w:t>Persons with Developmental Disabilities</w:t>
            </w:r>
          </w:p>
        </w:tc>
      </w:tr>
      <w:tr w:rsidR="009A2C2E" w14:paraId="5AB14ECE" w14:textId="77777777" w:rsidTr="787E070B">
        <w:trPr>
          <w:cantSplit/>
        </w:trPr>
        <w:tc>
          <w:tcPr>
            <w:tcW w:w="0" w:type="auto"/>
            <w:vMerge/>
          </w:tcPr>
          <w:p w14:paraId="1B6BF724" w14:textId="77777777" w:rsidR="009A2C2E" w:rsidRDefault="009A2C2E" w:rsidP="00E53512"/>
        </w:tc>
        <w:tc>
          <w:tcPr>
            <w:tcW w:w="0" w:type="auto"/>
          </w:tcPr>
          <w:p w14:paraId="17F4D80D" w14:textId="77777777" w:rsidR="009A2C2E" w:rsidRDefault="009A2C2E" w:rsidP="00E53512">
            <w:pPr>
              <w:keepNext/>
              <w:spacing w:before="100" w:after="0"/>
              <w:rPr>
                <w:b/>
              </w:rPr>
            </w:pPr>
            <w:r>
              <w:rPr>
                <w:b/>
              </w:rPr>
              <w:t>Geographic Areas Affected</w:t>
            </w:r>
          </w:p>
        </w:tc>
        <w:tc>
          <w:tcPr>
            <w:tcW w:w="0" w:type="auto"/>
          </w:tcPr>
          <w:p w14:paraId="27113880" w14:textId="77777777" w:rsidR="009A2C2E" w:rsidRDefault="009A2C2E" w:rsidP="00E53512">
            <w:pPr>
              <w:spacing w:before="100" w:after="0"/>
            </w:pPr>
            <w:r>
              <w:rPr>
                <w:color w:val="000000"/>
              </w:rPr>
              <w:t xml:space="preserve"> </w:t>
            </w:r>
          </w:p>
        </w:tc>
      </w:tr>
      <w:tr w:rsidR="009A2C2E" w14:paraId="58421A61" w14:textId="77777777" w:rsidTr="787E070B">
        <w:trPr>
          <w:cantSplit/>
        </w:trPr>
        <w:tc>
          <w:tcPr>
            <w:tcW w:w="0" w:type="auto"/>
            <w:vMerge/>
          </w:tcPr>
          <w:p w14:paraId="5F29198A" w14:textId="77777777" w:rsidR="009A2C2E" w:rsidRDefault="009A2C2E" w:rsidP="00E53512"/>
        </w:tc>
        <w:tc>
          <w:tcPr>
            <w:tcW w:w="0" w:type="auto"/>
          </w:tcPr>
          <w:p w14:paraId="46C5A1C4" w14:textId="77777777" w:rsidR="009A2C2E" w:rsidRDefault="009A2C2E" w:rsidP="00E53512">
            <w:pPr>
              <w:keepNext/>
              <w:spacing w:before="100" w:after="0"/>
              <w:rPr>
                <w:b/>
              </w:rPr>
            </w:pPr>
            <w:r>
              <w:rPr>
                <w:b/>
              </w:rPr>
              <w:t>Associated Goals</w:t>
            </w:r>
          </w:p>
        </w:tc>
        <w:tc>
          <w:tcPr>
            <w:tcW w:w="0" w:type="auto"/>
          </w:tcPr>
          <w:p w14:paraId="26DBC5DB" w14:textId="77777777" w:rsidR="009A2C2E" w:rsidRDefault="009A2C2E" w:rsidP="00E53512">
            <w:pPr>
              <w:spacing w:before="100" w:after="0"/>
            </w:pPr>
            <w:r>
              <w:rPr>
                <w:color w:val="000000"/>
              </w:rPr>
              <w:t>Provide Decent Affordable Housing</w:t>
            </w:r>
          </w:p>
        </w:tc>
      </w:tr>
      <w:tr w:rsidR="009A2C2E" w14:paraId="00DB584A" w14:textId="77777777" w:rsidTr="787E070B">
        <w:trPr>
          <w:cantSplit/>
        </w:trPr>
        <w:tc>
          <w:tcPr>
            <w:tcW w:w="0" w:type="auto"/>
            <w:vMerge/>
          </w:tcPr>
          <w:p w14:paraId="7AFAE170" w14:textId="77777777" w:rsidR="009A2C2E" w:rsidRDefault="009A2C2E" w:rsidP="00E53512"/>
        </w:tc>
        <w:tc>
          <w:tcPr>
            <w:tcW w:w="0" w:type="auto"/>
          </w:tcPr>
          <w:p w14:paraId="05A77C9A" w14:textId="77777777" w:rsidR="009A2C2E" w:rsidRDefault="009A2C2E" w:rsidP="787E070B">
            <w:pPr>
              <w:keepNext/>
              <w:spacing w:before="100" w:after="0"/>
              <w:rPr>
                <w:b/>
                <w:bCs/>
              </w:rPr>
            </w:pPr>
            <w:r w:rsidRPr="787E070B">
              <w:rPr>
                <w:b/>
                <w:bCs/>
              </w:rPr>
              <w:t>Description</w:t>
            </w:r>
          </w:p>
        </w:tc>
        <w:tc>
          <w:tcPr>
            <w:tcW w:w="0" w:type="auto"/>
          </w:tcPr>
          <w:p w14:paraId="0563DD9D" w14:textId="02CA67FF" w:rsidR="009A2C2E" w:rsidRDefault="009A2C2E" w:rsidP="00E53512">
            <w:pPr>
              <w:spacing w:before="100" w:after="0"/>
              <w:rPr>
                <w:color w:val="000000"/>
              </w:rPr>
            </w:pPr>
            <w:r>
              <w:rPr>
                <w:color w:val="000000"/>
              </w:rPr>
              <w:t xml:space="preserve">The 2024 Idaho Housing Needs Assessment Survey </w:t>
            </w:r>
            <w:r w:rsidR="003D336B">
              <w:rPr>
                <w:color w:val="000000"/>
              </w:rPr>
              <w:t>and community consultation i</w:t>
            </w:r>
            <w:r>
              <w:rPr>
                <w:color w:val="000000"/>
              </w:rPr>
              <w:t xml:space="preserve">dentified affordable rental housing for households with incomes at or below 80% AMI as a priority, with rental housing for households at or below 30% AMI the highest unmet need. </w:t>
            </w:r>
            <w:r w:rsidR="003D336B">
              <w:rPr>
                <w:color w:val="000000"/>
              </w:rPr>
              <w:t xml:space="preserve"> It’s estimated that only 53.9% of units are affordable to renters across all income levels with only 8.3% affordable to renters in the 0-30% AMI range, 15.8% affordable to renters in the 30-50% AMI range, and 45% affordable to renters in the 51-80% AMI range.  The 2024 Idaho County-by-County Housing &amp; Demographic data analysis revealed that incomes have not kept pace with increases in rent in a third of Idaho’s counties.  </w:t>
            </w:r>
          </w:p>
          <w:p w14:paraId="63399651" w14:textId="77777777" w:rsidR="009A2C2E" w:rsidRDefault="009A2C2E" w:rsidP="00E53512">
            <w:pPr>
              <w:spacing w:before="100" w:after="0"/>
            </w:pPr>
          </w:p>
          <w:p w14:paraId="334889CD" w14:textId="77777777" w:rsidR="009A2C2E" w:rsidRDefault="009A2C2E" w:rsidP="00E53512">
            <w:pPr>
              <w:spacing w:before="100" w:after="0"/>
            </w:pPr>
          </w:p>
        </w:tc>
      </w:tr>
      <w:tr w:rsidR="009A2C2E" w14:paraId="1DA56D42" w14:textId="77777777" w:rsidTr="787E070B">
        <w:trPr>
          <w:cantSplit/>
        </w:trPr>
        <w:tc>
          <w:tcPr>
            <w:tcW w:w="0" w:type="auto"/>
            <w:vMerge/>
          </w:tcPr>
          <w:p w14:paraId="79D6C80D" w14:textId="77777777" w:rsidR="009A2C2E" w:rsidRDefault="009A2C2E" w:rsidP="00E53512"/>
        </w:tc>
        <w:tc>
          <w:tcPr>
            <w:tcW w:w="0" w:type="auto"/>
          </w:tcPr>
          <w:p w14:paraId="3FC58B44" w14:textId="77777777" w:rsidR="009A2C2E" w:rsidRDefault="009A2C2E" w:rsidP="00E53512">
            <w:pPr>
              <w:keepNext/>
              <w:spacing w:before="100" w:after="0"/>
              <w:rPr>
                <w:b/>
              </w:rPr>
            </w:pPr>
            <w:r>
              <w:rPr>
                <w:b/>
              </w:rPr>
              <w:t>Basis for Relative Priority</w:t>
            </w:r>
          </w:p>
        </w:tc>
        <w:tc>
          <w:tcPr>
            <w:tcW w:w="0" w:type="auto"/>
          </w:tcPr>
          <w:p w14:paraId="187C8E57" w14:textId="77777777" w:rsidR="009A2C2E" w:rsidRDefault="009A2C2E" w:rsidP="00E53512">
            <w:pPr>
              <w:spacing w:before="100" w:after="0"/>
            </w:pPr>
            <w:r>
              <w:rPr>
                <w:color w:val="000000"/>
              </w:rPr>
              <w:t xml:space="preserve">The HOME program includes a Program Rule and a Project Rule.  These rules restrict the income levels of tenants occupying HOME-assisted units at initial occupancy as well as throughout the HOME period of affordability. The Program Rule require 90% of tenants in HOME-assisted housing to have incomes ≤60% AMI (Program Rule) with an additional 20% of the units housing tenants with household income at or below 50% AMI the first time the HOME-assisted unit is occupied (Project Rule). </w:t>
            </w:r>
          </w:p>
          <w:p w14:paraId="6877A303" w14:textId="77777777" w:rsidR="009A2C2E" w:rsidRDefault="009A2C2E" w:rsidP="00E53512">
            <w:pPr>
              <w:spacing w:before="100" w:after="0"/>
            </w:pPr>
            <w:r>
              <w:rPr>
                <w:color w:val="000000"/>
              </w:rPr>
              <w:t>Housing Trust Fund:</w:t>
            </w:r>
          </w:p>
          <w:p w14:paraId="50B5905E" w14:textId="7F9DEF44" w:rsidR="009A2C2E" w:rsidRDefault="009A2C2E" w:rsidP="00E53512">
            <w:pPr>
              <w:spacing w:before="100" w:after="0"/>
            </w:pPr>
            <w:r>
              <w:rPr>
                <w:color w:val="000000"/>
              </w:rPr>
              <w:t>The 2024 Idaho Housing Needs Assessment Survey and the 2024 Idaho County-by-County Housing &amp; Demographic data</w:t>
            </w:r>
            <w:r w:rsidR="003D336B">
              <w:rPr>
                <w:color w:val="000000"/>
              </w:rPr>
              <w:t xml:space="preserve"> </w:t>
            </w:r>
            <w:r>
              <w:rPr>
                <w:color w:val="000000"/>
              </w:rPr>
              <w:t>analysis have identified affordable rental housing for households at or below 30% AMI the highest unmet housing need in Idaho. Within the 0-30% AMI income level, elderly and disabled households were identified as special housing needs populations</w:t>
            </w:r>
            <w:r w:rsidR="003D336B">
              <w:rPr>
                <w:color w:val="000000"/>
              </w:rPr>
              <w:t xml:space="preserve"> with significant needs as many live on fixed incomes that do not keep pace with rising housing costs</w:t>
            </w:r>
            <w:r>
              <w:rPr>
                <w:color w:val="000000"/>
              </w:rPr>
              <w:t xml:space="preserve">. </w:t>
            </w:r>
          </w:p>
          <w:p w14:paraId="60703DAA" w14:textId="7E17C09E" w:rsidR="009A2C2E" w:rsidRDefault="009A2C2E" w:rsidP="00E53512">
            <w:pPr>
              <w:spacing w:before="100" w:after="0"/>
            </w:pPr>
            <w:r w:rsidRPr="787E070B">
              <w:rPr>
                <w:color w:val="000000" w:themeColor="text1"/>
              </w:rPr>
              <w:t xml:space="preserve">Therefore, IHFA has determined when HTF funds are used to help create and preserve permanent rental housing for </w:t>
            </w:r>
            <w:proofErr w:type="gramStart"/>
            <w:r w:rsidRPr="787E070B">
              <w:rPr>
                <w:color w:val="000000" w:themeColor="text1"/>
              </w:rPr>
              <w:t>extremely-low</w:t>
            </w:r>
            <w:proofErr w:type="gramEnd"/>
            <w:r w:rsidRPr="787E070B">
              <w:rPr>
                <w:color w:val="000000" w:themeColor="text1"/>
              </w:rPr>
              <w:t xml:space="preserve"> income households [§93.20</w:t>
            </w:r>
            <w:r w:rsidR="00D86697" w:rsidRPr="787E070B">
              <w:rPr>
                <w:color w:val="000000" w:themeColor="text1"/>
              </w:rPr>
              <w:t>0</w:t>
            </w:r>
            <w:r w:rsidRPr="787E070B">
              <w:rPr>
                <w:color w:val="000000" w:themeColor="text1"/>
              </w:rPr>
              <w:t>], project owners may designate a preference for elderly (all members of the household must be at least 62 years of age)</w:t>
            </w:r>
            <w:r w:rsidR="001B304F" w:rsidRPr="787E070B">
              <w:rPr>
                <w:color w:val="000000" w:themeColor="text1"/>
              </w:rPr>
              <w:t>,</w:t>
            </w:r>
            <w:r w:rsidRPr="787E070B">
              <w:rPr>
                <w:color w:val="000000" w:themeColor="text1"/>
              </w:rPr>
              <w:t xml:space="preserve"> and/or disabled households, in HT</w:t>
            </w:r>
            <w:r w:rsidR="00D86697" w:rsidRPr="787E070B">
              <w:rPr>
                <w:color w:val="000000" w:themeColor="text1"/>
              </w:rPr>
              <w:t>F</w:t>
            </w:r>
            <w:r w:rsidRPr="787E070B">
              <w:rPr>
                <w:color w:val="000000" w:themeColor="text1"/>
              </w:rPr>
              <w:t xml:space="preserve">- assisted units. Any tenant preference must not violate the non-discrimination laws and requirements identified at §93.350.  Additionally, </w:t>
            </w:r>
            <w:r w:rsidR="00D86697" w:rsidRPr="787E070B">
              <w:rPr>
                <w:color w:val="000000" w:themeColor="text1"/>
              </w:rPr>
              <w:t>HTF</w:t>
            </w:r>
            <w:r w:rsidRPr="787E070B">
              <w:rPr>
                <w:color w:val="000000" w:themeColor="text1"/>
              </w:rPr>
              <w:t>-funded units must not limit or give preference to students [Limited Beneficiaries or Preferences- § 91.320(k)(5)(vii)].</w:t>
            </w:r>
          </w:p>
          <w:p w14:paraId="4170C0E8" w14:textId="40E563A2" w:rsidR="009A2C2E" w:rsidRDefault="008E452A" w:rsidP="008E452A">
            <w:pPr>
              <w:spacing w:before="100" w:after="0"/>
            </w:pPr>
            <w:r>
              <w:rPr>
                <w:color w:val="000000"/>
              </w:rPr>
              <w:t xml:space="preserve">Goals addressing this priority need will be funded by HOME and HTF. </w:t>
            </w:r>
          </w:p>
        </w:tc>
      </w:tr>
      <w:tr w:rsidR="009A2C2E" w14:paraId="53816F6A" w14:textId="77777777" w:rsidTr="787E070B">
        <w:trPr>
          <w:cantSplit/>
        </w:trPr>
        <w:tc>
          <w:tcPr>
            <w:tcW w:w="0" w:type="auto"/>
            <w:vMerge w:val="restart"/>
          </w:tcPr>
          <w:p w14:paraId="6E5D42CF" w14:textId="77777777" w:rsidR="009A2C2E" w:rsidRDefault="009A2C2E" w:rsidP="00E53512">
            <w:r>
              <w:rPr>
                <w:b/>
              </w:rPr>
              <w:t>2</w:t>
            </w:r>
          </w:p>
        </w:tc>
        <w:tc>
          <w:tcPr>
            <w:tcW w:w="0" w:type="auto"/>
          </w:tcPr>
          <w:p w14:paraId="0AD8E422" w14:textId="77777777" w:rsidR="009A2C2E" w:rsidRDefault="009A2C2E" w:rsidP="00E53512">
            <w:pPr>
              <w:keepNext/>
              <w:spacing w:before="100" w:after="0"/>
              <w:rPr>
                <w:b/>
              </w:rPr>
            </w:pPr>
            <w:r>
              <w:rPr>
                <w:b/>
              </w:rPr>
              <w:t>Priority Need Name</w:t>
            </w:r>
          </w:p>
        </w:tc>
        <w:tc>
          <w:tcPr>
            <w:tcW w:w="0" w:type="auto"/>
          </w:tcPr>
          <w:p w14:paraId="3DB4933D" w14:textId="70456116" w:rsidR="009A2C2E" w:rsidRDefault="009A2C2E" w:rsidP="00E53512">
            <w:pPr>
              <w:spacing w:before="100" w:after="0"/>
            </w:pPr>
            <w:bookmarkStart w:id="58" w:name="_Hlk188969025"/>
            <w:r>
              <w:rPr>
                <w:color w:val="000000"/>
              </w:rPr>
              <w:t>Create Affordable Homeownership</w:t>
            </w:r>
            <w:bookmarkEnd w:id="58"/>
            <w:r w:rsidR="00C77057">
              <w:rPr>
                <w:color w:val="000000"/>
              </w:rPr>
              <w:t xml:space="preserve"> Opportunities</w:t>
            </w:r>
          </w:p>
        </w:tc>
      </w:tr>
      <w:tr w:rsidR="009A2C2E" w14:paraId="15EFB3FE" w14:textId="77777777" w:rsidTr="787E070B">
        <w:trPr>
          <w:cantSplit/>
        </w:trPr>
        <w:tc>
          <w:tcPr>
            <w:tcW w:w="0" w:type="auto"/>
            <w:vMerge/>
          </w:tcPr>
          <w:p w14:paraId="279C10B3" w14:textId="77777777" w:rsidR="009A2C2E" w:rsidRDefault="009A2C2E" w:rsidP="00E53512"/>
        </w:tc>
        <w:tc>
          <w:tcPr>
            <w:tcW w:w="0" w:type="auto"/>
          </w:tcPr>
          <w:p w14:paraId="293958AD" w14:textId="77777777" w:rsidR="009A2C2E" w:rsidRDefault="009A2C2E" w:rsidP="00E53512">
            <w:pPr>
              <w:keepNext/>
              <w:spacing w:before="100" w:after="0"/>
              <w:rPr>
                <w:b/>
              </w:rPr>
            </w:pPr>
            <w:r>
              <w:rPr>
                <w:b/>
              </w:rPr>
              <w:t>Priority Level</w:t>
            </w:r>
          </w:p>
        </w:tc>
        <w:tc>
          <w:tcPr>
            <w:tcW w:w="0" w:type="auto"/>
          </w:tcPr>
          <w:p w14:paraId="180BC0CA" w14:textId="77777777" w:rsidR="009A2C2E" w:rsidRDefault="009A2C2E" w:rsidP="00E53512">
            <w:pPr>
              <w:spacing w:before="100" w:after="0"/>
            </w:pPr>
            <w:r>
              <w:rPr>
                <w:color w:val="000000"/>
              </w:rPr>
              <w:t>High</w:t>
            </w:r>
          </w:p>
        </w:tc>
      </w:tr>
      <w:tr w:rsidR="009A2C2E" w14:paraId="77140F52" w14:textId="77777777" w:rsidTr="787E070B">
        <w:trPr>
          <w:cantSplit/>
        </w:trPr>
        <w:tc>
          <w:tcPr>
            <w:tcW w:w="0" w:type="auto"/>
            <w:vMerge/>
          </w:tcPr>
          <w:p w14:paraId="27D8CA00" w14:textId="77777777" w:rsidR="009A2C2E" w:rsidRDefault="009A2C2E" w:rsidP="00E53512"/>
        </w:tc>
        <w:tc>
          <w:tcPr>
            <w:tcW w:w="0" w:type="auto"/>
          </w:tcPr>
          <w:p w14:paraId="42CA3AB7" w14:textId="77777777" w:rsidR="009A2C2E" w:rsidRDefault="009A2C2E" w:rsidP="00E53512">
            <w:pPr>
              <w:keepNext/>
              <w:spacing w:before="100" w:after="0"/>
              <w:rPr>
                <w:b/>
              </w:rPr>
            </w:pPr>
            <w:r>
              <w:rPr>
                <w:b/>
              </w:rPr>
              <w:t>Population</w:t>
            </w:r>
          </w:p>
        </w:tc>
        <w:tc>
          <w:tcPr>
            <w:tcW w:w="0" w:type="auto"/>
          </w:tcPr>
          <w:p w14:paraId="633B5AB7" w14:textId="77777777" w:rsidR="009A2C2E" w:rsidRDefault="009A2C2E" w:rsidP="00E53512">
            <w:pPr>
              <w:spacing w:before="100" w:after="0"/>
            </w:pPr>
            <w:r>
              <w:rPr>
                <w:color w:val="000000"/>
              </w:rPr>
              <w:t>Low</w:t>
            </w:r>
          </w:p>
        </w:tc>
      </w:tr>
      <w:tr w:rsidR="009A2C2E" w14:paraId="24F3B7D1" w14:textId="77777777" w:rsidTr="787E070B">
        <w:trPr>
          <w:cantSplit/>
        </w:trPr>
        <w:tc>
          <w:tcPr>
            <w:tcW w:w="0" w:type="auto"/>
            <w:vMerge/>
          </w:tcPr>
          <w:p w14:paraId="579CABC2" w14:textId="77777777" w:rsidR="009A2C2E" w:rsidRDefault="009A2C2E" w:rsidP="00E53512"/>
        </w:tc>
        <w:tc>
          <w:tcPr>
            <w:tcW w:w="0" w:type="auto"/>
          </w:tcPr>
          <w:p w14:paraId="30760BC4" w14:textId="77777777" w:rsidR="009A2C2E" w:rsidRDefault="009A2C2E" w:rsidP="00E53512">
            <w:pPr>
              <w:keepNext/>
              <w:spacing w:before="100" w:after="0"/>
              <w:rPr>
                <w:b/>
              </w:rPr>
            </w:pPr>
            <w:r>
              <w:rPr>
                <w:b/>
              </w:rPr>
              <w:t>Geographic Areas Affected</w:t>
            </w:r>
          </w:p>
        </w:tc>
        <w:tc>
          <w:tcPr>
            <w:tcW w:w="0" w:type="auto"/>
          </w:tcPr>
          <w:p w14:paraId="3BAE3352" w14:textId="77777777" w:rsidR="009A2C2E" w:rsidRDefault="009A2C2E" w:rsidP="00E53512">
            <w:pPr>
              <w:spacing w:before="100" w:after="0"/>
            </w:pPr>
            <w:r>
              <w:rPr>
                <w:color w:val="000000"/>
              </w:rPr>
              <w:t xml:space="preserve"> </w:t>
            </w:r>
          </w:p>
        </w:tc>
      </w:tr>
      <w:tr w:rsidR="009A2C2E" w14:paraId="201D7416" w14:textId="77777777" w:rsidTr="787E070B">
        <w:trPr>
          <w:cantSplit/>
        </w:trPr>
        <w:tc>
          <w:tcPr>
            <w:tcW w:w="0" w:type="auto"/>
            <w:vMerge/>
          </w:tcPr>
          <w:p w14:paraId="34DF9D66" w14:textId="77777777" w:rsidR="009A2C2E" w:rsidRDefault="009A2C2E" w:rsidP="00E53512"/>
        </w:tc>
        <w:tc>
          <w:tcPr>
            <w:tcW w:w="0" w:type="auto"/>
          </w:tcPr>
          <w:p w14:paraId="01A62F0B" w14:textId="77777777" w:rsidR="009A2C2E" w:rsidRDefault="009A2C2E" w:rsidP="00E53512">
            <w:pPr>
              <w:keepNext/>
              <w:spacing w:before="100" w:after="0"/>
              <w:rPr>
                <w:b/>
              </w:rPr>
            </w:pPr>
            <w:r>
              <w:rPr>
                <w:b/>
              </w:rPr>
              <w:t>Associated Goals</w:t>
            </w:r>
          </w:p>
        </w:tc>
        <w:tc>
          <w:tcPr>
            <w:tcW w:w="0" w:type="auto"/>
          </w:tcPr>
          <w:p w14:paraId="5F677C6E" w14:textId="77777777" w:rsidR="009A2C2E" w:rsidRDefault="009A2C2E" w:rsidP="00E53512">
            <w:pPr>
              <w:spacing w:before="100" w:after="0"/>
            </w:pPr>
            <w:r>
              <w:rPr>
                <w:color w:val="000000"/>
              </w:rPr>
              <w:t>Provide Decent Affordable Housing</w:t>
            </w:r>
          </w:p>
        </w:tc>
      </w:tr>
      <w:tr w:rsidR="009A2C2E" w14:paraId="635F1F17" w14:textId="77777777" w:rsidTr="787E070B">
        <w:trPr>
          <w:cantSplit/>
        </w:trPr>
        <w:tc>
          <w:tcPr>
            <w:tcW w:w="0" w:type="auto"/>
            <w:vMerge/>
          </w:tcPr>
          <w:p w14:paraId="24FB330E" w14:textId="77777777" w:rsidR="009A2C2E" w:rsidRDefault="009A2C2E" w:rsidP="00E53512"/>
        </w:tc>
        <w:tc>
          <w:tcPr>
            <w:tcW w:w="0" w:type="auto"/>
          </w:tcPr>
          <w:p w14:paraId="53E2695D" w14:textId="77777777" w:rsidR="009A2C2E" w:rsidRDefault="009A2C2E" w:rsidP="00E53512">
            <w:pPr>
              <w:keepNext/>
              <w:spacing w:before="100" w:after="0"/>
              <w:rPr>
                <w:b/>
              </w:rPr>
            </w:pPr>
            <w:r>
              <w:rPr>
                <w:b/>
              </w:rPr>
              <w:t>Description</w:t>
            </w:r>
          </w:p>
        </w:tc>
        <w:tc>
          <w:tcPr>
            <w:tcW w:w="0" w:type="auto"/>
          </w:tcPr>
          <w:p w14:paraId="2FF1075A" w14:textId="77777777" w:rsidR="009A2C2E" w:rsidRDefault="009A2C2E" w:rsidP="00E53512">
            <w:pPr>
              <w:spacing w:before="100" w:after="0"/>
            </w:pPr>
            <w:r>
              <w:rPr>
                <w:color w:val="000000"/>
              </w:rPr>
              <w:t>Homebuyer Properties Activities</w:t>
            </w:r>
          </w:p>
          <w:p w14:paraId="4CB3D71E" w14:textId="77777777" w:rsidR="009A2C2E" w:rsidRDefault="009A2C2E" w:rsidP="00351170">
            <w:pPr>
              <w:numPr>
                <w:ilvl w:val="0"/>
                <w:numId w:val="12"/>
              </w:numPr>
              <w:spacing w:before="100" w:after="0"/>
            </w:pPr>
            <w:r>
              <w:rPr>
                <w:color w:val="000000"/>
              </w:rPr>
              <w:t>Acquisition and Rehabilitation New Construction</w:t>
            </w:r>
          </w:p>
          <w:p w14:paraId="2A50886B" w14:textId="7EFF4608" w:rsidR="009A2C2E" w:rsidRDefault="009A2C2E" w:rsidP="00E53512">
            <w:pPr>
              <w:spacing w:before="100" w:after="0"/>
            </w:pPr>
            <w:r w:rsidRPr="787E070B">
              <w:rPr>
                <w:color w:val="000000" w:themeColor="text1"/>
              </w:rPr>
              <w:t xml:space="preserve">The HOME program serves households with income not to exceed 80% AMI. Low-Income is defined as household income between 50-80%. Homeownership opportunities using the HOME Program are often available to low-income households because they </w:t>
            </w:r>
            <w:proofErr w:type="gramStart"/>
            <w:r w:rsidRPr="787E070B">
              <w:rPr>
                <w:color w:val="000000" w:themeColor="text1"/>
              </w:rPr>
              <w:t>are able to</w:t>
            </w:r>
            <w:proofErr w:type="gramEnd"/>
            <w:r w:rsidRPr="787E070B">
              <w:rPr>
                <w:color w:val="000000" w:themeColor="text1"/>
              </w:rPr>
              <w:t> qualify for a primary mortgage. The HOME Homebuyer Properties activity provides HOME-assistance to help fill the gap (up to a maximum amount) between the primary loan and the sales price.  IHFA's HOME program requires the household to fi</w:t>
            </w:r>
            <w:r w:rsidR="66B5CDE4" w:rsidRPr="787E070B">
              <w:rPr>
                <w:color w:val="000000" w:themeColor="text1"/>
              </w:rPr>
              <w:t>r</w:t>
            </w:r>
            <w:r w:rsidRPr="787E070B">
              <w:rPr>
                <w:color w:val="000000" w:themeColor="text1"/>
              </w:rPr>
              <w:t>st qualify for a primary loan with a product that can be purchased by IHFA through an IHFA-approved lender. Acceptable loan products are Conventional, VA, USDA-RD and FHA.   </w:t>
            </w:r>
          </w:p>
          <w:p w14:paraId="6E8E47A3" w14:textId="77777777" w:rsidR="009A2C2E" w:rsidRDefault="009A2C2E" w:rsidP="00E53512">
            <w:pPr>
              <w:spacing w:before="100" w:after="0"/>
            </w:pPr>
            <w:r>
              <w:rPr>
                <w:color w:val="000000"/>
              </w:rPr>
              <w:t xml:space="preserve">  </w:t>
            </w:r>
          </w:p>
        </w:tc>
      </w:tr>
      <w:tr w:rsidR="009A2C2E" w14:paraId="1E94608A" w14:textId="77777777" w:rsidTr="787E070B">
        <w:trPr>
          <w:cantSplit/>
        </w:trPr>
        <w:tc>
          <w:tcPr>
            <w:tcW w:w="0" w:type="auto"/>
            <w:vMerge/>
          </w:tcPr>
          <w:p w14:paraId="53389E54" w14:textId="77777777" w:rsidR="009A2C2E" w:rsidRDefault="009A2C2E" w:rsidP="00E53512"/>
        </w:tc>
        <w:tc>
          <w:tcPr>
            <w:tcW w:w="0" w:type="auto"/>
          </w:tcPr>
          <w:p w14:paraId="3E1EE8B6" w14:textId="77777777" w:rsidR="009A2C2E" w:rsidRDefault="009A2C2E" w:rsidP="00E53512">
            <w:pPr>
              <w:keepNext/>
              <w:spacing w:before="100" w:after="0"/>
              <w:rPr>
                <w:b/>
              </w:rPr>
            </w:pPr>
            <w:r>
              <w:rPr>
                <w:b/>
              </w:rPr>
              <w:t>Basis for Relative Priority</w:t>
            </w:r>
          </w:p>
        </w:tc>
        <w:tc>
          <w:tcPr>
            <w:tcW w:w="0" w:type="auto"/>
          </w:tcPr>
          <w:p w14:paraId="59BB7356" w14:textId="590C93D9" w:rsidR="009A2C2E" w:rsidRDefault="00ED7BD1" w:rsidP="00E53512">
            <w:pPr>
              <w:spacing w:before="100" w:after="0"/>
              <w:rPr>
                <w:color w:val="000000" w:themeColor="text1"/>
              </w:rPr>
            </w:pPr>
            <w:r>
              <w:rPr>
                <w:color w:val="000000" w:themeColor="text1"/>
              </w:rPr>
              <w:t xml:space="preserve">Basis for this priority is found in the </w:t>
            </w:r>
            <w:r w:rsidR="009A2C2E" w:rsidRPr="098FA5AC">
              <w:rPr>
                <w:color w:val="000000" w:themeColor="text1"/>
              </w:rPr>
              <w:t>2024 Housing Needs Survey, input from the public (including units of local government, local regional and state level stakeholders), and the 2024 Idaho County-by-County Housing &amp; Demographic data.</w:t>
            </w:r>
            <w:r w:rsidR="003D336B" w:rsidRPr="098FA5AC">
              <w:rPr>
                <w:color w:val="000000" w:themeColor="text1"/>
              </w:rPr>
              <w:t xml:space="preserve"> Across the state, </w:t>
            </w:r>
            <w:r w:rsidR="001B304F" w:rsidRPr="098FA5AC">
              <w:rPr>
                <w:color w:val="000000" w:themeColor="text1"/>
              </w:rPr>
              <w:t>i</w:t>
            </w:r>
            <w:r w:rsidR="003D336B" w:rsidRPr="098FA5AC">
              <w:rPr>
                <w:color w:val="000000" w:themeColor="text1"/>
              </w:rPr>
              <w:t>ncome increased 41% between 2018 and 2023, while home values increased 96%.  This significant disparity between increases in home value compared to income was found in nearly every county with some disparities even greater than the state’s overall.</w:t>
            </w:r>
          </w:p>
          <w:p w14:paraId="0EDEADBD" w14:textId="77777777" w:rsidR="00ED7BD1" w:rsidRDefault="00ED7BD1" w:rsidP="00ED7BD1">
            <w:pPr>
              <w:spacing w:before="100" w:after="0"/>
            </w:pPr>
            <w:r>
              <w:rPr>
                <w:color w:val="000000"/>
              </w:rPr>
              <w:t xml:space="preserve">Goals addressing this priority need will be funded by HOME and HTF. </w:t>
            </w:r>
          </w:p>
          <w:p w14:paraId="42D2730C" w14:textId="30AA7437" w:rsidR="00ED7BD1" w:rsidRDefault="00ED7BD1" w:rsidP="00E53512">
            <w:pPr>
              <w:spacing w:before="100" w:after="0"/>
              <w:rPr>
                <w:color w:val="000000" w:themeColor="text1"/>
              </w:rPr>
            </w:pPr>
          </w:p>
        </w:tc>
      </w:tr>
      <w:tr w:rsidR="009A2C2E" w14:paraId="7722CCF9" w14:textId="77777777" w:rsidTr="787E070B">
        <w:trPr>
          <w:cantSplit/>
        </w:trPr>
        <w:tc>
          <w:tcPr>
            <w:tcW w:w="0" w:type="auto"/>
            <w:vMerge w:val="restart"/>
          </w:tcPr>
          <w:p w14:paraId="3D48450E" w14:textId="77777777" w:rsidR="009A2C2E" w:rsidRDefault="009A2C2E" w:rsidP="00E53512">
            <w:r>
              <w:rPr>
                <w:b/>
              </w:rPr>
              <w:t>3</w:t>
            </w:r>
          </w:p>
        </w:tc>
        <w:tc>
          <w:tcPr>
            <w:tcW w:w="0" w:type="auto"/>
          </w:tcPr>
          <w:p w14:paraId="188E0966" w14:textId="77777777" w:rsidR="009A2C2E" w:rsidRDefault="009A2C2E" w:rsidP="00E53512">
            <w:pPr>
              <w:keepNext/>
              <w:spacing w:before="100" w:after="0"/>
              <w:rPr>
                <w:b/>
              </w:rPr>
            </w:pPr>
            <w:r>
              <w:rPr>
                <w:b/>
              </w:rPr>
              <w:t>Priority Need Name</w:t>
            </w:r>
          </w:p>
        </w:tc>
        <w:tc>
          <w:tcPr>
            <w:tcW w:w="0" w:type="auto"/>
          </w:tcPr>
          <w:p w14:paraId="1C0B4355" w14:textId="77777777" w:rsidR="009A2C2E" w:rsidRDefault="009A2C2E" w:rsidP="00E53512">
            <w:pPr>
              <w:spacing w:before="100" w:after="0"/>
            </w:pPr>
            <w:bookmarkStart w:id="59" w:name="_Hlk188969034"/>
            <w:r>
              <w:rPr>
                <w:color w:val="000000"/>
              </w:rPr>
              <w:t>Public Facilities</w:t>
            </w:r>
            <w:bookmarkEnd w:id="59"/>
          </w:p>
        </w:tc>
      </w:tr>
      <w:tr w:rsidR="009A2C2E" w14:paraId="62342F8E" w14:textId="77777777" w:rsidTr="787E070B">
        <w:trPr>
          <w:cantSplit/>
        </w:trPr>
        <w:tc>
          <w:tcPr>
            <w:tcW w:w="0" w:type="auto"/>
            <w:vMerge/>
          </w:tcPr>
          <w:p w14:paraId="0D1E5609" w14:textId="77777777" w:rsidR="009A2C2E" w:rsidRDefault="009A2C2E" w:rsidP="00E53512"/>
        </w:tc>
        <w:tc>
          <w:tcPr>
            <w:tcW w:w="0" w:type="auto"/>
          </w:tcPr>
          <w:p w14:paraId="5FD74832" w14:textId="77777777" w:rsidR="009A2C2E" w:rsidRDefault="009A2C2E" w:rsidP="00E53512">
            <w:pPr>
              <w:keepNext/>
              <w:spacing w:before="100" w:after="0"/>
              <w:rPr>
                <w:b/>
              </w:rPr>
            </w:pPr>
            <w:r>
              <w:rPr>
                <w:b/>
              </w:rPr>
              <w:t>Priority Level</w:t>
            </w:r>
          </w:p>
        </w:tc>
        <w:tc>
          <w:tcPr>
            <w:tcW w:w="0" w:type="auto"/>
          </w:tcPr>
          <w:p w14:paraId="60F99774" w14:textId="77777777" w:rsidR="009A2C2E" w:rsidRDefault="009A2C2E" w:rsidP="00E53512">
            <w:pPr>
              <w:spacing w:before="100" w:after="0"/>
            </w:pPr>
            <w:r>
              <w:rPr>
                <w:color w:val="000000"/>
              </w:rPr>
              <w:t>High</w:t>
            </w:r>
          </w:p>
        </w:tc>
      </w:tr>
      <w:tr w:rsidR="009A2C2E" w14:paraId="250DFFA6" w14:textId="77777777" w:rsidTr="787E070B">
        <w:trPr>
          <w:cantSplit/>
        </w:trPr>
        <w:tc>
          <w:tcPr>
            <w:tcW w:w="0" w:type="auto"/>
            <w:vMerge/>
          </w:tcPr>
          <w:p w14:paraId="07114271" w14:textId="77777777" w:rsidR="009A2C2E" w:rsidRDefault="009A2C2E" w:rsidP="00E53512"/>
        </w:tc>
        <w:tc>
          <w:tcPr>
            <w:tcW w:w="0" w:type="auto"/>
          </w:tcPr>
          <w:p w14:paraId="3C2E9316" w14:textId="77777777" w:rsidR="009A2C2E" w:rsidRDefault="009A2C2E" w:rsidP="00E53512">
            <w:pPr>
              <w:keepNext/>
              <w:spacing w:before="100" w:after="0"/>
              <w:rPr>
                <w:b/>
              </w:rPr>
            </w:pPr>
            <w:r>
              <w:rPr>
                <w:b/>
              </w:rPr>
              <w:t>Population</w:t>
            </w:r>
          </w:p>
        </w:tc>
        <w:tc>
          <w:tcPr>
            <w:tcW w:w="0" w:type="auto"/>
          </w:tcPr>
          <w:p w14:paraId="61CD8902" w14:textId="77777777" w:rsidR="009A2C2E" w:rsidRDefault="009A2C2E" w:rsidP="00E53512">
            <w:pPr>
              <w:spacing w:before="100" w:after="0"/>
            </w:pPr>
            <w:r>
              <w:rPr>
                <w:color w:val="000000"/>
              </w:rPr>
              <w:t>Extremely Low</w:t>
            </w:r>
            <w:r>
              <w:rPr>
                <w:color w:val="000000"/>
              </w:rPr>
              <w:br/>
              <w:t>Low</w:t>
            </w:r>
            <w:r>
              <w:rPr>
                <w:color w:val="000000"/>
              </w:rPr>
              <w:br/>
              <w:t>Moderate</w:t>
            </w:r>
            <w:r>
              <w:rPr>
                <w:color w:val="000000"/>
              </w:rPr>
              <w:br/>
              <w:t>Large Families</w:t>
            </w:r>
            <w:r>
              <w:rPr>
                <w:color w:val="000000"/>
              </w:rPr>
              <w:br/>
              <w:t>Families with Children</w:t>
            </w:r>
            <w:r>
              <w:rPr>
                <w:color w:val="000000"/>
              </w:rPr>
              <w:br/>
              <w:t>Elderly</w:t>
            </w:r>
            <w:r>
              <w:rPr>
                <w:color w:val="000000"/>
              </w:rPr>
              <w:br/>
              <w:t>Rural</w:t>
            </w:r>
            <w:r>
              <w:rPr>
                <w:color w:val="000000"/>
              </w:rPr>
              <w:br/>
              <w:t>Chronic Homelessness</w:t>
            </w:r>
            <w:r>
              <w:rPr>
                <w:color w:val="000000"/>
              </w:rPr>
              <w:br/>
              <w:t>Individuals</w:t>
            </w:r>
            <w:r>
              <w:rPr>
                <w:color w:val="000000"/>
              </w:rPr>
              <w:br/>
              <w:t>Families with Children</w:t>
            </w:r>
            <w:r>
              <w:rPr>
                <w:color w:val="000000"/>
              </w:rPr>
              <w:br/>
              <w:t>Victims of Domestic Violence</w:t>
            </w:r>
            <w:r>
              <w:rPr>
                <w:color w:val="000000"/>
              </w:rPr>
              <w:br/>
              <w:t>Elderly</w:t>
            </w:r>
            <w:r>
              <w:rPr>
                <w:color w:val="000000"/>
              </w:rPr>
              <w:br/>
              <w:t>Frail Elderly</w:t>
            </w:r>
            <w:r>
              <w:rPr>
                <w:color w:val="000000"/>
              </w:rPr>
              <w:br/>
              <w:t>Persons with Developmental Disabilities</w:t>
            </w:r>
            <w:r>
              <w:rPr>
                <w:color w:val="000000"/>
              </w:rPr>
              <w:br/>
              <w:t>Victims of Domestic Violence</w:t>
            </w:r>
            <w:r>
              <w:rPr>
                <w:color w:val="000000"/>
              </w:rPr>
              <w:br/>
              <w:t>Non-housing Community Development</w:t>
            </w:r>
          </w:p>
        </w:tc>
      </w:tr>
      <w:tr w:rsidR="009A2C2E" w14:paraId="3D7A6DF8" w14:textId="77777777" w:rsidTr="787E070B">
        <w:trPr>
          <w:cantSplit/>
        </w:trPr>
        <w:tc>
          <w:tcPr>
            <w:tcW w:w="0" w:type="auto"/>
            <w:vMerge/>
          </w:tcPr>
          <w:p w14:paraId="251548B1" w14:textId="77777777" w:rsidR="009A2C2E" w:rsidRDefault="009A2C2E" w:rsidP="00E53512"/>
        </w:tc>
        <w:tc>
          <w:tcPr>
            <w:tcW w:w="0" w:type="auto"/>
          </w:tcPr>
          <w:p w14:paraId="3C92696B" w14:textId="77777777" w:rsidR="009A2C2E" w:rsidRDefault="009A2C2E" w:rsidP="00E53512">
            <w:pPr>
              <w:keepNext/>
              <w:spacing w:before="100" w:after="0"/>
              <w:rPr>
                <w:b/>
              </w:rPr>
            </w:pPr>
            <w:r>
              <w:rPr>
                <w:b/>
              </w:rPr>
              <w:t>Geographic Areas Affected</w:t>
            </w:r>
          </w:p>
        </w:tc>
        <w:tc>
          <w:tcPr>
            <w:tcW w:w="0" w:type="auto"/>
          </w:tcPr>
          <w:p w14:paraId="57E313C6" w14:textId="77777777" w:rsidR="009A2C2E" w:rsidRDefault="009A2C2E" w:rsidP="00E53512">
            <w:pPr>
              <w:spacing w:before="100" w:after="0"/>
            </w:pPr>
            <w:r>
              <w:rPr>
                <w:color w:val="000000"/>
              </w:rPr>
              <w:t xml:space="preserve"> </w:t>
            </w:r>
          </w:p>
        </w:tc>
      </w:tr>
      <w:tr w:rsidR="009A2C2E" w14:paraId="7037D46E" w14:textId="77777777" w:rsidTr="787E070B">
        <w:trPr>
          <w:cantSplit/>
        </w:trPr>
        <w:tc>
          <w:tcPr>
            <w:tcW w:w="0" w:type="auto"/>
            <w:vMerge/>
          </w:tcPr>
          <w:p w14:paraId="1CD9912C" w14:textId="77777777" w:rsidR="009A2C2E" w:rsidRDefault="009A2C2E" w:rsidP="00E53512"/>
        </w:tc>
        <w:tc>
          <w:tcPr>
            <w:tcW w:w="0" w:type="auto"/>
          </w:tcPr>
          <w:p w14:paraId="61A302CC" w14:textId="77777777" w:rsidR="009A2C2E" w:rsidRDefault="009A2C2E" w:rsidP="00E53512">
            <w:pPr>
              <w:keepNext/>
              <w:spacing w:before="100" w:after="0"/>
              <w:rPr>
                <w:b/>
              </w:rPr>
            </w:pPr>
            <w:r>
              <w:rPr>
                <w:b/>
              </w:rPr>
              <w:t>Associated Goals</w:t>
            </w:r>
          </w:p>
        </w:tc>
        <w:tc>
          <w:tcPr>
            <w:tcW w:w="0" w:type="auto"/>
          </w:tcPr>
          <w:p w14:paraId="45AF46B1" w14:textId="77777777" w:rsidR="009A2C2E" w:rsidRDefault="009A2C2E" w:rsidP="00E53512">
            <w:pPr>
              <w:spacing w:before="100" w:after="0"/>
            </w:pPr>
            <w:r>
              <w:rPr>
                <w:color w:val="000000"/>
              </w:rPr>
              <w:t>Public Facilities/Infrastructure-Compliance</w:t>
            </w:r>
            <w:r>
              <w:rPr>
                <w:color w:val="000000"/>
              </w:rPr>
              <w:br/>
              <w:t>Public Facilities/Infrastructure-New Construction</w:t>
            </w:r>
            <w:r>
              <w:rPr>
                <w:color w:val="000000"/>
              </w:rPr>
              <w:br/>
              <w:t>Public Facilities/Infrastructure-Rehabilitation</w:t>
            </w:r>
          </w:p>
        </w:tc>
      </w:tr>
      <w:tr w:rsidR="009A2C2E" w14:paraId="71A794DD" w14:textId="77777777" w:rsidTr="787E070B">
        <w:trPr>
          <w:cantSplit/>
        </w:trPr>
        <w:tc>
          <w:tcPr>
            <w:tcW w:w="0" w:type="auto"/>
            <w:vMerge/>
          </w:tcPr>
          <w:p w14:paraId="28DD81E3" w14:textId="77777777" w:rsidR="009A2C2E" w:rsidRDefault="009A2C2E" w:rsidP="00E53512"/>
        </w:tc>
        <w:tc>
          <w:tcPr>
            <w:tcW w:w="0" w:type="auto"/>
          </w:tcPr>
          <w:p w14:paraId="54CCBA1B" w14:textId="77777777" w:rsidR="009A2C2E" w:rsidRDefault="009A2C2E" w:rsidP="00E53512">
            <w:pPr>
              <w:keepNext/>
              <w:spacing w:before="100" w:after="0"/>
              <w:rPr>
                <w:b/>
              </w:rPr>
            </w:pPr>
            <w:r>
              <w:rPr>
                <w:b/>
              </w:rPr>
              <w:t>Description</w:t>
            </w:r>
          </w:p>
        </w:tc>
        <w:tc>
          <w:tcPr>
            <w:tcW w:w="0" w:type="auto"/>
          </w:tcPr>
          <w:p w14:paraId="4D0C7314" w14:textId="0B5D06DB" w:rsidR="009A2C2E" w:rsidRDefault="009A2C2E" w:rsidP="00E53512">
            <w:pPr>
              <w:spacing w:before="100" w:after="0"/>
            </w:pPr>
            <w:r w:rsidRPr="098FA5AC">
              <w:rPr>
                <w:rFonts w:cs="Calibri"/>
                <w:color w:val="000000" w:themeColor="text1"/>
              </w:rPr>
              <w:t xml:space="preserve">Public </w:t>
            </w:r>
            <w:r w:rsidR="0E05A077" w:rsidRPr="098FA5AC">
              <w:rPr>
                <w:rFonts w:cs="Calibri"/>
                <w:color w:val="000000" w:themeColor="text1"/>
              </w:rPr>
              <w:t>facilities include</w:t>
            </w:r>
            <w:r w:rsidRPr="098FA5AC">
              <w:rPr>
                <w:rFonts w:cs="Calibri"/>
                <w:color w:val="000000" w:themeColor="text1"/>
              </w:rPr>
              <w:t xml:space="preserve"> health facilities, fire and EMT stations, fire trucks, senior centers, community centers, homeless shelters, </w:t>
            </w:r>
            <w:r w:rsidR="0E05A077" w:rsidRPr="098FA5AC">
              <w:rPr>
                <w:rFonts w:cs="Calibri"/>
                <w:color w:val="000000" w:themeColor="text1"/>
              </w:rPr>
              <w:t>childcare</w:t>
            </w:r>
            <w:r w:rsidRPr="098FA5AC">
              <w:rPr>
                <w:rFonts w:cs="Calibri"/>
                <w:color w:val="000000" w:themeColor="text1"/>
              </w:rPr>
              <w:t xml:space="preserve"> centers, parks, youth centers, domestic shelters</w:t>
            </w:r>
            <w:r w:rsidR="0E05A077" w:rsidRPr="098FA5AC">
              <w:rPr>
                <w:rFonts w:cs="Calibri"/>
                <w:color w:val="000000" w:themeColor="text1"/>
              </w:rPr>
              <w:t>,</w:t>
            </w:r>
            <w:r w:rsidRPr="098FA5AC">
              <w:rPr>
                <w:rFonts w:cs="Calibri"/>
                <w:color w:val="000000" w:themeColor="text1"/>
              </w:rPr>
              <w:t xml:space="preserve"> and non-residential historic</w:t>
            </w:r>
            <w:r w:rsidR="0E05A077" w:rsidRPr="098FA5AC">
              <w:rPr>
                <w:rFonts w:cs="Calibri"/>
                <w:color w:val="000000" w:themeColor="text1"/>
              </w:rPr>
              <w:t xml:space="preserve"> buildings</w:t>
            </w:r>
            <w:r w:rsidRPr="098FA5AC">
              <w:rPr>
                <w:rFonts w:cs="Calibri"/>
                <w:color w:val="000000" w:themeColor="text1"/>
              </w:rPr>
              <w:t>.</w:t>
            </w:r>
          </w:p>
        </w:tc>
      </w:tr>
      <w:tr w:rsidR="009A2C2E" w14:paraId="7F847799" w14:textId="77777777" w:rsidTr="787E070B">
        <w:trPr>
          <w:cantSplit/>
        </w:trPr>
        <w:tc>
          <w:tcPr>
            <w:tcW w:w="0" w:type="auto"/>
            <w:vMerge/>
          </w:tcPr>
          <w:p w14:paraId="4506D0E1" w14:textId="77777777" w:rsidR="009A2C2E" w:rsidRDefault="009A2C2E" w:rsidP="00E53512"/>
        </w:tc>
        <w:tc>
          <w:tcPr>
            <w:tcW w:w="0" w:type="auto"/>
          </w:tcPr>
          <w:p w14:paraId="3188257A" w14:textId="77777777" w:rsidR="009A2C2E" w:rsidRDefault="009A2C2E" w:rsidP="00E53512">
            <w:pPr>
              <w:keepNext/>
              <w:spacing w:before="100" w:after="0"/>
              <w:rPr>
                <w:b/>
              </w:rPr>
            </w:pPr>
            <w:r>
              <w:rPr>
                <w:b/>
              </w:rPr>
              <w:t>Basis for Relative Priority</w:t>
            </w:r>
          </w:p>
        </w:tc>
        <w:tc>
          <w:tcPr>
            <w:tcW w:w="0" w:type="auto"/>
          </w:tcPr>
          <w:p w14:paraId="4F1275B6" w14:textId="77777777" w:rsidR="009A2C2E" w:rsidRDefault="009A2C2E" w:rsidP="787E070B">
            <w:pPr>
              <w:spacing w:before="100" w:after="0"/>
              <w:rPr>
                <w:color w:val="000000" w:themeColor="text1"/>
              </w:rPr>
            </w:pPr>
            <w:r w:rsidRPr="787E070B">
              <w:rPr>
                <w:color w:val="000000" w:themeColor="text1"/>
              </w:rPr>
              <w:t>The basis has been determined by four sources:</w:t>
            </w:r>
          </w:p>
          <w:p w14:paraId="123AB065" w14:textId="05B5C59C" w:rsidR="009A2C2E" w:rsidRPr="00DA2F97" w:rsidRDefault="009A2C2E" w:rsidP="00351170">
            <w:pPr>
              <w:numPr>
                <w:ilvl w:val="0"/>
                <w:numId w:val="12"/>
              </w:numPr>
              <w:spacing w:before="100" w:after="0"/>
            </w:pPr>
            <w:r w:rsidRPr="00DA2F97">
              <w:rPr>
                <w:color w:val="000000"/>
              </w:rPr>
              <w:t>The local government needs survey conducted by Commerce.</w:t>
            </w:r>
          </w:p>
          <w:p w14:paraId="708DCE08" w14:textId="09E112B4" w:rsidR="009A2C2E" w:rsidRPr="00DA2F97" w:rsidRDefault="009A2C2E" w:rsidP="00351170">
            <w:pPr>
              <w:numPr>
                <w:ilvl w:val="0"/>
                <w:numId w:val="12"/>
              </w:numPr>
              <w:spacing w:before="100" w:after="0"/>
            </w:pPr>
            <w:r w:rsidRPr="00DA2F97">
              <w:rPr>
                <w:color w:val="000000"/>
              </w:rPr>
              <w:t>The American Society of Civil Engineers, 2021 Report Card for Idaho’s infrastructure to further assess non-housing community development needs. </w:t>
            </w:r>
          </w:p>
          <w:p w14:paraId="0B2603B8" w14:textId="49E15801" w:rsidR="009A2C2E" w:rsidRPr="00DA2F97" w:rsidRDefault="009A2C2E" w:rsidP="00351170">
            <w:pPr>
              <w:numPr>
                <w:ilvl w:val="0"/>
                <w:numId w:val="12"/>
              </w:numPr>
              <w:spacing w:before="100" w:after="0"/>
            </w:pPr>
            <w:r w:rsidRPr="00DA2F97">
              <w:rPr>
                <w:color w:val="000000"/>
              </w:rPr>
              <w:t xml:space="preserve">Public participation.   No comments were received for the pre-draft consolidated plan.   Comments for the final draft </w:t>
            </w:r>
            <w:proofErr w:type="gramStart"/>
            <w:r w:rsidRPr="00DA2F97">
              <w:rPr>
                <w:color w:val="000000"/>
              </w:rPr>
              <w:t>are located in</w:t>
            </w:r>
            <w:proofErr w:type="gramEnd"/>
            <w:r w:rsidRPr="00DA2F97">
              <w:rPr>
                <w:color w:val="000000"/>
              </w:rPr>
              <w:t xml:space="preserve"> the Unique Appendices</w:t>
            </w:r>
            <w:r w:rsidR="001770B0" w:rsidRPr="00DA2F97">
              <w:rPr>
                <w:color w:val="000000"/>
              </w:rPr>
              <w:t>.</w:t>
            </w:r>
          </w:p>
          <w:p w14:paraId="79AEC661" w14:textId="534B34C8" w:rsidR="009A2C2E" w:rsidRDefault="009A2C2E" w:rsidP="787E070B">
            <w:pPr>
              <w:numPr>
                <w:ilvl w:val="0"/>
                <w:numId w:val="12"/>
              </w:numPr>
              <w:spacing w:before="100" w:after="0"/>
              <w:rPr>
                <w:color w:val="000000" w:themeColor="text1"/>
              </w:rPr>
            </w:pPr>
            <w:r w:rsidRPr="00DA2F97">
              <w:rPr>
                <w:color w:val="000000" w:themeColor="text1"/>
              </w:rPr>
              <w:t>Prior five years of CDBG application su</w:t>
            </w:r>
            <w:r w:rsidRPr="787E070B">
              <w:rPr>
                <w:color w:val="000000" w:themeColor="text1"/>
              </w:rPr>
              <w:t>bmissions</w:t>
            </w:r>
            <w:r w:rsidR="00067D97">
              <w:rPr>
                <w:color w:val="000000" w:themeColor="text1"/>
              </w:rPr>
              <w:t>.</w:t>
            </w:r>
          </w:p>
          <w:p w14:paraId="4D2A7F83" w14:textId="2D9E5869" w:rsidR="00D435F8" w:rsidRDefault="00D435F8" w:rsidP="00D435F8">
            <w:pPr>
              <w:spacing w:before="100" w:after="0"/>
            </w:pPr>
            <w:r>
              <w:rPr>
                <w:color w:val="000000"/>
              </w:rPr>
              <w:t>Goals addressing this priority need will be funded by CDBG.</w:t>
            </w:r>
          </w:p>
          <w:p w14:paraId="4C69523B" w14:textId="77777777" w:rsidR="00D435F8" w:rsidRDefault="00D435F8" w:rsidP="00D435F8">
            <w:pPr>
              <w:spacing w:before="100" w:after="0"/>
              <w:rPr>
                <w:color w:val="000000" w:themeColor="text1"/>
              </w:rPr>
            </w:pPr>
          </w:p>
        </w:tc>
      </w:tr>
      <w:tr w:rsidR="009A2C2E" w14:paraId="4E534DA8" w14:textId="77777777" w:rsidTr="787E070B">
        <w:trPr>
          <w:cantSplit/>
        </w:trPr>
        <w:tc>
          <w:tcPr>
            <w:tcW w:w="0" w:type="auto"/>
            <w:vMerge w:val="restart"/>
          </w:tcPr>
          <w:p w14:paraId="17ED2471" w14:textId="77777777" w:rsidR="009A2C2E" w:rsidRDefault="009A2C2E" w:rsidP="00E53512">
            <w:r>
              <w:rPr>
                <w:b/>
              </w:rPr>
              <w:lastRenderedPageBreak/>
              <w:t>4</w:t>
            </w:r>
          </w:p>
        </w:tc>
        <w:tc>
          <w:tcPr>
            <w:tcW w:w="0" w:type="auto"/>
          </w:tcPr>
          <w:p w14:paraId="7F9BC043" w14:textId="77777777" w:rsidR="009A2C2E" w:rsidRDefault="009A2C2E" w:rsidP="00E53512">
            <w:pPr>
              <w:keepNext/>
              <w:spacing w:before="100" w:after="0"/>
              <w:rPr>
                <w:b/>
              </w:rPr>
            </w:pPr>
            <w:r>
              <w:rPr>
                <w:b/>
              </w:rPr>
              <w:t>Priority Need Name</w:t>
            </w:r>
          </w:p>
        </w:tc>
        <w:tc>
          <w:tcPr>
            <w:tcW w:w="0" w:type="auto"/>
          </w:tcPr>
          <w:p w14:paraId="152BD9E8" w14:textId="77777777" w:rsidR="009A2C2E" w:rsidRDefault="009A2C2E" w:rsidP="00E53512">
            <w:pPr>
              <w:spacing w:before="100" w:after="0"/>
            </w:pPr>
            <w:bookmarkStart w:id="60" w:name="_Hlk188969043"/>
            <w:r>
              <w:rPr>
                <w:color w:val="000000"/>
              </w:rPr>
              <w:t>Public Infrastructure</w:t>
            </w:r>
            <w:bookmarkEnd w:id="60"/>
          </w:p>
        </w:tc>
      </w:tr>
      <w:tr w:rsidR="009A2C2E" w14:paraId="0F04FF62" w14:textId="77777777" w:rsidTr="787E070B">
        <w:trPr>
          <w:cantSplit/>
        </w:trPr>
        <w:tc>
          <w:tcPr>
            <w:tcW w:w="0" w:type="auto"/>
            <w:vMerge/>
          </w:tcPr>
          <w:p w14:paraId="6CD6FE98" w14:textId="77777777" w:rsidR="009A2C2E" w:rsidRDefault="009A2C2E" w:rsidP="00E53512"/>
        </w:tc>
        <w:tc>
          <w:tcPr>
            <w:tcW w:w="0" w:type="auto"/>
          </w:tcPr>
          <w:p w14:paraId="0EF201E3" w14:textId="77777777" w:rsidR="009A2C2E" w:rsidRDefault="009A2C2E" w:rsidP="00E53512">
            <w:pPr>
              <w:keepNext/>
              <w:spacing w:before="100" w:after="0"/>
              <w:rPr>
                <w:b/>
              </w:rPr>
            </w:pPr>
            <w:r>
              <w:rPr>
                <w:b/>
              </w:rPr>
              <w:t>Priority Level</w:t>
            </w:r>
          </w:p>
        </w:tc>
        <w:tc>
          <w:tcPr>
            <w:tcW w:w="0" w:type="auto"/>
          </w:tcPr>
          <w:p w14:paraId="753F0DE5" w14:textId="77777777" w:rsidR="009A2C2E" w:rsidRDefault="009A2C2E" w:rsidP="00E53512">
            <w:pPr>
              <w:spacing w:before="100" w:after="0"/>
            </w:pPr>
            <w:r>
              <w:rPr>
                <w:color w:val="000000"/>
              </w:rPr>
              <w:t>High</w:t>
            </w:r>
          </w:p>
        </w:tc>
      </w:tr>
      <w:tr w:rsidR="009A2C2E" w14:paraId="1364C2EA" w14:textId="77777777" w:rsidTr="787E070B">
        <w:trPr>
          <w:cantSplit/>
        </w:trPr>
        <w:tc>
          <w:tcPr>
            <w:tcW w:w="0" w:type="auto"/>
            <w:vMerge/>
          </w:tcPr>
          <w:p w14:paraId="4DC60960" w14:textId="77777777" w:rsidR="009A2C2E" w:rsidRDefault="009A2C2E" w:rsidP="00E53512"/>
        </w:tc>
        <w:tc>
          <w:tcPr>
            <w:tcW w:w="0" w:type="auto"/>
          </w:tcPr>
          <w:p w14:paraId="4162793F" w14:textId="77777777" w:rsidR="009A2C2E" w:rsidRDefault="009A2C2E" w:rsidP="00E53512">
            <w:pPr>
              <w:keepNext/>
              <w:spacing w:before="100" w:after="0"/>
              <w:rPr>
                <w:b/>
              </w:rPr>
            </w:pPr>
            <w:r>
              <w:rPr>
                <w:b/>
              </w:rPr>
              <w:t>Population</w:t>
            </w:r>
          </w:p>
        </w:tc>
        <w:tc>
          <w:tcPr>
            <w:tcW w:w="0" w:type="auto"/>
          </w:tcPr>
          <w:p w14:paraId="79D249C3" w14:textId="77777777" w:rsidR="009A2C2E" w:rsidRDefault="009A2C2E" w:rsidP="00E53512">
            <w:pPr>
              <w:spacing w:before="100" w:after="0"/>
            </w:pPr>
            <w:r>
              <w:rPr>
                <w:color w:val="000000"/>
              </w:rPr>
              <w:t>Extremely Low</w:t>
            </w:r>
            <w:r>
              <w:rPr>
                <w:color w:val="000000"/>
              </w:rPr>
              <w:br/>
              <w:t>Low</w:t>
            </w:r>
            <w:r>
              <w:rPr>
                <w:color w:val="000000"/>
              </w:rPr>
              <w:br/>
              <w:t>Moderate</w:t>
            </w:r>
            <w:r>
              <w:rPr>
                <w:color w:val="000000"/>
              </w:rPr>
              <w:br/>
              <w:t>Middle</w:t>
            </w:r>
            <w:r>
              <w:rPr>
                <w:color w:val="000000"/>
              </w:rPr>
              <w:br/>
              <w:t>Large Families</w:t>
            </w:r>
            <w:r>
              <w:rPr>
                <w:color w:val="000000"/>
              </w:rPr>
              <w:br/>
              <w:t>Families with Children</w:t>
            </w:r>
            <w:r>
              <w:rPr>
                <w:color w:val="000000"/>
              </w:rPr>
              <w:br/>
              <w:t>Elderly</w:t>
            </w:r>
            <w:r>
              <w:rPr>
                <w:color w:val="000000"/>
              </w:rPr>
              <w:br/>
              <w:t>Non-housing Community Development</w:t>
            </w:r>
          </w:p>
        </w:tc>
      </w:tr>
      <w:tr w:rsidR="009A2C2E" w14:paraId="7BC091BC" w14:textId="77777777" w:rsidTr="787E070B">
        <w:trPr>
          <w:cantSplit/>
        </w:trPr>
        <w:tc>
          <w:tcPr>
            <w:tcW w:w="0" w:type="auto"/>
            <w:vMerge/>
          </w:tcPr>
          <w:p w14:paraId="1B965544" w14:textId="77777777" w:rsidR="009A2C2E" w:rsidRDefault="009A2C2E" w:rsidP="00E53512"/>
        </w:tc>
        <w:tc>
          <w:tcPr>
            <w:tcW w:w="0" w:type="auto"/>
          </w:tcPr>
          <w:p w14:paraId="7151C567" w14:textId="77777777" w:rsidR="009A2C2E" w:rsidRDefault="009A2C2E" w:rsidP="00E53512">
            <w:pPr>
              <w:keepNext/>
              <w:spacing w:before="100" w:after="0"/>
              <w:rPr>
                <w:b/>
              </w:rPr>
            </w:pPr>
            <w:r>
              <w:rPr>
                <w:b/>
              </w:rPr>
              <w:t>Geographic Areas Affected</w:t>
            </w:r>
          </w:p>
        </w:tc>
        <w:tc>
          <w:tcPr>
            <w:tcW w:w="0" w:type="auto"/>
          </w:tcPr>
          <w:p w14:paraId="690EE6FE" w14:textId="77777777" w:rsidR="009A2C2E" w:rsidRDefault="009A2C2E" w:rsidP="00E53512">
            <w:pPr>
              <w:spacing w:before="100" w:after="0"/>
            </w:pPr>
            <w:r>
              <w:rPr>
                <w:color w:val="000000"/>
              </w:rPr>
              <w:t xml:space="preserve"> </w:t>
            </w:r>
          </w:p>
        </w:tc>
      </w:tr>
      <w:tr w:rsidR="009A2C2E" w14:paraId="3DC9C192" w14:textId="77777777" w:rsidTr="787E070B">
        <w:trPr>
          <w:cantSplit/>
        </w:trPr>
        <w:tc>
          <w:tcPr>
            <w:tcW w:w="0" w:type="auto"/>
            <w:vMerge/>
          </w:tcPr>
          <w:p w14:paraId="25A3D5FB" w14:textId="77777777" w:rsidR="009A2C2E" w:rsidRDefault="009A2C2E" w:rsidP="00E53512"/>
        </w:tc>
        <w:tc>
          <w:tcPr>
            <w:tcW w:w="0" w:type="auto"/>
          </w:tcPr>
          <w:p w14:paraId="1954BB41" w14:textId="77777777" w:rsidR="009A2C2E" w:rsidRDefault="009A2C2E" w:rsidP="00E53512">
            <w:pPr>
              <w:keepNext/>
              <w:spacing w:before="100" w:after="0"/>
              <w:rPr>
                <w:b/>
              </w:rPr>
            </w:pPr>
            <w:r>
              <w:rPr>
                <w:b/>
              </w:rPr>
              <w:t>Associated Goals</w:t>
            </w:r>
          </w:p>
        </w:tc>
        <w:tc>
          <w:tcPr>
            <w:tcW w:w="0" w:type="auto"/>
          </w:tcPr>
          <w:p w14:paraId="62A06183" w14:textId="77777777" w:rsidR="009A2C2E" w:rsidRDefault="009A2C2E" w:rsidP="00E53512">
            <w:pPr>
              <w:spacing w:before="100" w:after="0"/>
            </w:pPr>
            <w:r>
              <w:rPr>
                <w:color w:val="000000"/>
              </w:rPr>
              <w:t>Public Facilities/Infrastructure-Compliance</w:t>
            </w:r>
            <w:r>
              <w:rPr>
                <w:color w:val="000000"/>
              </w:rPr>
              <w:br/>
              <w:t>Public Facilities/Infrastructure-New Construction</w:t>
            </w:r>
            <w:r>
              <w:rPr>
                <w:color w:val="000000"/>
              </w:rPr>
              <w:br/>
              <w:t>Public Facilities/Infrastructure-Rehabilitation</w:t>
            </w:r>
          </w:p>
        </w:tc>
      </w:tr>
      <w:tr w:rsidR="009A2C2E" w14:paraId="789ED32C" w14:textId="77777777" w:rsidTr="787E070B">
        <w:trPr>
          <w:cantSplit/>
        </w:trPr>
        <w:tc>
          <w:tcPr>
            <w:tcW w:w="0" w:type="auto"/>
            <w:vMerge/>
          </w:tcPr>
          <w:p w14:paraId="0013D5DC" w14:textId="77777777" w:rsidR="009A2C2E" w:rsidRDefault="009A2C2E" w:rsidP="00E53512"/>
        </w:tc>
        <w:tc>
          <w:tcPr>
            <w:tcW w:w="0" w:type="auto"/>
          </w:tcPr>
          <w:p w14:paraId="140007E8" w14:textId="77777777" w:rsidR="009A2C2E" w:rsidRDefault="009A2C2E" w:rsidP="00E53512">
            <w:pPr>
              <w:keepNext/>
              <w:spacing w:before="100" w:after="0"/>
              <w:rPr>
                <w:b/>
              </w:rPr>
            </w:pPr>
            <w:r>
              <w:rPr>
                <w:b/>
              </w:rPr>
              <w:t>Description</w:t>
            </w:r>
          </w:p>
        </w:tc>
        <w:tc>
          <w:tcPr>
            <w:tcW w:w="0" w:type="auto"/>
          </w:tcPr>
          <w:p w14:paraId="603BFE7C" w14:textId="77777777" w:rsidR="009A2C2E" w:rsidRDefault="009A2C2E" w:rsidP="00E53512">
            <w:pPr>
              <w:spacing w:before="100" w:after="0"/>
            </w:pPr>
            <w:r>
              <w:rPr>
                <w:color w:val="000000"/>
              </w:rPr>
              <w:t>Public Infrastructure - water systems, sewer systems, streets, sidewalks, solid waste disposal, surface and storm water drainage, public parking facilities.</w:t>
            </w:r>
          </w:p>
        </w:tc>
      </w:tr>
      <w:tr w:rsidR="009A2C2E" w14:paraId="493DE382" w14:textId="77777777" w:rsidTr="787E070B">
        <w:trPr>
          <w:cantSplit/>
        </w:trPr>
        <w:tc>
          <w:tcPr>
            <w:tcW w:w="0" w:type="auto"/>
            <w:vMerge/>
          </w:tcPr>
          <w:p w14:paraId="00183DD8" w14:textId="77777777" w:rsidR="009A2C2E" w:rsidRDefault="009A2C2E" w:rsidP="00E53512"/>
        </w:tc>
        <w:tc>
          <w:tcPr>
            <w:tcW w:w="0" w:type="auto"/>
          </w:tcPr>
          <w:p w14:paraId="3D092883" w14:textId="77777777" w:rsidR="009A2C2E" w:rsidRDefault="009A2C2E" w:rsidP="00E53512">
            <w:pPr>
              <w:keepNext/>
              <w:spacing w:before="100" w:after="0"/>
              <w:rPr>
                <w:b/>
              </w:rPr>
            </w:pPr>
            <w:r>
              <w:rPr>
                <w:b/>
              </w:rPr>
              <w:t>Basis for Relative Priority</w:t>
            </w:r>
          </w:p>
        </w:tc>
        <w:tc>
          <w:tcPr>
            <w:tcW w:w="0" w:type="auto"/>
          </w:tcPr>
          <w:p w14:paraId="23640767" w14:textId="77777777" w:rsidR="009A2C2E" w:rsidRPr="00D435F8" w:rsidRDefault="009A2C2E" w:rsidP="00E53512">
            <w:pPr>
              <w:spacing w:before="100" w:after="0"/>
            </w:pPr>
            <w:r w:rsidRPr="00D435F8">
              <w:rPr>
                <w:color w:val="000000"/>
              </w:rPr>
              <w:t>The basis has been determined by four sources:</w:t>
            </w:r>
          </w:p>
          <w:p w14:paraId="4F7CCB6A" w14:textId="4225DF2F" w:rsidR="009A2C2E" w:rsidRPr="00D435F8" w:rsidRDefault="009A2C2E" w:rsidP="00351170">
            <w:pPr>
              <w:numPr>
                <w:ilvl w:val="0"/>
                <w:numId w:val="12"/>
              </w:numPr>
              <w:spacing w:before="100" w:after="0"/>
            </w:pPr>
            <w:r w:rsidRPr="00D435F8">
              <w:rPr>
                <w:color w:val="000000"/>
              </w:rPr>
              <w:t>The local government needs survey conducted by Commerce.</w:t>
            </w:r>
          </w:p>
          <w:p w14:paraId="019488EA" w14:textId="1A2FFFD3" w:rsidR="009A2C2E" w:rsidRPr="00D435F8" w:rsidRDefault="009A2C2E" w:rsidP="00351170">
            <w:pPr>
              <w:numPr>
                <w:ilvl w:val="0"/>
                <w:numId w:val="12"/>
              </w:numPr>
              <w:spacing w:before="100" w:after="0"/>
            </w:pPr>
            <w:r w:rsidRPr="00D435F8">
              <w:rPr>
                <w:color w:val="000000"/>
              </w:rPr>
              <w:t>The American Society of Civil Engineers, 202</w:t>
            </w:r>
            <w:r w:rsidR="00067D97">
              <w:rPr>
                <w:color w:val="000000"/>
              </w:rPr>
              <w:t xml:space="preserve">1 </w:t>
            </w:r>
            <w:r w:rsidRPr="00D435F8">
              <w:rPr>
                <w:color w:val="000000"/>
              </w:rPr>
              <w:t xml:space="preserve">Report Card for Idaho’s infrastructure </w:t>
            </w:r>
            <w:r w:rsidR="00067D97">
              <w:rPr>
                <w:color w:val="000000"/>
              </w:rPr>
              <w:t>t</w:t>
            </w:r>
            <w:r w:rsidRPr="00D435F8">
              <w:rPr>
                <w:color w:val="000000"/>
              </w:rPr>
              <w:t>o further assess non-housing community development needs. </w:t>
            </w:r>
          </w:p>
          <w:p w14:paraId="3A551F99" w14:textId="44041F70" w:rsidR="009A2C2E" w:rsidRPr="00D435F8" w:rsidRDefault="009A2C2E" w:rsidP="00351170">
            <w:pPr>
              <w:numPr>
                <w:ilvl w:val="0"/>
                <w:numId w:val="12"/>
              </w:numPr>
              <w:spacing w:before="100" w:after="0"/>
            </w:pPr>
            <w:r w:rsidRPr="00D435F8">
              <w:rPr>
                <w:color w:val="000000"/>
              </w:rPr>
              <w:t>Public participation.   No comments were received for the pre-draft consolidated plan.   Comments for the final draft are located Unique Appendices.</w:t>
            </w:r>
          </w:p>
          <w:p w14:paraId="6EA9F8F6" w14:textId="434339CF" w:rsidR="009A2C2E" w:rsidRPr="00D435F8" w:rsidRDefault="009A2C2E" w:rsidP="00351170">
            <w:pPr>
              <w:numPr>
                <w:ilvl w:val="0"/>
                <w:numId w:val="12"/>
              </w:numPr>
              <w:spacing w:before="100" w:after="0"/>
            </w:pPr>
            <w:r w:rsidRPr="00D435F8">
              <w:rPr>
                <w:color w:val="000000"/>
              </w:rPr>
              <w:t>Prior five years of CDBG application submissions</w:t>
            </w:r>
            <w:r w:rsidR="00067D97">
              <w:rPr>
                <w:color w:val="000000"/>
              </w:rPr>
              <w:t>.</w:t>
            </w:r>
          </w:p>
          <w:p w14:paraId="6E03C585" w14:textId="0CCE46CF" w:rsidR="00D435F8" w:rsidRDefault="00D435F8" w:rsidP="00D435F8">
            <w:pPr>
              <w:spacing w:before="100" w:after="0"/>
            </w:pPr>
            <w:r>
              <w:rPr>
                <w:color w:val="000000"/>
              </w:rPr>
              <w:t xml:space="preserve">Goals addressing this priority need will be funded by CDBG. </w:t>
            </w:r>
          </w:p>
          <w:p w14:paraId="09C0EC82" w14:textId="77777777" w:rsidR="009A2C2E" w:rsidRPr="00D435F8" w:rsidRDefault="009A2C2E" w:rsidP="00E53512">
            <w:pPr>
              <w:spacing w:before="100" w:after="0"/>
            </w:pPr>
          </w:p>
        </w:tc>
      </w:tr>
      <w:tr w:rsidR="009A2C2E" w14:paraId="697E943A" w14:textId="77777777" w:rsidTr="787E070B">
        <w:trPr>
          <w:cantSplit/>
        </w:trPr>
        <w:tc>
          <w:tcPr>
            <w:tcW w:w="0" w:type="auto"/>
            <w:vMerge w:val="restart"/>
          </w:tcPr>
          <w:p w14:paraId="664DD97A" w14:textId="77777777" w:rsidR="009A2C2E" w:rsidRDefault="009A2C2E" w:rsidP="00E53512">
            <w:r>
              <w:rPr>
                <w:b/>
              </w:rPr>
              <w:t>5</w:t>
            </w:r>
          </w:p>
        </w:tc>
        <w:tc>
          <w:tcPr>
            <w:tcW w:w="0" w:type="auto"/>
          </w:tcPr>
          <w:p w14:paraId="539D02B3" w14:textId="77777777" w:rsidR="009A2C2E" w:rsidRDefault="009A2C2E" w:rsidP="00E53512">
            <w:pPr>
              <w:keepNext/>
              <w:spacing w:before="100" w:after="0"/>
              <w:rPr>
                <w:b/>
              </w:rPr>
            </w:pPr>
            <w:r>
              <w:rPr>
                <w:b/>
              </w:rPr>
              <w:t>Priority Need Name</w:t>
            </w:r>
          </w:p>
        </w:tc>
        <w:tc>
          <w:tcPr>
            <w:tcW w:w="0" w:type="auto"/>
          </w:tcPr>
          <w:p w14:paraId="497D5DA6" w14:textId="77777777" w:rsidR="009A2C2E" w:rsidRDefault="009A2C2E" w:rsidP="00E53512">
            <w:pPr>
              <w:spacing w:before="100" w:after="0"/>
            </w:pPr>
            <w:bookmarkStart w:id="61" w:name="_Hlk188969051"/>
            <w:r>
              <w:rPr>
                <w:color w:val="000000"/>
              </w:rPr>
              <w:t>Housing related activities</w:t>
            </w:r>
            <w:bookmarkEnd w:id="61"/>
          </w:p>
        </w:tc>
      </w:tr>
      <w:tr w:rsidR="009A2C2E" w14:paraId="7DC11308" w14:textId="77777777" w:rsidTr="787E070B">
        <w:trPr>
          <w:cantSplit/>
        </w:trPr>
        <w:tc>
          <w:tcPr>
            <w:tcW w:w="0" w:type="auto"/>
            <w:vMerge/>
          </w:tcPr>
          <w:p w14:paraId="380956A1" w14:textId="77777777" w:rsidR="009A2C2E" w:rsidRDefault="009A2C2E" w:rsidP="00E53512"/>
        </w:tc>
        <w:tc>
          <w:tcPr>
            <w:tcW w:w="0" w:type="auto"/>
          </w:tcPr>
          <w:p w14:paraId="594D24FF" w14:textId="77777777" w:rsidR="009A2C2E" w:rsidRDefault="009A2C2E" w:rsidP="00E53512">
            <w:pPr>
              <w:keepNext/>
              <w:spacing w:before="100" w:after="0"/>
              <w:rPr>
                <w:b/>
              </w:rPr>
            </w:pPr>
            <w:r>
              <w:rPr>
                <w:b/>
              </w:rPr>
              <w:t>Priority Level</w:t>
            </w:r>
          </w:p>
        </w:tc>
        <w:tc>
          <w:tcPr>
            <w:tcW w:w="0" w:type="auto"/>
          </w:tcPr>
          <w:p w14:paraId="7F91218D" w14:textId="77777777" w:rsidR="009A2C2E" w:rsidRDefault="009A2C2E" w:rsidP="00E53512">
            <w:pPr>
              <w:spacing w:before="100" w:after="0"/>
            </w:pPr>
            <w:r>
              <w:rPr>
                <w:color w:val="000000"/>
              </w:rPr>
              <w:t>Low</w:t>
            </w:r>
          </w:p>
        </w:tc>
      </w:tr>
      <w:tr w:rsidR="009A2C2E" w14:paraId="3C71BA91" w14:textId="77777777" w:rsidTr="787E070B">
        <w:trPr>
          <w:cantSplit/>
        </w:trPr>
        <w:tc>
          <w:tcPr>
            <w:tcW w:w="0" w:type="auto"/>
            <w:vMerge/>
          </w:tcPr>
          <w:p w14:paraId="73042100" w14:textId="77777777" w:rsidR="009A2C2E" w:rsidRDefault="009A2C2E" w:rsidP="00E53512"/>
        </w:tc>
        <w:tc>
          <w:tcPr>
            <w:tcW w:w="0" w:type="auto"/>
          </w:tcPr>
          <w:p w14:paraId="0072EA06" w14:textId="77777777" w:rsidR="009A2C2E" w:rsidRDefault="009A2C2E" w:rsidP="00E53512">
            <w:pPr>
              <w:keepNext/>
              <w:spacing w:before="100" w:after="0"/>
              <w:rPr>
                <w:b/>
              </w:rPr>
            </w:pPr>
            <w:r>
              <w:rPr>
                <w:b/>
              </w:rPr>
              <w:t>Population</w:t>
            </w:r>
          </w:p>
        </w:tc>
        <w:tc>
          <w:tcPr>
            <w:tcW w:w="0" w:type="auto"/>
          </w:tcPr>
          <w:p w14:paraId="5388A6BE" w14:textId="77777777" w:rsidR="009A2C2E" w:rsidRDefault="009A2C2E" w:rsidP="00E53512">
            <w:pPr>
              <w:spacing w:before="100" w:after="0"/>
            </w:pPr>
            <w:r>
              <w:rPr>
                <w:color w:val="000000"/>
              </w:rPr>
              <w:t>Extremely Low</w:t>
            </w:r>
            <w:r>
              <w:rPr>
                <w:color w:val="000000"/>
              </w:rPr>
              <w:br/>
              <w:t>Low</w:t>
            </w:r>
            <w:r>
              <w:rPr>
                <w:color w:val="000000"/>
              </w:rPr>
              <w:br/>
              <w:t>Moderate</w:t>
            </w:r>
            <w:r>
              <w:rPr>
                <w:color w:val="000000"/>
              </w:rPr>
              <w:br/>
              <w:t>Middle</w:t>
            </w:r>
            <w:r>
              <w:rPr>
                <w:color w:val="000000"/>
              </w:rPr>
              <w:br/>
              <w:t>Large Families</w:t>
            </w:r>
            <w:r>
              <w:rPr>
                <w:color w:val="000000"/>
              </w:rPr>
              <w:br/>
              <w:t>Families with Children</w:t>
            </w:r>
            <w:r>
              <w:rPr>
                <w:color w:val="000000"/>
              </w:rPr>
              <w:br/>
              <w:t>Elderly</w:t>
            </w:r>
            <w:r>
              <w:rPr>
                <w:color w:val="000000"/>
              </w:rPr>
              <w:br/>
              <w:t>Rural</w:t>
            </w:r>
            <w:r>
              <w:rPr>
                <w:color w:val="000000"/>
              </w:rPr>
              <w:br/>
              <w:t>Chronic Homelessness</w:t>
            </w:r>
          </w:p>
        </w:tc>
      </w:tr>
      <w:tr w:rsidR="009A2C2E" w14:paraId="4D10EC95" w14:textId="77777777" w:rsidTr="787E070B">
        <w:trPr>
          <w:cantSplit/>
        </w:trPr>
        <w:tc>
          <w:tcPr>
            <w:tcW w:w="0" w:type="auto"/>
            <w:vMerge/>
          </w:tcPr>
          <w:p w14:paraId="720F0F0F" w14:textId="77777777" w:rsidR="009A2C2E" w:rsidRDefault="009A2C2E" w:rsidP="00E53512"/>
        </w:tc>
        <w:tc>
          <w:tcPr>
            <w:tcW w:w="0" w:type="auto"/>
          </w:tcPr>
          <w:p w14:paraId="46C1B01B" w14:textId="77777777" w:rsidR="009A2C2E" w:rsidRDefault="009A2C2E" w:rsidP="00E53512">
            <w:pPr>
              <w:keepNext/>
              <w:spacing w:before="100" w:after="0"/>
              <w:rPr>
                <w:b/>
              </w:rPr>
            </w:pPr>
            <w:r>
              <w:rPr>
                <w:b/>
              </w:rPr>
              <w:t>Geographic Areas Affected</w:t>
            </w:r>
          </w:p>
        </w:tc>
        <w:tc>
          <w:tcPr>
            <w:tcW w:w="0" w:type="auto"/>
          </w:tcPr>
          <w:p w14:paraId="0F8DC6D1" w14:textId="77777777" w:rsidR="009A2C2E" w:rsidRDefault="009A2C2E" w:rsidP="00E53512">
            <w:pPr>
              <w:spacing w:before="100" w:after="0"/>
            </w:pPr>
            <w:r>
              <w:rPr>
                <w:color w:val="000000"/>
              </w:rPr>
              <w:t xml:space="preserve"> </w:t>
            </w:r>
          </w:p>
        </w:tc>
      </w:tr>
      <w:tr w:rsidR="009A2C2E" w14:paraId="4A4CE835" w14:textId="77777777" w:rsidTr="787E070B">
        <w:trPr>
          <w:cantSplit/>
        </w:trPr>
        <w:tc>
          <w:tcPr>
            <w:tcW w:w="0" w:type="auto"/>
            <w:vMerge/>
          </w:tcPr>
          <w:p w14:paraId="1D50F3DC" w14:textId="77777777" w:rsidR="009A2C2E" w:rsidRDefault="009A2C2E" w:rsidP="00E53512"/>
        </w:tc>
        <w:tc>
          <w:tcPr>
            <w:tcW w:w="0" w:type="auto"/>
          </w:tcPr>
          <w:p w14:paraId="45A80FB2" w14:textId="77777777" w:rsidR="009A2C2E" w:rsidRDefault="009A2C2E" w:rsidP="00E53512">
            <w:pPr>
              <w:keepNext/>
              <w:spacing w:before="100" w:after="0"/>
              <w:rPr>
                <w:b/>
              </w:rPr>
            </w:pPr>
            <w:r>
              <w:rPr>
                <w:b/>
              </w:rPr>
              <w:t>Associated Goals</w:t>
            </w:r>
          </w:p>
        </w:tc>
        <w:tc>
          <w:tcPr>
            <w:tcW w:w="0" w:type="auto"/>
          </w:tcPr>
          <w:p w14:paraId="5B6EF229" w14:textId="77777777" w:rsidR="009A2C2E" w:rsidRDefault="009A2C2E" w:rsidP="00E53512">
            <w:pPr>
              <w:spacing w:before="100" w:after="0"/>
            </w:pPr>
            <w:r>
              <w:rPr>
                <w:color w:val="000000"/>
              </w:rPr>
              <w:t>Provide Suitable Living Environment</w:t>
            </w:r>
            <w:r>
              <w:rPr>
                <w:color w:val="000000"/>
              </w:rPr>
              <w:br/>
              <w:t>Public Facilities/Infrastructure-Compliance</w:t>
            </w:r>
            <w:r>
              <w:rPr>
                <w:color w:val="000000"/>
              </w:rPr>
              <w:br/>
              <w:t>Public Facilities/Infrastructure-New Construction</w:t>
            </w:r>
            <w:r>
              <w:rPr>
                <w:color w:val="000000"/>
              </w:rPr>
              <w:br/>
              <w:t>Public Facilities/Infrastructure-Rehabilitation</w:t>
            </w:r>
          </w:p>
        </w:tc>
      </w:tr>
      <w:tr w:rsidR="009A2C2E" w14:paraId="21DC109A" w14:textId="77777777" w:rsidTr="787E070B">
        <w:trPr>
          <w:cantSplit/>
        </w:trPr>
        <w:tc>
          <w:tcPr>
            <w:tcW w:w="0" w:type="auto"/>
            <w:vMerge/>
          </w:tcPr>
          <w:p w14:paraId="037526E1" w14:textId="77777777" w:rsidR="009A2C2E" w:rsidRDefault="009A2C2E" w:rsidP="00E53512"/>
        </w:tc>
        <w:tc>
          <w:tcPr>
            <w:tcW w:w="0" w:type="auto"/>
          </w:tcPr>
          <w:p w14:paraId="40612F40" w14:textId="77777777" w:rsidR="009A2C2E" w:rsidRDefault="009A2C2E" w:rsidP="00E53512">
            <w:pPr>
              <w:keepNext/>
              <w:spacing w:before="100" w:after="0"/>
              <w:rPr>
                <w:b/>
              </w:rPr>
            </w:pPr>
            <w:r>
              <w:rPr>
                <w:b/>
              </w:rPr>
              <w:t>Description</w:t>
            </w:r>
          </w:p>
        </w:tc>
        <w:tc>
          <w:tcPr>
            <w:tcW w:w="0" w:type="auto"/>
          </w:tcPr>
          <w:p w14:paraId="6B5E75DA" w14:textId="77777777" w:rsidR="009A2C2E" w:rsidRDefault="009A2C2E" w:rsidP="00E53512">
            <w:pPr>
              <w:spacing w:before="100" w:after="0"/>
            </w:pPr>
            <w:r>
              <w:rPr>
                <w:color w:val="000000"/>
              </w:rPr>
              <w:t xml:space="preserve">Housing related activities - water/sewer hookups </w:t>
            </w:r>
            <w:proofErr w:type="spellStart"/>
            <w:r>
              <w:rPr>
                <w:color w:val="000000"/>
              </w:rPr>
              <w:t>to</w:t>
            </w:r>
            <w:proofErr w:type="spellEnd"/>
            <w:r>
              <w:rPr>
                <w:color w:val="000000"/>
              </w:rPr>
              <w:t xml:space="preserve"> low to moderate income persons, public infrastructure expansion to affordable housing, acquisition of property to construct affordable housing, acquisition or rehabilitation of existing affordable housing, subordinated loans for homeownership.</w:t>
            </w:r>
          </w:p>
        </w:tc>
      </w:tr>
      <w:tr w:rsidR="009A2C2E" w14:paraId="353C5578" w14:textId="77777777" w:rsidTr="787E070B">
        <w:trPr>
          <w:cantSplit/>
        </w:trPr>
        <w:tc>
          <w:tcPr>
            <w:tcW w:w="0" w:type="auto"/>
            <w:vMerge/>
          </w:tcPr>
          <w:p w14:paraId="1275A6B6" w14:textId="77777777" w:rsidR="009A2C2E" w:rsidRDefault="009A2C2E" w:rsidP="00E53512"/>
        </w:tc>
        <w:tc>
          <w:tcPr>
            <w:tcW w:w="0" w:type="auto"/>
          </w:tcPr>
          <w:p w14:paraId="46894186" w14:textId="77777777" w:rsidR="009A2C2E" w:rsidRDefault="009A2C2E" w:rsidP="00E53512">
            <w:pPr>
              <w:keepNext/>
              <w:spacing w:before="100" w:after="0"/>
              <w:rPr>
                <w:b/>
              </w:rPr>
            </w:pPr>
            <w:r>
              <w:rPr>
                <w:b/>
              </w:rPr>
              <w:t>Basis for Relative Priority</w:t>
            </w:r>
          </w:p>
        </w:tc>
        <w:tc>
          <w:tcPr>
            <w:tcW w:w="0" w:type="auto"/>
          </w:tcPr>
          <w:p w14:paraId="1AA38E5E" w14:textId="77777777" w:rsidR="009A2C2E" w:rsidRDefault="009A2C2E" w:rsidP="00E53512">
            <w:pPr>
              <w:spacing w:before="100" w:after="0"/>
            </w:pPr>
            <w:r>
              <w:rPr>
                <w:color w:val="000000"/>
              </w:rPr>
              <w:t xml:space="preserve">The basis has been determined by four sources:  </w:t>
            </w:r>
          </w:p>
          <w:p w14:paraId="0F997A14" w14:textId="5F967E1D" w:rsidR="009A2C2E" w:rsidRDefault="009A2C2E" w:rsidP="00351170">
            <w:pPr>
              <w:numPr>
                <w:ilvl w:val="0"/>
                <w:numId w:val="12"/>
              </w:numPr>
              <w:spacing w:before="100" w:after="0"/>
            </w:pPr>
            <w:r>
              <w:rPr>
                <w:color w:val="000000"/>
              </w:rPr>
              <w:t>The local government needs survey conducted by Commerce.</w:t>
            </w:r>
          </w:p>
          <w:p w14:paraId="0DED0126" w14:textId="0A622034" w:rsidR="009A2C2E" w:rsidRDefault="009A2C2E" w:rsidP="00351170">
            <w:pPr>
              <w:numPr>
                <w:ilvl w:val="0"/>
                <w:numId w:val="12"/>
              </w:numPr>
              <w:spacing w:before="100" w:after="0"/>
            </w:pPr>
            <w:r>
              <w:rPr>
                <w:color w:val="000000"/>
              </w:rPr>
              <w:t>The American Society of Civil Engineers, 202</w:t>
            </w:r>
            <w:r w:rsidR="003D336B">
              <w:rPr>
                <w:color w:val="000000"/>
              </w:rPr>
              <w:t>1</w:t>
            </w:r>
            <w:r>
              <w:rPr>
                <w:color w:val="000000"/>
              </w:rPr>
              <w:t xml:space="preserve"> Report Card for Idaho’s infrastructure to further assess non-housing community development needs. </w:t>
            </w:r>
          </w:p>
          <w:p w14:paraId="5851C4E7" w14:textId="2419331C" w:rsidR="009A2C2E" w:rsidRDefault="009A2C2E" w:rsidP="00351170">
            <w:pPr>
              <w:numPr>
                <w:ilvl w:val="0"/>
                <w:numId w:val="12"/>
              </w:numPr>
              <w:spacing w:before="100" w:after="0"/>
            </w:pPr>
            <w:r>
              <w:rPr>
                <w:color w:val="000000"/>
              </w:rPr>
              <w:t>Public participation.   No comments were received for the pre-draft consolidated plan.  </w:t>
            </w:r>
          </w:p>
          <w:p w14:paraId="53FBB14D" w14:textId="46EC1F4D" w:rsidR="009A2C2E" w:rsidRDefault="009A2C2E" w:rsidP="00351170">
            <w:pPr>
              <w:numPr>
                <w:ilvl w:val="0"/>
                <w:numId w:val="12"/>
              </w:numPr>
              <w:spacing w:before="100" w:after="0"/>
            </w:pPr>
            <w:r>
              <w:rPr>
                <w:color w:val="000000"/>
              </w:rPr>
              <w:t>Prior five years of CDBG application submissions</w:t>
            </w:r>
            <w:r w:rsidR="00067D97">
              <w:rPr>
                <w:color w:val="000000"/>
              </w:rPr>
              <w:t>.</w:t>
            </w:r>
          </w:p>
          <w:p w14:paraId="64553E1A" w14:textId="5C83986D" w:rsidR="009A2C2E" w:rsidRDefault="00D435F8" w:rsidP="00E53512">
            <w:pPr>
              <w:spacing w:before="100" w:after="0"/>
            </w:pPr>
            <w:r>
              <w:rPr>
                <w:color w:val="000000"/>
              </w:rPr>
              <w:t xml:space="preserve">Goals addressing this priority need will be funded by CDBG. </w:t>
            </w:r>
          </w:p>
        </w:tc>
      </w:tr>
      <w:tr w:rsidR="009A2C2E" w14:paraId="13BEF600" w14:textId="77777777" w:rsidTr="787E070B">
        <w:trPr>
          <w:cantSplit/>
        </w:trPr>
        <w:tc>
          <w:tcPr>
            <w:tcW w:w="0" w:type="auto"/>
            <w:vMerge w:val="restart"/>
          </w:tcPr>
          <w:p w14:paraId="66A7B741" w14:textId="77777777" w:rsidR="009A2C2E" w:rsidRDefault="009A2C2E" w:rsidP="00E53512">
            <w:r>
              <w:rPr>
                <w:b/>
              </w:rPr>
              <w:t>6</w:t>
            </w:r>
          </w:p>
        </w:tc>
        <w:tc>
          <w:tcPr>
            <w:tcW w:w="0" w:type="auto"/>
          </w:tcPr>
          <w:p w14:paraId="4B2E3093" w14:textId="77777777" w:rsidR="009A2C2E" w:rsidRDefault="009A2C2E" w:rsidP="00E53512">
            <w:pPr>
              <w:keepNext/>
              <w:spacing w:before="100" w:after="0"/>
              <w:rPr>
                <w:b/>
              </w:rPr>
            </w:pPr>
            <w:r>
              <w:rPr>
                <w:b/>
              </w:rPr>
              <w:t>Priority Need Name</w:t>
            </w:r>
          </w:p>
        </w:tc>
        <w:tc>
          <w:tcPr>
            <w:tcW w:w="0" w:type="auto"/>
          </w:tcPr>
          <w:p w14:paraId="460A49D3" w14:textId="77777777" w:rsidR="009A2C2E" w:rsidRDefault="009A2C2E" w:rsidP="00E53512">
            <w:pPr>
              <w:spacing w:before="100" w:after="0"/>
            </w:pPr>
            <w:bookmarkStart w:id="62" w:name="_Hlk188969064"/>
            <w:r>
              <w:rPr>
                <w:color w:val="000000"/>
              </w:rPr>
              <w:t>Economic Development</w:t>
            </w:r>
            <w:bookmarkEnd w:id="62"/>
          </w:p>
        </w:tc>
      </w:tr>
      <w:tr w:rsidR="009A2C2E" w14:paraId="3F2AD3AA" w14:textId="77777777" w:rsidTr="787E070B">
        <w:trPr>
          <w:cantSplit/>
        </w:trPr>
        <w:tc>
          <w:tcPr>
            <w:tcW w:w="0" w:type="auto"/>
            <w:vMerge/>
          </w:tcPr>
          <w:p w14:paraId="1FF02961" w14:textId="77777777" w:rsidR="009A2C2E" w:rsidRDefault="009A2C2E" w:rsidP="00E53512"/>
        </w:tc>
        <w:tc>
          <w:tcPr>
            <w:tcW w:w="0" w:type="auto"/>
          </w:tcPr>
          <w:p w14:paraId="5B703DBC" w14:textId="77777777" w:rsidR="009A2C2E" w:rsidRDefault="009A2C2E" w:rsidP="00E53512">
            <w:pPr>
              <w:keepNext/>
              <w:spacing w:before="100" w:after="0"/>
              <w:rPr>
                <w:b/>
              </w:rPr>
            </w:pPr>
            <w:r>
              <w:rPr>
                <w:b/>
              </w:rPr>
              <w:t>Priority Level</w:t>
            </w:r>
          </w:p>
        </w:tc>
        <w:tc>
          <w:tcPr>
            <w:tcW w:w="0" w:type="auto"/>
          </w:tcPr>
          <w:p w14:paraId="7BFD4AC8" w14:textId="77777777" w:rsidR="009A2C2E" w:rsidRDefault="009A2C2E" w:rsidP="00E53512">
            <w:pPr>
              <w:spacing w:before="100" w:after="0"/>
            </w:pPr>
            <w:r>
              <w:rPr>
                <w:color w:val="000000"/>
              </w:rPr>
              <w:t>High</w:t>
            </w:r>
          </w:p>
        </w:tc>
      </w:tr>
      <w:tr w:rsidR="009A2C2E" w14:paraId="60DB0D16" w14:textId="77777777" w:rsidTr="787E070B">
        <w:trPr>
          <w:cantSplit/>
        </w:trPr>
        <w:tc>
          <w:tcPr>
            <w:tcW w:w="0" w:type="auto"/>
            <w:vMerge/>
          </w:tcPr>
          <w:p w14:paraId="69070815" w14:textId="77777777" w:rsidR="009A2C2E" w:rsidRDefault="009A2C2E" w:rsidP="00E53512"/>
        </w:tc>
        <w:tc>
          <w:tcPr>
            <w:tcW w:w="0" w:type="auto"/>
          </w:tcPr>
          <w:p w14:paraId="4DCDF9FA" w14:textId="77777777" w:rsidR="009A2C2E" w:rsidRDefault="009A2C2E" w:rsidP="00E53512">
            <w:pPr>
              <w:keepNext/>
              <w:spacing w:before="100" w:after="0"/>
              <w:rPr>
                <w:b/>
              </w:rPr>
            </w:pPr>
            <w:r>
              <w:rPr>
                <w:b/>
              </w:rPr>
              <w:t>Population</w:t>
            </w:r>
          </w:p>
        </w:tc>
        <w:tc>
          <w:tcPr>
            <w:tcW w:w="0" w:type="auto"/>
          </w:tcPr>
          <w:p w14:paraId="71FBB852" w14:textId="77777777" w:rsidR="009A2C2E" w:rsidRDefault="009A2C2E" w:rsidP="00E53512">
            <w:pPr>
              <w:spacing w:before="100" w:after="0"/>
            </w:pPr>
            <w:r>
              <w:rPr>
                <w:color w:val="000000"/>
              </w:rPr>
              <w:t>Extremely Low</w:t>
            </w:r>
            <w:r>
              <w:rPr>
                <w:color w:val="000000"/>
              </w:rPr>
              <w:br/>
              <w:t>Low</w:t>
            </w:r>
            <w:r>
              <w:rPr>
                <w:color w:val="000000"/>
              </w:rPr>
              <w:br/>
              <w:t>Moderate</w:t>
            </w:r>
            <w:r>
              <w:rPr>
                <w:color w:val="000000"/>
              </w:rPr>
              <w:br/>
              <w:t>Rural</w:t>
            </w:r>
            <w:r>
              <w:rPr>
                <w:color w:val="000000"/>
              </w:rPr>
              <w:br/>
              <w:t>Non-housing Community Development</w:t>
            </w:r>
          </w:p>
        </w:tc>
      </w:tr>
      <w:tr w:rsidR="009A2C2E" w14:paraId="335D891E" w14:textId="77777777" w:rsidTr="787E070B">
        <w:trPr>
          <w:cantSplit/>
        </w:trPr>
        <w:tc>
          <w:tcPr>
            <w:tcW w:w="0" w:type="auto"/>
            <w:vMerge/>
          </w:tcPr>
          <w:p w14:paraId="4E91E307" w14:textId="77777777" w:rsidR="009A2C2E" w:rsidRDefault="009A2C2E" w:rsidP="00E53512"/>
        </w:tc>
        <w:tc>
          <w:tcPr>
            <w:tcW w:w="0" w:type="auto"/>
          </w:tcPr>
          <w:p w14:paraId="4DBF5BCF" w14:textId="77777777" w:rsidR="009A2C2E" w:rsidRDefault="009A2C2E" w:rsidP="00E53512">
            <w:pPr>
              <w:keepNext/>
              <w:spacing w:before="100" w:after="0"/>
              <w:rPr>
                <w:b/>
              </w:rPr>
            </w:pPr>
            <w:r>
              <w:rPr>
                <w:b/>
              </w:rPr>
              <w:t>Geographic Areas Affected</w:t>
            </w:r>
          </w:p>
        </w:tc>
        <w:tc>
          <w:tcPr>
            <w:tcW w:w="0" w:type="auto"/>
          </w:tcPr>
          <w:p w14:paraId="4131ECFD" w14:textId="77777777" w:rsidR="009A2C2E" w:rsidRDefault="009A2C2E" w:rsidP="00E53512">
            <w:pPr>
              <w:spacing w:before="100" w:after="0"/>
            </w:pPr>
            <w:r>
              <w:rPr>
                <w:color w:val="000000"/>
              </w:rPr>
              <w:t xml:space="preserve"> </w:t>
            </w:r>
          </w:p>
        </w:tc>
      </w:tr>
      <w:tr w:rsidR="009A2C2E" w14:paraId="42990393" w14:textId="77777777" w:rsidTr="787E070B">
        <w:trPr>
          <w:cantSplit/>
        </w:trPr>
        <w:tc>
          <w:tcPr>
            <w:tcW w:w="0" w:type="auto"/>
            <w:vMerge/>
          </w:tcPr>
          <w:p w14:paraId="26620A42" w14:textId="77777777" w:rsidR="009A2C2E" w:rsidRDefault="009A2C2E" w:rsidP="00E53512"/>
        </w:tc>
        <w:tc>
          <w:tcPr>
            <w:tcW w:w="0" w:type="auto"/>
          </w:tcPr>
          <w:p w14:paraId="1A304EF6" w14:textId="77777777" w:rsidR="009A2C2E" w:rsidRDefault="009A2C2E" w:rsidP="00E53512">
            <w:pPr>
              <w:keepNext/>
              <w:spacing w:before="100" w:after="0"/>
              <w:rPr>
                <w:b/>
              </w:rPr>
            </w:pPr>
            <w:r>
              <w:rPr>
                <w:b/>
              </w:rPr>
              <w:t>Associated Goals</w:t>
            </w:r>
          </w:p>
        </w:tc>
        <w:tc>
          <w:tcPr>
            <w:tcW w:w="0" w:type="auto"/>
          </w:tcPr>
          <w:p w14:paraId="4A51E3B2" w14:textId="77777777" w:rsidR="009A2C2E" w:rsidRDefault="009A2C2E" w:rsidP="00E53512">
            <w:pPr>
              <w:spacing w:before="100" w:after="0"/>
            </w:pPr>
            <w:r>
              <w:rPr>
                <w:color w:val="000000"/>
              </w:rPr>
              <w:t>Economic Development-Downtown Revitalization</w:t>
            </w:r>
            <w:r>
              <w:rPr>
                <w:color w:val="000000"/>
              </w:rPr>
              <w:br/>
              <w:t>Economic Development-Job Creation</w:t>
            </w:r>
          </w:p>
        </w:tc>
      </w:tr>
      <w:tr w:rsidR="009A2C2E" w14:paraId="2EBE67E8" w14:textId="77777777" w:rsidTr="787E070B">
        <w:trPr>
          <w:cantSplit/>
        </w:trPr>
        <w:tc>
          <w:tcPr>
            <w:tcW w:w="0" w:type="auto"/>
            <w:vMerge/>
          </w:tcPr>
          <w:p w14:paraId="032AE510" w14:textId="77777777" w:rsidR="009A2C2E" w:rsidRDefault="009A2C2E" w:rsidP="00E53512"/>
        </w:tc>
        <w:tc>
          <w:tcPr>
            <w:tcW w:w="0" w:type="auto"/>
          </w:tcPr>
          <w:p w14:paraId="1FA2554E" w14:textId="77777777" w:rsidR="009A2C2E" w:rsidRDefault="009A2C2E" w:rsidP="00E53512">
            <w:pPr>
              <w:keepNext/>
              <w:spacing w:before="100" w:after="0"/>
              <w:rPr>
                <w:b/>
              </w:rPr>
            </w:pPr>
            <w:r>
              <w:rPr>
                <w:b/>
              </w:rPr>
              <w:t>Description</w:t>
            </w:r>
          </w:p>
        </w:tc>
        <w:tc>
          <w:tcPr>
            <w:tcW w:w="0" w:type="auto"/>
          </w:tcPr>
          <w:p w14:paraId="31AF578C" w14:textId="77777777" w:rsidR="009A2C2E" w:rsidRDefault="009A2C2E" w:rsidP="00E53512">
            <w:pPr>
              <w:spacing w:before="100" w:after="0"/>
            </w:pPr>
            <w:r>
              <w:rPr>
                <w:color w:val="000000"/>
              </w:rPr>
              <w:t>Economic Development - job creation and downtown revitalization (expansion or extension of public infrastructure that serves a business that will create new jobs).  Providing business loans.</w:t>
            </w:r>
          </w:p>
        </w:tc>
      </w:tr>
      <w:tr w:rsidR="009A2C2E" w14:paraId="5E597F86" w14:textId="77777777" w:rsidTr="787E070B">
        <w:trPr>
          <w:cantSplit/>
        </w:trPr>
        <w:tc>
          <w:tcPr>
            <w:tcW w:w="0" w:type="auto"/>
            <w:vMerge/>
          </w:tcPr>
          <w:p w14:paraId="59A50526" w14:textId="77777777" w:rsidR="009A2C2E" w:rsidRDefault="009A2C2E" w:rsidP="00E53512"/>
        </w:tc>
        <w:tc>
          <w:tcPr>
            <w:tcW w:w="0" w:type="auto"/>
          </w:tcPr>
          <w:p w14:paraId="2AC362CA" w14:textId="77777777" w:rsidR="009A2C2E" w:rsidRDefault="009A2C2E" w:rsidP="00E53512">
            <w:pPr>
              <w:keepNext/>
              <w:spacing w:before="100" w:after="0"/>
              <w:rPr>
                <w:b/>
              </w:rPr>
            </w:pPr>
            <w:r>
              <w:rPr>
                <w:b/>
              </w:rPr>
              <w:t>Basis for Relative Priority</w:t>
            </w:r>
          </w:p>
        </w:tc>
        <w:tc>
          <w:tcPr>
            <w:tcW w:w="0" w:type="auto"/>
          </w:tcPr>
          <w:p w14:paraId="24B1AD03" w14:textId="77777777" w:rsidR="009A2C2E" w:rsidRDefault="009A2C2E" w:rsidP="00E53512">
            <w:pPr>
              <w:spacing w:before="100" w:after="0"/>
            </w:pPr>
            <w:r>
              <w:rPr>
                <w:color w:val="000000"/>
              </w:rPr>
              <w:t xml:space="preserve">The basis has been determined by four sources:  </w:t>
            </w:r>
          </w:p>
          <w:p w14:paraId="4F470675" w14:textId="50C82BA2" w:rsidR="009A2C2E" w:rsidRDefault="009A2C2E" w:rsidP="00351170">
            <w:pPr>
              <w:numPr>
                <w:ilvl w:val="0"/>
                <w:numId w:val="12"/>
              </w:numPr>
              <w:spacing w:before="100" w:after="0"/>
            </w:pPr>
            <w:r>
              <w:rPr>
                <w:color w:val="000000"/>
              </w:rPr>
              <w:t>The local government needs survey conducted by Commerce</w:t>
            </w:r>
            <w:r w:rsidR="003D336B">
              <w:rPr>
                <w:color w:val="000000"/>
              </w:rPr>
              <w:t>.</w:t>
            </w:r>
          </w:p>
          <w:p w14:paraId="72CFA372" w14:textId="2FAF320A" w:rsidR="009A2C2E" w:rsidRDefault="009A2C2E" w:rsidP="00351170">
            <w:pPr>
              <w:numPr>
                <w:ilvl w:val="0"/>
                <w:numId w:val="12"/>
              </w:numPr>
              <w:spacing w:before="100" w:after="0"/>
            </w:pPr>
            <w:r>
              <w:rPr>
                <w:color w:val="000000"/>
              </w:rPr>
              <w:t>The American Society of Civil Engineers, 20</w:t>
            </w:r>
            <w:r w:rsidR="003D336B">
              <w:rPr>
                <w:color w:val="000000"/>
              </w:rPr>
              <w:t xml:space="preserve">21 </w:t>
            </w:r>
            <w:r>
              <w:rPr>
                <w:color w:val="000000"/>
              </w:rPr>
              <w:t>Report Card for Idaho’s infrastructure to further assess non-housing community development needs. </w:t>
            </w:r>
          </w:p>
          <w:p w14:paraId="22BE50AA" w14:textId="100B8188" w:rsidR="009A2C2E" w:rsidRDefault="009A2C2E" w:rsidP="00351170">
            <w:pPr>
              <w:numPr>
                <w:ilvl w:val="0"/>
                <w:numId w:val="12"/>
              </w:numPr>
              <w:spacing w:before="100" w:after="0"/>
            </w:pPr>
            <w:r>
              <w:rPr>
                <w:color w:val="000000"/>
              </w:rPr>
              <w:t xml:space="preserve">Public participation.   No comments were received for the pre-draft consolidated plan.   Comments for the final draft </w:t>
            </w:r>
            <w:proofErr w:type="gramStart"/>
            <w:r>
              <w:rPr>
                <w:color w:val="000000"/>
              </w:rPr>
              <w:t>are located in</w:t>
            </w:r>
            <w:proofErr w:type="gramEnd"/>
            <w:r>
              <w:rPr>
                <w:color w:val="000000"/>
              </w:rPr>
              <w:t xml:space="preserve"> the Unique Appendices.</w:t>
            </w:r>
          </w:p>
          <w:p w14:paraId="7A295429" w14:textId="017C3C79" w:rsidR="009A2C2E" w:rsidRDefault="009A2C2E" w:rsidP="00351170">
            <w:pPr>
              <w:numPr>
                <w:ilvl w:val="0"/>
                <w:numId w:val="12"/>
              </w:numPr>
              <w:spacing w:before="100" w:after="0"/>
            </w:pPr>
            <w:r>
              <w:rPr>
                <w:color w:val="000000"/>
              </w:rPr>
              <w:t>Prior five years of CDBG application submissions</w:t>
            </w:r>
            <w:r w:rsidR="00067D97">
              <w:rPr>
                <w:color w:val="000000"/>
              </w:rPr>
              <w:t>.</w:t>
            </w:r>
          </w:p>
          <w:p w14:paraId="1E8E90E6" w14:textId="1E7CC279" w:rsidR="009A2C2E" w:rsidRDefault="00D435F8" w:rsidP="00D435F8">
            <w:pPr>
              <w:spacing w:before="100" w:after="0"/>
            </w:pPr>
            <w:r>
              <w:rPr>
                <w:color w:val="000000"/>
              </w:rPr>
              <w:t>Goals addressing this priority need will be funded by CDBG.</w:t>
            </w:r>
          </w:p>
        </w:tc>
      </w:tr>
      <w:tr w:rsidR="009A2C2E" w14:paraId="5A94725E" w14:textId="77777777" w:rsidTr="787E070B">
        <w:trPr>
          <w:cantSplit/>
        </w:trPr>
        <w:tc>
          <w:tcPr>
            <w:tcW w:w="0" w:type="auto"/>
            <w:vMerge w:val="restart"/>
          </w:tcPr>
          <w:p w14:paraId="2A7E2BD2" w14:textId="77777777" w:rsidR="009A2C2E" w:rsidRDefault="009A2C2E" w:rsidP="00E53512">
            <w:r>
              <w:rPr>
                <w:b/>
              </w:rPr>
              <w:t>7</w:t>
            </w:r>
          </w:p>
        </w:tc>
        <w:tc>
          <w:tcPr>
            <w:tcW w:w="0" w:type="auto"/>
          </w:tcPr>
          <w:p w14:paraId="4563DF98" w14:textId="77777777" w:rsidR="009A2C2E" w:rsidRDefault="009A2C2E" w:rsidP="00E53512">
            <w:pPr>
              <w:keepNext/>
              <w:spacing w:before="100" w:after="0"/>
              <w:rPr>
                <w:b/>
              </w:rPr>
            </w:pPr>
            <w:r>
              <w:rPr>
                <w:b/>
              </w:rPr>
              <w:t>Priority Need Name</w:t>
            </w:r>
          </w:p>
        </w:tc>
        <w:tc>
          <w:tcPr>
            <w:tcW w:w="0" w:type="auto"/>
          </w:tcPr>
          <w:p w14:paraId="2385AEED" w14:textId="77777777" w:rsidR="009A2C2E" w:rsidRDefault="009A2C2E" w:rsidP="00E53512">
            <w:pPr>
              <w:spacing w:before="100" w:after="0"/>
            </w:pPr>
            <w:bookmarkStart w:id="63" w:name="_Hlk188969079"/>
            <w:r>
              <w:rPr>
                <w:color w:val="000000"/>
              </w:rPr>
              <w:t>Cleanup of blighted properties</w:t>
            </w:r>
            <w:bookmarkEnd w:id="63"/>
          </w:p>
        </w:tc>
      </w:tr>
      <w:tr w:rsidR="009A2C2E" w14:paraId="37ADC053" w14:textId="77777777" w:rsidTr="787E070B">
        <w:trPr>
          <w:cantSplit/>
        </w:trPr>
        <w:tc>
          <w:tcPr>
            <w:tcW w:w="0" w:type="auto"/>
            <w:vMerge/>
          </w:tcPr>
          <w:p w14:paraId="0BF469CD" w14:textId="77777777" w:rsidR="009A2C2E" w:rsidRDefault="009A2C2E" w:rsidP="00E53512"/>
        </w:tc>
        <w:tc>
          <w:tcPr>
            <w:tcW w:w="0" w:type="auto"/>
          </w:tcPr>
          <w:p w14:paraId="3A8B954B" w14:textId="77777777" w:rsidR="009A2C2E" w:rsidRDefault="009A2C2E" w:rsidP="00E53512">
            <w:pPr>
              <w:keepNext/>
              <w:spacing w:before="100" w:after="0"/>
              <w:rPr>
                <w:b/>
              </w:rPr>
            </w:pPr>
            <w:r>
              <w:rPr>
                <w:b/>
              </w:rPr>
              <w:t>Priority Level</w:t>
            </w:r>
          </w:p>
        </w:tc>
        <w:tc>
          <w:tcPr>
            <w:tcW w:w="0" w:type="auto"/>
          </w:tcPr>
          <w:p w14:paraId="17EB4473" w14:textId="77777777" w:rsidR="009A2C2E" w:rsidRDefault="009A2C2E" w:rsidP="00E53512">
            <w:pPr>
              <w:spacing w:before="100" w:after="0"/>
            </w:pPr>
            <w:r>
              <w:rPr>
                <w:color w:val="000000"/>
              </w:rPr>
              <w:t>Low</w:t>
            </w:r>
          </w:p>
        </w:tc>
      </w:tr>
      <w:tr w:rsidR="009A2C2E" w14:paraId="1E2C28F0" w14:textId="77777777" w:rsidTr="787E070B">
        <w:trPr>
          <w:cantSplit/>
        </w:trPr>
        <w:tc>
          <w:tcPr>
            <w:tcW w:w="0" w:type="auto"/>
            <w:vMerge/>
          </w:tcPr>
          <w:p w14:paraId="1FB8141C" w14:textId="77777777" w:rsidR="009A2C2E" w:rsidRDefault="009A2C2E" w:rsidP="00E53512"/>
        </w:tc>
        <w:tc>
          <w:tcPr>
            <w:tcW w:w="0" w:type="auto"/>
          </w:tcPr>
          <w:p w14:paraId="73E8357C" w14:textId="77777777" w:rsidR="009A2C2E" w:rsidRDefault="009A2C2E" w:rsidP="00E53512">
            <w:pPr>
              <w:keepNext/>
              <w:spacing w:before="100" w:after="0"/>
              <w:rPr>
                <w:b/>
              </w:rPr>
            </w:pPr>
            <w:r>
              <w:rPr>
                <w:b/>
              </w:rPr>
              <w:t>Population</w:t>
            </w:r>
          </w:p>
        </w:tc>
        <w:tc>
          <w:tcPr>
            <w:tcW w:w="0" w:type="auto"/>
          </w:tcPr>
          <w:p w14:paraId="2E58C28B" w14:textId="77777777" w:rsidR="009A2C2E" w:rsidRDefault="009A2C2E" w:rsidP="00E53512">
            <w:pPr>
              <w:spacing w:before="100" w:after="0"/>
            </w:pPr>
            <w:r>
              <w:rPr>
                <w:color w:val="000000"/>
              </w:rPr>
              <w:t>Non-housing Community Development</w:t>
            </w:r>
          </w:p>
        </w:tc>
      </w:tr>
      <w:tr w:rsidR="009A2C2E" w14:paraId="016291DD" w14:textId="77777777" w:rsidTr="787E070B">
        <w:trPr>
          <w:cantSplit/>
        </w:trPr>
        <w:tc>
          <w:tcPr>
            <w:tcW w:w="0" w:type="auto"/>
            <w:vMerge/>
          </w:tcPr>
          <w:p w14:paraId="1F2B3BE2" w14:textId="77777777" w:rsidR="009A2C2E" w:rsidRDefault="009A2C2E" w:rsidP="00E53512"/>
        </w:tc>
        <w:tc>
          <w:tcPr>
            <w:tcW w:w="0" w:type="auto"/>
          </w:tcPr>
          <w:p w14:paraId="58A50585" w14:textId="77777777" w:rsidR="009A2C2E" w:rsidRDefault="009A2C2E" w:rsidP="00E53512">
            <w:pPr>
              <w:keepNext/>
              <w:spacing w:before="100" w:after="0"/>
              <w:rPr>
                <w:b/>
              </w:rPr>
            </w:pPr>
            <w:r>
              <w:rPr>
                <w:b/>
              </w:rPr>
              <w:t>Geographic Areas Affected</w:t>
            </w:r>
          </w:p>
        </w:tc>
        <w:tc>
          <w:tcPr>
            <w:tcW w:w="0" w:type="auto"/>
          </w:tcPr>
          <w:p w14:paraId="4DD1B6E7" w14:textId="77777777" w:rsidR="009A2C2E" w:rsidRDefault="009A2C2E" w:rsidP="00E53512">
            <w:pPr>
              <w:spacing w:before="100" w:after="0"/>
            </w:pPr>
            <w:r>
              <w:rPr>
                <w:color w:val="000000"/>
              </w:rPr>
              <w:t xml:space="preserve"> </w:t>
            </w:r>
          </w:p>
        </w:tc>
      </w:tr>
      <w:tr w:rsidR="009A2C2E" w14:paraId="5E5DAD1B" w14:textId="77777777" w:rsidTr="787E070B">
        <w:trPr>
          <w:cantSplit/>
        </w:trPr>
        <w:tc>
          <w:tcPr>
            <w:tcW w:w="0" w:type="auto"/>
            <w:vMerge/>
          </w:tcPr>
          <w:p w14:paraId="3D828BE0" w14:textId="77777777" w:rsidR="009A2C2E" w:rsidRDefault="009A2C2E" w:rsidP="00E53512"/>
        </w:tc>
        <w:tc>
          <w:tcPr>
            <w:tcW w:w="0" w:type="auto"/>
          </w:tcPr>
          <w:p w14:paraId="543CD9E1" w14:textId="77777777" w:rsidR="009A2C2E" w:rsidRDefault="009A2C2E" w:rsidP="00E53512">
            <w:pPr>
              <w:keepNext/>
              <w:spacing w:before="100" w:after="0"/>
              <w:rPr>
                <w:b/>
              </w:rPr>
            </w:pPr>
            <w:r>
              <w:rPr>
                <w:b/>
              </w:rPr>
              <w:t>Associated Goals</w:t>
            </w:r>
          </w:p>
        </w:tc>
        <w:tc>
          <w:tcPr>
            <w:tcW w:w="0" w:type="auto"/>
          </w:tcPr>
          <w:p w14:paraId="3D7F794F" w14:textId="77777777" w:rsidR="009A2C2E" w:rsidRDefault="009A2C2E" w:rsidP="00E53512">
            <w:pPr>
              <w:spacing w:before="100" w:after="0"/>
            </w:pPr>
            <w:r>
              <w:rPr>
                <w:color w:val="000000"/>
              </w:rPr>
              <w:t>Economic Development-Downtown Revitalization</w:t>
            </w:r>
            <w:r>
              <w:rPr>
                <w:color w:val="000000"/>
              </w:rPr>
              <w:br/>
              <w:t>Public Facilities/Infrastructure-Rehabilitation</w:t>
            </w:r>
          </w:p>
        </w:tc>
      </w:tr>
      <w:tr w:rsidR="009A2C2E" w14:paraId="5C17F2A1" w14:textId="77777777" w:rsidTr="787E070B">
        <w:trPr>
          <w:cantSplit/>
        </w:trPr>
        <w:tc>
          <w:tcPr>
            <w:tcW w:w="0" w:type="auto"/>
            <w:vMerge/>
          </w:tcPr>
          <w:p w14:paraId="4AC6C3BE" w14:textId="77777777" w:rsidR="009A2C2E" w:rsidRDefault="009A2C2E" w:rsidP="00E53512"/>
        </w:tc>
        <w:tc>
          <w:tcPr>
            <w:tcW w:w="0" w:type="auto"/>
          </w:tcPr>
          <w:p w14:paraId="46502F2F" w14:textId="77777777" w:rsidR="009A2C2E" w:rsidRDefault="009A2C2E" w:rsidP="00E53512">
            <w:pPr>
              <w:keepNext/>
              <w:spacing w:before="100" w:after="0"/>
              <w:rPr>
                <w:b/>
              </w:rPr>
            </w:pPr>
            <w:r>
              <w:rPr>
                <w:b/>
              </w:rPr>
              <w:t>Description</w:t>
            </w:r>
          </w:p>
        </w:tc>
        <w:tc>
          <w:tcPr>
            <w:tcW w:w="0" w:type="auto"/>
          </w:tcPr>
          <w:p w14:paraId="0D2EEBC7" w14:textId="77777777" w:rsidR="009A2C2E" w:rsidRDefault="009A2C2E" w:rsidP="00E53512">
            <w:pPr>
              <w:spacing w:before="100" w:after="0"/>
            </w:pPr>
            <w:r>
              <w:rPr>
                <w:color w:val="000000"/>
              </w:rPr>
              <w:t>Clean-up of contaminated public property and sites; and clearance and demolition of blighted properties</w:t>
            </w:r>
          </w:p>
        </w:tc>
      </w:tr>
      <w:tr w:rsidR="009A2C2E" w14:paraId="03953AD1" w14:textId="77777777" w:rsidTr="787E070B">
        <w:trPr>
          <w:cantSplit/>
        </w:trPr>
        <w:tc>
          <w:tcPr>
            <w:tcW w:w="0" w:type="auto"/>
            <w:vMerge/>
          </w:tcPr>
          <w:p w14:paraId="1DC3F351" w14:textId="77777777" w:rsidR="009A2C2E" w:rsidRDefault="009A2C2E" w:rsidP="00E53512"/>
        </w:tc>
        <w:tc>
          <w:tcPr>
            <w:tcW w:w="0" w:type="auto"/>
          </w:tcPr>
          <w:p w14:paraId="015A2254" w14:textId="77777777" w:rsidR="009A2C2E" w:rsidRDefault="009A2C2E" w:rsidP="00E53512">
            <w:pPr>
              <w:keepNext/>
              <w:spacing w:before="100" w:after="0"/>
              <w:rPr>
                <w:b/>
              </w:rPr>
            </w:pPr>
            <w:r>
              <w:rPr>
                <w:b/>
              </w:rPr>
              <w:t>Basis for Relative Priority</w:t>
            </w:r>
          </w:p>
        </w:tc>
        <w:tc>
          <w:tcPr>
            <w:tcW w:w="0" w:type="auto"/>
          </w:tcPr>
          <w:p w14:paraId="79E390F5" w14:textId="77777777" w:rsidR="009A2C2E" w:rsidRDefault="009A2C2E" w:rsidP="00E53512">
            <w:pPr>
              <w:spacing w:before="100" w:after="0"/>
            </w:pPr>
            <w:r>
              <w:rPr>
                <w:color w:val="000000"/>
              </w:rPr>
              <w:t xml:space="preserve">The basis has been determined by four sources:  </w:t>
            </w:r>
          </w:p>
          <w:p w14:paraId="60FC19B1" w14:textId="791E918C" w:rsidR="003D336B" w:rsidRDefault="003D336B" w:rsidP="00351170">
            <w:pPr>
              <w:numPr>
                <w:ilvl w:val="0"/>
                <w:numId w:val="12"/>
              </w:numPr>
              <w:spacing w:before="100" w:after="0"/>
            </w:pPr>
            <w:r>
              <w:rPr>
                <w:color w:val="000000"/>
              </w:rPr>
              <w:t>The local government needs survey conducted by Commerce.</w:t>
            </w:r>
          </w:p>
          <w:p w14:paraId="42729090" w14:textId="67359BB5" w:rsidR="003D336B" w:rsidRDefault="003D336B" w:rsidP="00351170">
            <w:pPr>
              <w:numPr>
                <w:ilvl w:val="0"/>
                <w:numId w:val="12"/>
              </w:numPr>
              <w:spacing w:before="100" w:after="0"/>
            </w:pPr>
            <w:r>
              <w:rPr>
                <w:color w:val="000000"/>
              </w:rPr>
              <w:t>The American Society of Civil Engineers, 2021 Report Card for Idaho’s infrastructure to further assess non-housing community development needs. </w:t>
            </w:r>
          </w:p>
          <w:p w14:paraId="4020C86B" w14:textId="600443F1" w:rsidR="003D336B" w:rsidRDefault="003D336B" w:rsidP="00351170">
            <w:pPr>
              <w:numPr>
                <w:ilvl w:val="0"/>
                <w:numId w:val="12"/>
              </w:numPr>
              <w:spacing w:before="100" w:after="0"/>
            </w:pPr>
            <w:r>
              <w:rPr>
                <w:color w:val="000000"/>
              </w:rPr>
              <w:t xml:space="preserve">Public participation.   No comments were received for the pre-draft consolidated plan.   Comments for the final draft </w:t>
            </w:r>
            <w:proofErr w:type="gramStart"/>
            <w:r>
              <w:rPr>
                <w:color w:val="000000"/>
              </w:rPr>
              <w:t>are located in</w:t>
            </w:r>
            <w:proofErr w:type="gramEnd"/>
            <w:r>
              <w:rPr>
                <w:color w:val="000000"/>
              </w:rPr>
              <w:t xml:space="preserve"> the Unique Appendices.</w:t>
            </w:r>
          </w:p>
          <w:p w14:paraId="44B57E1F" w14:textId="168EE71A" w:rsidR="003D336B" w:rsidRDefault="003D336B" w:rsidP="00351170">
            <w:pPr>
              <w:numPr>
                <w:ilvl w:val="0"/>
                <w:numId w:val="12"/>
              </w:numPr>
              <w:spacing w:before="100" w:after="0"/>
            </w:pPr>
            <w:r>
              <w:rPr>
                <w:color w:val="000000"/>
              </w:rPr>
              <w:t>Prior five years of CDBG application submissions</w:t>
            </w:r>
            <w:r w:rsidR="00067D97">
              <w:rPr>
                <w:color w:val="000000"/>
              </w:rPr>
              <w:t>.</w:t>
            </w:r>
          </w:p>
          <w:p w14:paraId="7C9F3A87" w14:textId="4AEA383C" w:rsidR="009A2C2E" w:rsidRDefault="00D435F8" w:rsidP="00E53512">
            <w:pPr>
              <w:spacing w:before="100" w:after="0"/>
            </w:pPr>
            <w:r>
              <w:rPr>
                <w:color w:val="000000"/>
              </w:rPr>
              <w:t>Goals addressing this priority need will be funded by CDBG.</w:t>
            </w:r>
          </w:p>
        </w:tc>
      </w:tr>
      <w:tr w:rsidR="009A2C2E" w14:paraId="736A138F" w14:textId="77777777" w:rsidTr="787E070B">
        <w:trPr>
          <w:cantSplit/>
        </w:trPr>
        <w:tc>
          <w:tcPr>
            <w:tcW w:w="0" w:type="auto"/>
            <w:vMerge w:val="restart"/>
          </w:tcPr>
          <w:p w14:paraId="0EFE1B73" w14:textId="77777777" w:rsidR="009A2C2E" w:rsidRDefault="009A2C2E" w:rsidP="00E53512">
            <w:r>
              <w:rPr>
                <w:b/>
              </w:rPr>
              <w:t>8</w:t>
            </w:r>
          </w:p>
        </w:tc>
        <w:tc>
          <w:tcPr>
            <w:tcW w:w="0" w:type="auto"/>
          </w:tcPr>
          <w:p w14:paraId="456FD51B" w14:textId="77777777" w:rsidR="009A2C2E" w:rsidRDefault="009A2C2E" w:rsidP="00E53512">
            <w:pPr>
              <w:keepNext/>
              <w:spacing w:before="100" w:after="0"/>
              <w:rPr>
                <w:b/>
              </w:rPr>
            </w:pPr>
            <w:r>
              <w:rPr>
                <w:b/>
              </w:rPr>
              <w:t>Priority Need Name</w:t>
            </w:r>
          </w:p>
        </w:tc>
        <w:tc>
          <w:tcPr>
            <w:tcW w:w="0" w:type="auto"/>
          </w:tcPr>
          <w:p w14:paraId="6E4F4DD7" w14:textId="77777777" w:rsidR="009A2C2E" w:rsidRDefault="009A2C2E" w:rsidP="00E53512">
            <w:pPr>
              <w:spacing w:before="100" w:after="0"/>
            </w:pPr>
            <w:bookmarkStart w:id="64" w:name="_Hlk188969087"/>
            <w:r>
              <w:rPr>
                <w:color w:val="000000"/>
              </w:rPr>
              <w:t>Planning Studies</w:t>
            </w:r>
            <w:bookmarkEnd w:id="64"/>
          </w:p>
        </w:tc>
      </w:tr>
      <w:tr w:rsidR="009A2C2E" w14:paraId="7AAE65FF" w14:textId="77777777" w:rsidTr="787E070B">
        <w:trPr>
          <w:cantSplit/>
        </w:trPr>
        <w:tc>
          <w:tcPr>
            <w:tcW w:w="0" w:type="auto"/>
            <w:vMerge/>
          </w:tcPr>
          <w:p w14:paraId="477D48DD" w14:textId="77777777" w:rsidR="009A2C2E" w:rsidRDefault="009A2C2E" w:rsidP="00E53512"/>
        </w:tc>
        <w:tc>
          <w:tcPr>
            <w:tcW w:w="0" w:type="auto"/>
          </w:tcPr>
          <w:p w14:paraId="2C612020" w14:textId="77777777" w:rsidR="009A2C2E" w:rsidRDefault="009A2C2E" w:rsidP="00E53512">
            <w:pPr>
              <w:keepNext/>
              <w:spacing w:before="100" w:after="0"/>
              <w:rPr>
                <w:b/>
              </w:rPr>
            </w:pPr>
            <w:r>
              <w:rPr>
                <w:b/>
              </w:rPr>
              <w:t>Priority Level</w:t>
            </w:r>
          </w:p>
        </w:tc>
        <w:tc>
          <w:tcPr>
            <w:tcW w:w="0" w:type="auto"/>
          </w:tcPr>
          <w:p w14:paraId="251A3D4C" w14:textId="77777777" w:rsidR="009A2C2E" w:rsidRDefault="009A2C2E" w:rsidP="00E53512">
            <w:pPr>
              <w:spacing w:before="100" w:after="0"/>
            </w:pPr>
            <w:r>
              <w:rPr>
                <w:color w:val="000000"/>
              </w:rPr>
              <w:t>High</w:t>
            </w:r>
          </w:p>
        </w:tc>
      </w:tr>
      <w:tr w:rsidR="009A2C2E" w14:paraId="1C092B60" w14:textId="77777777" w:rsidTr="787E070B">
        <w:trPr>
          <w:cantSplit/>
        </w:trPr>
        <w:tc>
          <w:tcPr>
            <w:tcW w:w="0" w:type="auto"/>
            <w:vMerge/>
          </w:tcPr>
          <w:p w14:paraId="0F8BDC3A" w14:textId="77777777" w:rsidR="009A2C2E" w:rsidRDefault="009A2C2E" w:rsidP="00E53512"/>
        </w:tc>
        <w:tc>
          <w:tcPr>
            <w:tcW w:w="0" w:type="auto"/>
          </w:tcPr>
          <w:p w14:paraId="038C68D4" w14:textId="77777777" w:rsidR="009A2C2E" w:rsidRDefault="009A2C2E" w:rsidP="00E53512">
            <w:pPr>
              <w:keepNext/>
              <w:spacing w:before="100" w:after="0"/>
              <w:rPr>
                <w:b/>
              </w:rPr>
            </w:pPr>
            <w:r>
              <w:rPr>
                <w:b/>
              </w:rPr>
              <w:t>Population</w:t>
            </w:r>
          </w:p>
        </w:tc>
        <w:tc>
          <w:tcPr>
            <w:tcW w:w="0" w:type="auto"/>
          </w:tcPr>
          <w:p w14:paraId="3C9E32A1" w14:textId="77777777" w:rsidR="009A2C2E" w:rsidRDefault="009A2C2E" w:rsidP="00E53512">
            <w:pPr>
              <w:spacing w:before="100" w:after="0"/>
            </w:pPr>
            <w:r>
              <w:rPr>
                <w:color w:val="000000"/>
              </w:rPr>
              <w:t>Extremely Low</w:t>
            </w:r>
            <w:r>
              <w:rPr>
                <w:color w:val="000000"/>
              </w:rPr>
              <w:br/>
              <w:t>Low</w:t>
            </w:r>
            <w:r>
              <w:rPr>
                <w:color w:val="000000"/>
              </w:rPr>
              <w:br/>
              <w:t>Moderate</w:t>
            </w:r>
            <w:r>
              <w:rPr>
                <w:color w:val="000000"/>
              </w:rPr>
              <w:br/>
              <w:t>Large Families</w:t>
            </w:r>
            <w:r>
              <w:rPr>
                <w:color w:val="000000"/>
              </w:rPr>
              <w:br/>
              <w:t>Families with Children</w:t>
            </w:r>
            <w:r>
              <w:rPr>
                <w:color w:val="000000"/>
              </w:rPr>
              <w:br/>
              <w:t>Elderly</w:t>
            </w:r>
            <w:r>
              <w:rPr>
                <w:color w:val="000000"/>
              </w:rPr>
              <w:br/>
              <w:t>Non-housing Community Development</w:t>
            </w:r>
          </w:p>
        </w:tc>
      </w:tr>
      <w:tr w:rsidR="009A2C2E" w14:paraId="34F7D7F6" w14:textId="77777777" w:rsidTr="787E070B">
        <w:trPr>
          <w:cantSplit/>
        </w:trPr>
        <w:tc>
          <w:tcPr>
            <w:tcW w:w="0" w:type="auto"/>
            <w:vMerge/>
          </w:tcPr>
          <w:p w14:paraId="26D1B008" w14:textId="77777777" w:rsidR="009A2C2E" w:rsidRDefault="009A2C2E" w:rsidP="00E53512"/>
        </w:tc>
        <w:tc>
          <w:tcPr>
            <w:tcW w:w="0" w:type="auto"/>
          </w:tcPr>
          <w:p w14:paraId="555AF88C" w14:textId="77777777" w:rsidR="009A2C2E" w:rsidRDefault="009A2C2E" w:rsidP="00E53512">
            <w:pPr>
              <w:keepNext/>
              <w:spacing w:before="100" w:after="0"/>
              <w:rPr>
                <w:b/>
              </w:rPr>
            </w:pPr>
            <w:r>
              <w:rPr>
                <w:b/>
              </w:rPr>
              <w:t>Geographic Areas Affected</w:t>
            </w:r>
          </w:p>
        </w:tc>
        <w:tc>
          <w:tcPr>
            <w:tcW w:w="0" w:type="auto"/>
          </w:tcPr>
          <w:p w14:paraId="1DFE044E" w14:textId="77777777" w:rsidR="009A2C2E" w:rsidRDefault="009A2C2E" w:rsidP="00E53512">
            <w:pPr>
              <w:spacing w:before="100" w:after="0"/>
            </w:pPr>
            <w:r>
              <w:rPr>
                <w:color w:val="000000"/>
              </w:rPr>
              <w:t xml:space="preserve"> </w:t>
            </w:r>
          </w:p>
        </w:tc>
      </w:tr>
      <w:tr w:rsidR="009A2C2E" w14:paraId="05C1DE41" w14:textId="77777777" w:rsidTr="787E070B">
        <w:trPr>
          <w:cantSplit/>
        </w:trPr>
        <w:tc>
          <w:tcPr>
            <w:tcW w:w="0" w:type="auto"/>
            <w:vMerge/>
          </w:tcPr>
          <w:p w14:paraId="2324D7FA" w14:textId="77777777" w:rsidR="009A2C2E" w:rsidRDefault="009A2C2E" w:rsidP="00E53512"/>
        </w:tc>
        <w:tc>
          <w:tcPr>
            <w:tcW w:w="0" w:type="auto"/>
          </w:tcPr>
          <w:p w14:paraId="577E62F7" w14:textId="77777777" w:rsidR="009A2C2E" w:rsidRDefault="009A2C2E" w:rsidP="00E53512">
            <w:pPr>
              <w:keepNext/>
              <w:spacing w:before="100" w:after="0"/>
              <w:rPr>
                <w:b/>
              </w:rPr>
            </w:pPr>
            <w:r>
              <w:rPr>
                <w:b/>
              </w:rPr>
              <w:t>Associated Goals</w:t>
            </w:r>
          </w:p>
        </w:tc>
        <w:tc>
          <w:tcPr>
            <w:tcW w:w="0" w:type="auto"/>
          </w:tcPr>
          <w:p w14:paraId="26A79312" w14:textId="77777777" w:rsidR="009A2C2E" w:rsidRDefault="009A2C2E" w:rsidP="00E53512">
            <w:pPr>
              <w:spacing w:before="100" w:after="0"/>
            </w:pPr>
            <w:r>
              <w:rPr>
                <w:color w:val="000000"/>
              </w:rPr>
              <w:t>Public Facilities/Infrastructure-Compliance</w:t>
            </w:r>
            <w:r>
              <w:rPr>
                <w:color w:val="000000"/>
              </w:rPr>
              <w:br/>
              <w:t>Public Facilities/Infrastructure-New Construction</w:t>
            </w:r>
            <w:r>
              <w:rPr>
                <w:color w:val="000000"/>
              </w:rPr>
              <w:br/>
              <w:t>Public Facilities/Infrastructure-Rehabilitation</w:t>
            </w:r>
          </w:p>
        </w:tc>
      </w:tr>
      <w:tr w:rsidR="009A2C2E" w14:paraId="440DA9B4" w14:textId="77777777" w:rsidTr="787E070B">
        <w:trPr>
          <w:cantSplit/>
        </w:trPr>
        <w:tc>
          <w:tcPr>
            <w:tcW w:w="0" w:type="auto"/>
            <w:vMerge/>
          </w:tcPr>
          <w:p w14:paraId="79780660" w14:textId="77777777" w:rsidR="009A2C2E" w:rsidRDefault="009A2C2E" w:rsidP="00E53512"/>
        </w:tc>
        <w:tc>
          <w:tcPr>
            <w:tcW w:w="0" w:type="auto"/>
          </w:tcPr>
          <w:p w14:paraId="0C999BDF" w14:textId="77777777" w:rsidR="009A2C2E" w:rsidRDefault="009A2C2E" w:rsidP="00E53512">
            <w:pPr>
              <w:keepNext/>
              <w:spacing w:before="100" w:after="0"/>
              <w:rPr>
                <w:b/>
              </w:rPr>
            </w:pPr>
            <w:r>
              <w:rPr>
                <w:b/>
              </w:rPr>
              <w:t>Description</w:t>
            </w:r>
          </w:p>
        </w:tc>
        <w:tc>
          <w:tcPr>
            <w:tcW w:w="0" w:type="auto"/>
          </w:tcPr>
          <w:p w14:paraId="7BFD6B63" w14:textId="77777777" w:rsidR="009A2C2E" w:rsidRDefault="009A2C2E" w:rsidP="00E53512">
            <w:pPr>
              <w:spacing w:before="100" w:after="0"/>
            </w:pPr>
            <w:r>
              <w:rPr>
                <w:color w:val="000000"/>
              </w:rPr>
              <w:t>Comprehensive plan, facility plan or preliminary engineering, environmental studies, economic development and energy conservation.</w:t>
            </w:r>
          </w:p>
        </w:tc>
      </w:tr>
      <w:tr w:rsidR="009A2C2E" w14:paraId="3F8FC636" w14:textId="77777777" w:rsidTr="787E070B">
        <w:trPr>
          <w:cantSplit/>
        </w:trPr>
        <w:tc>
          <w:tcPr>
            <w:tcW w:w="0" w:type="auto"/>
            <w:vMerge/>
          </w:tcPr>
          <w:p w14:paraId="5B34383A" w14:textId="77777777" w:rsidR="009A2C2E" w:rsidRDefault="009A2C2E" w:rsidP="00E53512"/>
        </w:tc>
        <w:tc>
          <w:tcPr>
            <w:tcW w:w="0" w:type="auto"/>
          </w:tcPr>
          <w:p w14:paraId="7D5E011A" w14:textId="77777777" w:rsidR="009A2C2E" w:rsidRDefault="009A2C2E" w:rsidP="00E53512">
            <w:pPr>
              <w:keepNext/>
              <w:spacing w:before="100" w:after="0"/>
              <w:rPr>
                <w:b/>
              </w:rPr>
            </w:pPr>
            <w:r>
              <w:rPr>
                <w:b/>
              </w:rPr>
              <w:t>Basis for Relative Priority</w:t>
            </w:r>
          </w:p>
        </w:tc>
        <w:tc>
          <w:tcPr>
            <w:tcW w:w="0" w:type="auto"/>
          </w:tcPr>
          <w:p w14:paraId="1A5D4233" w14:textId="553F222F" w:rsidR="009A2C2E" w:rsidRDefault="009A2C2E" w:rsidP="00E53512">
            <w:pPr>
              <w:spacing w:before="100" w:after="0"/>
            </w:pPr>
            <w:r>
              <w:rPr>
                <w:color w:val="000000"/>
              </w:rPr>
              <w:t>The basis has been determined by the local government needs survey that was conducted by Commerce</w:t>
            </w:r>
            <w:r w:rsidR="003D336B">
              <w:rPr>
                <w:color w:val="000000"/>
              </w:rPr>
              <w:t>.</w:t>
            </w:r>
            <w:r>
              <w:rPr>
                <w:color w:val="000000"/>
              </w:rPr>
              <w:t> </w:t>
            </w:r>
          </w:p>
          <w:p w14:paraId="06C16CD5" w14:textId="77777777" w:rsidR="009A2C2E" w:rsidRDefault="009A2C2E" w:rsidP="00E53512">
            <w:pPr>
              <w:spacing w:before="100" w:after="0"/>
            </w:pPr>
            <w:r>
              <w:rPr>
                <w:color w:val="000000"/>
              </w:rPr>
              <w:t xml:space="preserve">No comments were received for the pre-draft consolidated plan.   </w:t>
            </w:r>
          </w:p>
          <w:p w14:paraId="4578D3BD" w14:textId="77777777" w:rsidR="009A2C2E" w:rsidRDefault="009A2C2E" w:rsidP="00E53512">
            <w:pPr>
              <w:spacing w:before="100" w:after="0"/>
            </w:pPr>
            <w:r>
              <w:rPr>
                <w:color w:val="000000"/>
              </w:rPr>
              <w:t xml:space="preserve">Comments for the final draft </w:t>
            </w:r>
            <w:proofErr w:type="gramStart"/>
            <w:r>
              <w:rPr>
                <w:color w:val="000000"/>
              </w:rPr>
              <w:t>are located in</w:t>
            </w:r>
            <w:proofErr w:type="gramEnd"/>
            <w:r>
              <w:rPr>
                <w:color w:val="000000"/>
              </w:rPr>
              <w:t xml:space="preserve"> the Unique Appendices.</w:t>
            </w:r>
          </w:p>
          <w:p w14:paraId="475FC184" w14:textId="7D2F90D2" w:rsidR="009A2C2E" w:rsidRDefault="00D435F8" w:rsidP="00E53512">
            <w:pPr>
              <w:spacing w:before="100" w:after="0"/>
            </w:pPr>
            <w:r>
              <w:rPr>
                <w:color w:val="000000"/>
              </w:rPr>
              <w:t>Goals addressing this priority need will be funded by CDBG.</w:t>
            </w:r>
          </w:p>
        </w:tc>
      </w:tr>
      <w:tr w:rsidR="009A2C2E" w14:paraId="318608F6" w14:textId="77777777" w:rsidTr="787E070B">
        <w:trPr>
          <w:cantSplit/>
        </w:trPr>
        <w:tc>
          <w:tcPr>
            <w:tcW w:w="0" w:type="auto"/>
            <w:vMerge w:val="restart"/>
          </w:tcPr>
          <w:p w14:paraId="09B3D69E" w14:textId="77777777" w:rsidR="009A2C2E" w:rsidRDefault="009A2C2E" w:rsidP="00E53512">
            <w:r>
              <w:rPr>
                <w:b/>
              </w:rPr>
              <w:t>9</w:t>
            </w:r>
          </w:p>
        </w:tc>
        <w:tc>
          <w:tcPr>
            <w:tcW w:w="0" w:type="auto"/>
          </w:tcPr>
          <w:p w14:paraId="533D2C6F" w14:textId="77777777" w:rsidR="009A2C2E" w:rsidRDefault="009A2C2E" w:rsidP="00E53512">
            <w:pPr>
              <w:keepNext/>
              <w:spacing w:before="100" w:after="0"/>
              <w:rPr>
                <w:b/>
              </w:rPr>
            </w:pPr>
            <w:r>
              <w:rPr>
                <w:b/>
              </w:rPr>
              <w:t>Priority Need Name</w:t>
            </w:r>
          </w:p>
        </w:tc>
        <w:tc>
          <w:tcPr>
            <w:tcW w:w="0" w:type="auto"/>
          </w:tcPr>
          <w:p w14:paraId="6CDE91A3" w14:textId="17A20C61" w:rsidR="009A2C2E" w:rsidRDefault="009A2C2E" w:rsidP="787E070B">
            <w:pPr>
              <w:spacing w:before="100" w:after="0"/>
              <w:rPr>
                <w:color w:val="000000" w:themeColor="text1"/>
              </w:rPr>
            </w:pPr>
            <w:bookmarkStart w:id="65" w:name="_Hlk188969095"/>
            <w:r w:rsidRPr="787E070B">
              <w:rPr>
                <w:color w:val="000000" w:themeColor="text1"/>
              </w:rPr>
              <w:t>Homeless Shelter Operations</w:t>
            </w:r>
            <w:r w:rsidR="00067D97">
              <w:rPr>
                <w:color w:val="000000" w:themeColor="text1"/>
              </w:rPr>
              <w:t>, Homelessness</w:t>
            </w:r>
            <w:r w:rsidRPr="787E070B">
              <w:rPr>
                <w:color w:val="000000" w:themeColor="text1"/>
              </w:rPr>
              <w:t xml:space="preserve"> Prevention</w:t>
            </w:r>
            <w:bookmarkEnd w:id="65"/>
            <w:r w:rsidR="00067D97">
              <w:rPr>
                <w:color w:val="000000" w:themeColor="text1"/>
              </w:rPr>
              <w:t>, and Rapid Rehousing</w:t>
            </w:r>
          </w:p>
        </w:tc>
      </w:tr>
      <w:tr w:rsidR="009A2C2E" w14:paraId="0C8B483A" w14:textId="77777777" w:rsidTr="787E070B">
        <w:trPr>
          <w:cantSplit/>
        </w:trPr>
        <w:tc>
          <w:tcPr>
            <w:tcW w:w="0" w:type="auto"/>
            <w:vMerge/>
          </w:tcPr>
          <w:p w14:paraId="7E128AD2" w14:textId="77777777" w:rsidR="009A2C2E" w:rsidRDefault="009A2C2E" w:rsidP="00E53512"/>
        </w:tc>
        <w:tc>
          <w:tcPr>
            <w:tcW w:w="0" w:type="auto"/>
          </w:tcPr>
          <w:p w14:paraId="2864A91B" w14:textId="77777777" w:rsidR="009A2C2E" w:rsidRDefault="009A2C2E" w:rsidP="00E53512">
            <w:pPr>
              <w:keepNext/>
              <w:spacing w:before="100" w:after="0"/>
              <w:rPr>
                <w:b/>
              </w:rPr>
            </w:pPr>
            <w:r>
              <w:rPr>
                <w:b/>
              </w:rPr>
              <w:t>Priority Level</w:t>
            </w:r>
          </w:p>
        </w:tc>
        <w:tc>
          <w:tcPr>
            <w:tcW w:w="0" w:type="auto"/>
          </w:tcPr>
          <w:p w14:paraId="38B82C61" w14:textId="77777777" w:rsidR="009A2C2E" w:rsidRDefault="009A2C2E" w:rsidP="00E53512">
            <w:pPr>
              <w:spacing w:before="100" w:after="0"/>
            </w:pPr>
            <w:r>
              <w:rPr>
                <w:color w:val="000000"/>
              </w:rPr>
              <w:t>High</w:t>
            </w:r>
          </w:p>
        </w:tc>
      </w:tr>
      <w:tr w:rsidR="009A2C2E" w14:paraId="583D627B" w14:textId="77777777" w:rsidTr="787E070B">
        <w:trPr>
          <w:cantSplit/>
        </w:trPr>
        <w:tc>
          <w:tcPr>
            <w:tcW w:w="0" w:type="auto"/>
            <w:vMerge/>
          </w:tcPr>
          <w:p w14:paraId="565E9B61" w14:textId="77777777" w:rsidR="009A2C2E" w:rsidRDefault="009A2C2E" w:rsidP="00E53512"/>
        </w:tc>
        <w:tc>
          <w:tcPr>
            <w:tcW w:w="0" w:type="auto"/>
          </w:tcPr>
          <w:p w14:paraId="067BCEEE" w14:textId="77777777" w:rsidR="009A2C2E" w:rsidRDefault="009A2C2E" w:rsidP="00E53512">
            <w:pPr>
              <w:keepNext/>
              <w:spacing w:before="100" w:after="0"/>
              <w:rPr>
                <w:b/>
              </w:rPr>
            </w:pPr>
            <w:r>
              <w:rPr>
                <w:b/>
              </w:rPr>
              <w:t>Population</w:t>
            </w:r>
          </w:p>
        </w:tc>
        <w:tc>
          <w:tcPr>
            <w:tcW w:w="0" w:type="auto"/>
          </w:tcPr>
          <w:p w14:paraId="56BE2925" w14:textId="77777777" w:rsidR="009A2C2E" w:rsidRDefault="009A2C2E" w:rsidP="787E070B">
            <w:pPr>
              <w:spacing w:before="100" w:after="0"/>
              <w:rPr>
                <w:color w:val="000000" w:themeColor="text1"/>
              </w:rPr>
            </w:pPr>
            <w:r w:rsidRPr="787E070B">
              <w:rPr>
                <w:color w:val="000000" w:themeColor="text1"/>
              </w:rPr>
              <w:t>Extremely Low</w:t>
            </w:r>
            <w:r>
              <w:br/>
            </w:r>
            <w:r w:rsidRPr="787E070B">
              <w:rPr>
                <w:color w:val="000000" w:themeColor="text1"/>
              </w:rPr>
              <w:t>Rural</w:t>
            </w:r>
            <w:r>
              <w:br/>
            </w:r>
            <w:r w:rsidRPr="787E070B">
              <w:rPr>
                <w:color w:val="000000" w:themeColor="text1"/>
              </w:rPr>
              <w:t>Chronic Homelessness</w:t>
            </w:r>
            <w:r>
              <w:br/>
            </w:r>
            <w:r w:rsidRPr="787E070B">
              <w:rPr>
                <w:color w:val="000000" w:themeColor="text1"/>
              </w:rPr>
              <w:t>Individuals</w:t>
            </w:r>
            <w:r>
              <w:br/>
            </w:r>
            <w:r w:rsidRPr="787E070B">
              <w:rPr>
                <w:color w:val="000000" w:themeColor="text1"/>
              </w:rPr>
              <w:t>Families with Children</w:t>
            </w:r>
            <w:r>
              <w:br/>
            </w:r>
            <w:r w:rsidRPr="787E070B">
              <w:rPr>
                <w:color w:val="000000" w:themeColor="text1"/>
              </w:rPr>
              <w:t>Mentally Ill</w:t>
            </w:r>
            <w:r>
              <w:br/>
            </w:r>
            <w:r w:rsidRPr="787E070B">
              <w:rPr>
                <w:color w:val="000000" w:themeColor="text1"/>
              </w:rPr>
              <w:t>Chronic Substance Abuse</w:t>
            </w:r>
            <w:r>
              <w:br/>
            </w:r>
            <w:r w:rsidRPr="787E070B">
              <w:rPr>
                <w:color w:val="000000" w:themeColor="text1"/>
              </w:rPr>
              <w:t>veterans</w:t>
            </w:r>
            <w:r>
              <w:br/>
            </w:r>
            <w:r w:rsidRPr="787E070B">
              <w:rPr>
                <w:color w:val="000000" w:themeColor="text1"/>
              </w:rPr>
              <w:t>Persons with HIV/AIDS</w:t>
            </w:r>
            <w:r>
              <w:br/>
            </w:r>
            <w:r w:rsidRPr="787E070B">
              <w:rPr>
                <w:color w:val="000000" w:themeColor="text1"/>
              </w:rPr>
              <w:t>Victims of Domestic Violence</w:t>
            </w:r>
            <w:r>
              <w:br/>
            </w:r>
            <w:r w:rsidRPr="787E070B">
              <w:rPr>
                <w:color w:val="000000" w:themeColor="text1"/>
              </w:rPr>
              <w:t>Unaccompanied Youth</w:t>
            </w:r>
          </w:p>
        </w:tc>
      </w:tr>
      <w:tr w:rsidR="009A2C2E" w14:paraId="5D30A7AA" w14:textId="77777777" w:rsidTr="787E070B">
        <w:trPr>
          <w:cantSplit/>
        </w:trPr>
        <w:tc>
          <w:tcPr>
            <w:tcW w:w="0" w:type="auto"/>
            <w:vMerge/>
          </w:tcPr>
          <w:p w14:paraId="45F7F40E" w14:textId="77777777" w:rsidR="009A2C2E" w:rsidRDefault="009A2C2E" w:rsidP="00E53512"/>
        </w:tc>
        <w:tc>
          <w:tcPr>
            <w:tcW w:w="0" w:type="auto"/>
          </w:tcPr>
          <w:p w14:paraId="545AA217" w14:textId="77777777" w:rsidR="009A2C2E" w:rsidRDefault="009A2C2E" w:rsidP="00E53512">
            <w:pPr>
              <w:keepNext/>
              <w:spacing w:before="100" w:after="0"/>
              <w:rPr>
                <w:b/>
              </w:rPr>
            </w:pPr>
            <w:r>
              <w:rPr>
                <w:b/>
              </w:rPr>
              <w:t>Geographic Areas Affected</w:t>
            </w:r>
          </w:p>
        </w:tc>
        <w:tc>
          <w:tcPr>
            <w:tcW w:w="0" w:type="auto"/>
          </w:tcPr>
          <w:p w14:paraId="34092080" w14:textId="77777777" w:rsidR="009A2C2E" w:rsidRDefault="009A2C2E" w:rsidP="00E53512">
            <w:pPr>
              <w:spacing w:before="100" w:after="0"/>
            </w:pPr>
            <w:r>
              <w:rPr>
                <w:color w:val="000000"/>
              </w:rPr>
              <w:t xml:space="preserve"> </w:t>
            </w:r>
          </w:p>
        </w:tc>
      </w:tr>
      <w:tr w:rsidR="009A2C2E" w14:paraId="6B812C67" w14:textId="77777777" w:rsidTr="787E070B">
        <w:trPr>
          <w:cantSplit/>
        </w:trPr>
        <w:tc>
          <w:tcPr>
            <w:tcW w:w="0" w:type="auto"/>
            <w:vMerge/>
          </w:tcPr>
          <w:p w14:paraId="2E9D0471" w14:textId="77777777" w:rsidR="009A2C2E" w:rsidRDefault="009A2C2E" w:rsidP="00E53512"/>
        </w:tc>
        <w:tc>
          <w:tcPr>
            <w:tcW w:w="0" w:type="auto"/>
          </w:tcPr>
          <w:p w14:paraId="58C03B2A" w14:textId="77777777" w:rsidR="009A2C2E" w:rsidRDefault="009A2C2E" w:rsidP="00E53512">
            <w:pPr>
              <w:keepNext/>
              <w:spacing w:before="100" w:after="0"/>
              <w:rPr>
                <w:b/>
              </w:rPr>
            </w:pPr>
            <w:r>
              <w:rPr>
                <w:b/>
              </w:rPr>
              <w:t>Associated Goals</w:t>
            </w:r>
          </w:p>
        </w:tc>
        <w:tc>
          <w:tcPr>
            <w:tcW w:w="0" w:type="auto"/>
          </w:tcPr>
          <w:p w14:paraId="61AAAB79" w14:textId="77777777" w:rsidR="009A2C2E" w:rsidRDefault="009A2C2E" w:rsidP="00E53512">
            <w:pPr>
              <w:spacing w:before="100" w:after="0"/>
            </w:pPr>
            <w:r>
              <w:rPr>
                <w:color w:val="000000"/>
              </w:rPr>
              <w:t>Provide Suitable Living Environment</w:t>
            </w:r>
          </w:p>
        </w:tc>
      </w:tr>
      <w:tr w:rsidR="009A2C2E" w14:paraId="39EF60DA" w14:textId="77777777" w:rsidTr="787E070B">
        <w:trPr>
          <w:cantSplit/>
        </w:trPr>
        <w:tc>
          <w:tcPr>
            <w:tcW w:w="0" w:type="auto"/>
            <w:vMerge/>
          </w:tcPr>
          <w:p w14:paraId="55915763" w14:textId="77777777" w:rsidR="009A2C2E" w:rsidRDefault="009A2C2E" w:rsidP="00E53512"/>
        </w:tc>
        <w:tc>
          <w:tcPr>
            <w:tcW w:w="0" w:type="auto"/>
          </w:tcPr>
          <w:p w14:paraId="43D2676D" w14:textId="77777777" w:rsidR="009A2C2E" w:rsidRDefault="009A2C2E" w:rsidP="00E53512">
            <w:pPr>
              <w:keepNext/>
              <w:spacing w:before="100" w:after="0"/>
              <w:rPr>
                <w:b/>
              </w:rPr>
            </w:pPr>
            <w:r>
              <w:rPr>
                <w:b/>
              </w:rPr>
              <w:t>Description</w:t>
            </w:r>
          </w:p>
        </w:tc>
        <w:tc>
          <w:tcPr>
            <w:tcW w:w="0" w:type="auto"/>
          </w:tcPr>
          <w:p w14:paraId="79D6A11A" w14:textId="77777777" w:rsidR="009A2C2E" w:rsidRDefault="009A2C2E" w:rsidP="00E53512">
            <w:pPr>
              <w:spacing w:before="100" w:after="0"/>
            </w:pPr>
            <w:r>
              <w:rPr>
                <w:color w:val="000000"/>
              </w:rPr>
              <w:t>Shelter operations and supportive services are offered through shelters in all seven regions in Idaho. Rapid Re-housing and Homelessness Prevention are made available through homeless services providers in all seven regions in Idaho.</w:t>
            </w:r>
          </w:p>
        </w:tc>
      </w:tr>
      <w:tr w:rsidR="009A2C2E" w14:paraId="596CC191" w14:textId="77777777" w:rsidTr="787E070B">
        <w:trPr>
          <w:cantSplit/>
        </w:trPr>
        <w:tc>
          <w:tcPr>
            <w:tcW w:w="0" w:type="auto"/>
            <w:vMerge/>
          </w:tcPr>
          <w:p w14:paraId="2F634F28" w14:textId="77777777" w:rsidR="009A2C2E" w:rsidRDefault="009A2C2E" w:rsidP="00E53512"/>
        </w:tc>
        <w:tc>
          <w:tcPr>
            <w:tcW w:w="0" w:type="auto"/>
          </w:tcPr>
          <w:p w14:paraId="0FE081B5" w14:textId="77777777" w:rsidR="009A2C2E" w:rsidRDefault="009A2C2E" w:rsidP="00E53512">
            <w:pPr>
              <w:keepNext/>
              <w:spacing w:before="100" w:after="0"/>
              <w:rPr>
                <w:b/>
              </w:rPr>
            </w:pPr>
            <w:r>
              <w:rPr>
                <w:b/>
              </w:rPr>
              <w:t>Basis for Relative Priority</w:t>
            </w:r>
          </w:p>
        </w:tc>
        <w:tc>
          <w:tcPr>
            <w:tcW w:w="0" w:type="auto"/>
          </w:tcPr>
          <w:p w14:paraId="23C0A0CC" w14:textId="77777777" w:rsidR="009A2C2E" w:rsidRDefault="009A2C2E" w:rsidP="00E53512">
            <w:pPr>
              <w:spacing w:before="100" w:after="0"/>
              <w:rPr>
                <w:color w:val="000000"/>
              </w:rPr>
            </w:pPr>
            <w:r>
              <w:rPr>
                <w:color w:val="000000"/>
              </w:rPr>
              <w:t>2024 Statewide Housing Needs Homeless Needs Assessment </w:t>
            </w:r>
            <w:r w:rsidR="003D336B">
              <w:rPr>
                <w:color w:val="000000"/>
              </w:rPr>
              <w:t xml:space="preserve">and community consultation </w:t>
            </w:r>
            <w:r>
              <w:rPr>
                <w:color w:val="000000"/>
              </w:rPr>
              <w:t>demonstrates a need to direct resources towards efforts which offer opportunities that assist homeless individuals and families in avoiding homelessness, reducing time spent homeless, and a reprieve from living in environments not meant for human habitation.</w:t>
            </w:r>
          </w:p>
          <w:p w14:paraId="32DCBDDE" w14:textId="69B8A751" w:rsidR="00D435F8" w:rsidRDefault="00D435F8" w:rsidP="00E53512">
            <w:pPr>
              <w:spacing w:before="100" w:after="0"/>
            </w:pPr>
            <w:r>
              <w:rPr>
                <w:color w:val="000000"/>
              </w:rPr>
              <w:t>Goals addressing this priority need will be funded by ESG.</w:t>
            </w:r>
          </w:p>
        </w:tc>
      </w:tr>
    </w:tbl>
    <w:p w14:paraId="7A07AC19" w14:textId="77777777" w:rsidR="009A2C2E" w:rsidRDefault="009A2C2E" w:rsidP="009A2C2E"/>
    <w:p w14:paraId="13623C7C" w14:textId="77777777" w:rsidR="009A2C2E" w:rsidRDefault="009A2C2E" w:rsidP="009A2C2E">
      <w:pPr>
        <w:keepNext/>
        <w:widowControl w:val="0"/>
        <w:rPr>
          <w:b/>
          <w:sz w:val="24"/>
          <w:szCs w:val="24"/>
        </w:rPr>
      </w:pPr>
      <w:r>
        <w:rPr>
          <w:b/>
          <w:sz w:val="24"/>
          <w:szCs w:val="24"/>
        </w:rPr>
        <w:t>Narrative (Optional)</w:t>
      </w:r>
    </w:p>
    <w:p w14:paraId="3AB72F33" w14:textId="77777777" w:rsidR="009A2C2E" w:rsidRDefault="009A2C2E" w:rsidP="009A2C2E">
      <w:pPr>
        <w:spacing w:after="0" w:line="240" w:lineRule="auto"/>
        <w:rPr>
          <w:rFonts w:cs="Arial"/>
        </w:rPr>
      </w:pPr>
    </w:p>
    <w:p w14:paraId="209A7C50" w14:textId="77777777" w:rsidR="009A2C2E" w:rsidRDefault="009A2C2E" w:rsidP="009A2C2E">
      <w:pPr>
        <w:pStyle w:val="Heading2"/>
        <w:pageBreakBefore/>
        <w:rPr>
          <w:rFonts w:ascii="Calibri" w:hAnsi="Calibri"/>
          <w:i/>
        </w:rPr>
      </w:pPr>
      <w:bookmarkStart w:id="66" w:name="_Toc191358741"/>
      <w:bookmarkStart w:id="67" w:name="_Toc194673862"/>
      <w:r>
        <w:rPr>
          <w:rFonts w:ascii="Calibri" w:hAnsi="Calibri"/>
        </w:rPr>
        <w:lastRenderedPageBreak/>
        <w:t>SP-30 Influence of Market Conditions – 91.315(b)</w:t>
      </w:r>
      <w:bookmarkEnd w:id="66"/>
      <w:bookmarkEnd w:id="67"/>
    </w:p>
    <w:p w14:paraId="619FD929" w14:textId="77777777" w:rsidR="009A2C2E" w:rsidRDefault="009A2C2E" w:rsidP="009A2C2E">
      <w:pPr>
        <w:keepNext/>
        <w:widowControl w:val="0"/>
        <w:rPr>
          <w:b/>
          <w:sz w:val="24"/>
          <w:szCs w:val="24"/>
        </w:rPr>
      </w:pPr>
      <w:r>
        <w:rPr>
          <w:b/>
          <w:sz w:val="24"/>
          <w:szCs w:val="24"/>
        </w:rPr>
        <w:t>Influence of Market Conditions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7420"/>
      </w:tblGrid>
      <w:tr w:rsidR="009A2C2E" w14:paraId="533567C0" w14:textId="77777777" w:rsidTr="00E53512">
        <w:trPr>
          <w:cantSplit/>
          <w:tblHeader/>
        </w:trPr>
        <w:tc>
          <w:tcPr>
            <w:tcW w:w="0" w:type="auto"/>
          </w:tcPr>
          <w:p w14:paraId="4C5ADA67" w14:textId="77777777" w:rsidR="009A2C2E" w:rsidRDefault="009A2C2E" w:rsidP="00E53512">
            <w:pPr>
              <w:keepNext/>
              <w:widowControl w:val="0"/>
              <w:spacing w:after="0" w:line="240" w:lineRule="auto"/>
              <w:jc w:val="center"/>
              <w:rPr>
                <w:b/>
                <w:sz w:val="24"/>
                <w:szCs w:val="24"/>
              </w:rPr>
            </w:pPr>
            <w:r>
              <w:rPr>
                <w:b/>
                <w:bCs/>
              </w:rPr>
              <w:t>Affordable Housing Type</w:t>
            </w:r>
          </w:p>
        </w:tc>
        <w:tc>
          <w:tcPr>
            <w:tcW w:w="0" w:type="auto"/>
          </w:tcPr>
          <w:p w14:paraId="54797975" w14:textId="77777777" w:rsidR="009A2C2E" w:rsidRDefault="009A2C2E" w:rsidP="00E53512">
            <w:pPr>
              <w:keepNext/>
              <w:widowControl w:val="0"/>
              <w:spacing w:after="0" w:line="240" w:lineRule="auto"/>
              <w:jc w:val="center"/>
              <w:rPr>
                <w:b/>
                <w:sz w:val="24"/>
                <w:szCs w:val="24"/>
              </w:rPr>
            </w:pPr>
            <w:r>
              <w:rPr>
                <w:b/>
                <w:bCs/>
              </w:rPr>
              <w:t xml:space="preserve">Market Characteristics that will influence </w:t>
            </w:r>
            <w:r>
              <w:rPr>
                <w:b/>
                <w:bCs/>
              </w:rPr>
              <w:br/>
              <w:t>the use of funds available for housing type</w:t>
            </w:r>
          </w:p>
        </w:tc>
      </w:tr>
      <w:tr w:rsidR="009A2C2E" w14:paraId="079D435B" w14:textId="77777777" w:rsidTr="00E53512">
        <w:trPr>
          <w:cantSplit/>
        </w:trPr>
        <w:tc>
          <w:tcPr>
            <w:tcW w:w="0" w:type="auto"/>
          </w:tcPr>
          <w:p w14:paraId="42DA2052" w14:textId="77777777" w:rsidR="009A2C2E" w:rsidRDefault="009A2C2E" w:rsidP="00E53512">
            <w:pPr>
              <w:spacing w:beforeAutospacing="1" w:afterAutospacing="1"/>
            </w:pPr>
            <w:r w:rsidRPr="00067D97">
              <w:rPr>
                <w:color w:val="000000"/>
              </w:rPr>
              <w:t>Tenant Based Rental Assistance (TBRA)</w:t>
            </w:r>
          </w:p>
        </w:tc>
        <w:tc>
          <w:tcPr>
            <w:tcW w:w="0" w:type="auto"/>
          </w:tcPr>
          <w:p w14:paraId="4516AF06" w14:textId="176CF88E" w:rsidR="009A2C2E" w:rsidRDefault="001B304F" w:rsidP="00E53512">
            <w:pPr>
              <w:spacing w:beforeAutospacing="1" w:afterAutospacing="1"/>
            </w:pPr>
            <w:r>
              <w:t xml:space="preserve">The lack of affordable rental housing and increasing rental costs continues to impact lower income households in having access to safe, decent, and affordable housing.  </w:t>
            </w:r>
            <w:r>
              <w:rPr>
                <w:color w:val="000000"/>
              </w:rPr>
              <w:t>Across the state, only 53.9% of rental units are affordable to renters across income bands.  The number of units affordable to a given income band decreases as incomes decrease.</w:t>
            </w:r>
          </w:p>
          <w:p w14:paraId="12454CBA" w14:textId="77777777" w:rsidR="009A2C2E" w:rsidRDefault="009A2C2E" w:rsidP="00E53512">
            <w:pPr>
              <w:spacing w:beforeAutospacing="1" w:afterAutospacing="1"/>
            </w:pPr>
          </w:p>
        </w:tc>
      </w:tr>
      <w:tr w:rsidR="009A2C2E" w14:paraId="1DAD6DC9" w14:textId="77777777" w:rsidTr="00E53512">
        <w:trPr>
          <w:cantSplit/>
        </w:trPr>
        <w:tc>
          <w:tcPr>
            <w:tcW w:w="0" w:type="auto"/>
          </w:tcPr>
          <w:p w14:paraId="372DADFC" w14:textId="77777777" w:rsidR="009A2C2E" w:rsidRDefault="009A2C2E" w:rsidP="00E53512">
            <w:pPr>
              <w:spacing w:beforeAutospacing="1" w:afterAutospacing="1"/>
            </w:pPr>
            <w:r>
              <w:rPr>
                <w:color w:val="000000"/>
              </w:rPr>
              <w:t>TBRA for Non-Homeless Special Needs</w:t>
            </w:r>
          </w:p>
        </w:tc>
        <w:tc>
          <w:tcPr>
            <w:tcW w:w="0" w:type="auto"/>
          </w:tcPr>
          <w:p w14:paraId="42C864B1" w14:textId="77777777" w:rsidR="001B304F" w:rsidRDefault="009A2C2E" w:rsidP="001B304F">
            <w:pPr>
              <w:spacing w:beforeAutospacing="1" w:afterAutospacing="1"/>
            </w:pPr>
            <w:r>
              <w:rPr>
                <w:color w:val="000000"/>
              </w:rPr>
              <w:t xml:space="preserve"> </w:t>
            </w:r>
            <w:r w:rsidR="001B304F">
              <w:t xml:space="preserve">The lack of affordable rental housing and increasing rental costs continues to impact lower income households in having access to safe, decent, and affordable housing.  </w:t>
            </w:r>
            <w:r w:rsidR="001B304F">
              <w:rPr>
                <w:color w:val="000000"/>
              </w:rPr>
              <w:t>Across the state, only 53.9% of rental units are affordable to renters across income bands.  The number of units affordable to a given income band decreases as incomes decrease.</w:t>
            </w:r>
          </w:p>
          <w:p w14:paraId="6E7871AA" w14:textId="1CCBB99D" w:rsidR="009A2C2E" w:rsidRDefault="009A2C2E" w:rsidP="00E53512">
            <w:pPr>
              <w:spacing w:beforeAutospacing="1" w:afterAutospacing="1"/>
            </w:pPr>
          </w:p>
        </w:tc>
      </w:tr>
      <w:tr w:rsidR="009A2C2E" w14:paraId="5AE0342A" w14:textId="77777777" w:rsidTr="00E53512">
        <w:trPr>
          <w:cantSplit/>
        </w:trPr>
        <w:tc>
          <w:tcPr>
            <w:tcW w:w="0" w:type="auto"/>
          </w:tcPr>
          <w:p w14:paraId="21598892" w14:textId="77777777" w:rsidR="009A2C2E" w:rsidRDefault="009A2C2E" w:rsidP="00E53512">
            <w:pPr>
              <w:spacing w:beforeAutospacing="1" w:afterAutospacing="1"/>
            </w:pPr>
            <w:r>
              <w:rPr>
                <w:color w:val="000000"/>
              </w:rPr>
              <w:t>New Unit Production</w:t>
            </w:r>
          </w:p>
        </w:tc>
        <w:tc>
          <w:tcPr>
            <w:tcW w:w="0" w:type="auto"/>
          </w:tcPr>
          <w:p w14:paraId="02D906A2" w14:textId="0B010784" w:rsidR="009A2C2E" w:rsidRDefault="009A2C2E" w:rsidP="00E53512">
            <w:pPr>
              <w:spacing w:beforeAutospacing="1" w:afterAutospacing="1"/>
            </w:pPr>
            <w:r>
              <w:rPr>
                <w:color w:val="000000"/>
              </w:rPr>
              <w:t>The lack of affordable rental housing remains Idaho’s high housing need, especially for households with annual incomes at or below 30% AMI. This need has been exacerbated by Idaho's aging population, increasing in-migration, and growing number of cost-burdened renters and owners.  This housing need is evident in all Idaho counties and create a priority need for more affordable rental and homebuyer units.</w:t>
            </w:r>
            <w:r w:rsidR="003D336B">
              <w:rPr>
                <w:color w:val="000000"/>
              </w:rPr>
              <w:t xml:space="preserve"> Across the state, only 53.9% of rental units are affordable to renters across income bands.  The number of units affordable to a given income band decreases as incomes decrease.</w:t>
            </w:r>
          </w:p>
        </w:tc>
      </w:tr>
      <w:tr w:rsidR="009A2C2E" w14:paraId="7D3B542E" w14:textId="77777777" w:rsidTr="00E53512">
        <w:trPr>
          <w:cantSplit/>
        </w:trPr>
        <w:tc>
          <w:tcPr>
            <w:tcW w:w="0" w:type="auto"/>
          </w:tcPr>
          <w:p w14:paraId="663E1BC1" w14:textId="77777777" w:rsidR="009A2C2E" w:rsidRDefault="009A2C2E" w:rsidP="00E53512">
            <w:pPr>
              <w:spacing w:beforeAutospacing="1" w:afterAutospacing="1"/>
            </w:pPr>
            <w:r>
              <w:rPr>
                <w:color w:val="000000"/>
              </w:rPr>
              <w:lastRenderedPageBreak/>
              <w:t>Rehabilitation</w:t>
            </w:r>
          </w:p>
        </w:tc>
        <w:tc>
          <w:tcPr>
            <w:tcW w:w="0" w:type="auto"/>
          </w:tcPr>
          <w:p w14:paraId="77BBAC8D" w14:textId="78783515" w:rsidR="009A2C2E" w:rsidRDefault="009A2C2E" w:rsidP="00E53512">
            <w:pPr>
              <w:spacing w:beforeAutospacing="1" w:afterAutospacing="1"/>
            </w:pPr>
            <w:r>
              <w:rPr>
                <w:color w:val="000000"/>
              </w:rPr>
              <w:t xml:space="preserve">Based on IHFA's current Needs Assessment about </w:t>
            </w:r>
            <w:r w:rsidR="003D336B">
              <w:rPr>
                <w:color w:val="000000"/>
              </w:rPr>
              <w:t>42</w:t>
            </w:r>
            <w:r>
              <w:rPr>
                <w:color w:val="000000"/>
              </w:rPr>
              <w:t>% of Idaho's housing stock was built prior to 1980.</w:t>
            </w:r>
          </w:p>
          <w:p w14:paraId="75D79D92" w14:textId="3E526CC1" w:rsidR="009A2C2E" w:rsidRDefault="009A2C2E" w:rsidP="00E53512">
            <w:pPr>
              <w:spacing w:beforeAutospacing="1" w:afterAutospacing="1"/>
            </w:pPr>
            <w:r>
              <w:rPr>
                <w:color w:val="000000"/>
              </w:rPr>
              <w:t xml:space="preserve">There are currently many older existing rental properties in Idaho’s smaller or rural communities in Idaho that are approaching the end of their affordability period and could be sold as market rate rental housing.  </w:t>
            </w:r>
            <w:r w:rsidR="003D336B">
              <w:rPr>
                <w:color w:val="000000"/>
              </w:rPr>
              <w:t xml:space="preserve">The </w:t>
            </w:r>
            <w:hyperlink r:id="rId21" w:tooltip="National Housing Preservation Database (NHPD)" w:history="1">
              <w:r w:rsidR="003D336B" w:rsidRPr="003D336B">
                <w:rPr>
                  <w:rStyle w:val="Hyperlink"/>
                </w:rPr>
                <w:t>National Housing Preservation Database (NHPD)</w:t>
              </w:r>
            </w:hyperlink>
            <w:r w:rsidR="003D336B">
              <w:rPr>
                <w:color w:val="000000"/>
              </w:rPr>
              <w:t xml:space="preserve"> reports that 1,875 assisted housing units are set to expire I the next five years. </w:t>
            </w:r>
            <w:r>
              <w:rPr>
                <w:color w:val="000000"/>
              </w:rPr>
              <w:t xml:space="preserve">Rehabilitating this older housing will help it to continue to meet code and property </w:t>
            </w:r>
            <w:proofErr w:type="gramStart"/>
            <w:r>
              <w:rPr>
                <w:color w:val="000000"/>
              </w:rPr>
              <w:t>standards, and</w:t>
            </w:r>
            <w:proofErr w:type="gramEnd"/>
            <w:r>
              <w:rPr>
                <w:color w:val="000000"/>
              </w:rPr>
              <w:t xml:space="preserve"> require it to remain affordable for years to come.</w:t>
            </w:r>
          </w:p>
          <w:p w14:paraId="6BC4F015" w14:textId="77777777" w:rsidR="009A2C2E" w:rsidRDefault="009A2C2E" w:rsidP="00E53512">
            <w:pPr>
              <w:spacing w:beforeAutospacing="1" w:afterAutospacing="1"/>
            </w:pPr>
            <w:r>
              <w:rPr>
                <w:color w:val="000000"/>
              </w:rPr>
              <w:t>When single-family structures are purchased and rehabilitated with HOME funds, they provide safe decent housing a community's low-income households that want to own their own home. Rehabilitating existing single-family homebuyer units help to create a continuum of housing choices in Idaho’s communities.</w:t>
            </w:r>
          </w:p>
        </w:tc>
      </w:tr>
      <w:tr w:rsidR="009A2C2E" w14:paraId="03ADB611" w14:textId="77777777" w:rsidTr="00E53512">
        <w:trPr>
          <w:cantSplit/>
        </w:trPr>
        <w:tc>
          <w:tcPr>
            <w:tcW w:w="0" w:type="auto"/>
          </w:tcPr>
          <w:p w14:paraId="681960F8" w14:textId="77777777" w:rsidR="009A2C2E" w:rsidRDefault="009A2C2E" w:rsidP="00E53512">
            <w:pPr>
              <w:spacing w:beforeAutospacing="1" w:afterAutospacing="1"/>
            </w:pPr>
            <w:r>
              <w:rPr>
                <w:color w:val="000000"/>
              </w:rPr>
              <w:t>Acquisition, including preservation</w:t>
            </w:r>
          </w:p>
        </w:tc>
        <w:tc>
          <w:tcPr>
            <w:tcW w:w="0" w:type="auto"/>
          </w:tcPr>
          <w:p w14:paraId="30A9F877" w14:textId="77777777" w:rsidR="009A2C2E" w:rsidRDefault="009A2C2E" w:rsidP="00E53512">
            <w:pPr>
              <w:spacing w:beforeAutospacing="1" w:afterAutospacing="1"/>
            </w:pPr>
            <w:r>
              <w:rPr>
                <w:color w:val="000000"/>
              </w:rPr>
              <w:t>As Idaho's affordable housing rental properties age, there is increased demand for federal funds to help acquire these properties and keep them in Idaho’s affordable housing portfolio. Rental properties must meet the HOME/HTF definition of Standard Condition or Substandard but suitable for Rehabilitation at the time ownership is transferred (defined as meeting local and/or Idaho building or residential code, local code/property standards/zoning/ordinances and HOME and/or HTF property standards).</w:t>
            </w:r>
          </w:p>
        </w:tc>
      </w:tr>
    </w:tbl>
    <w:p w14:paraId="3A2E4C92" w14:textId="77777777" w:rsidR="009A2C2E" w:rsidRDefault="009A2C2E" w:rsidP="009A2C2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rPr>
        <w:t xml:space="preserve"> – Influence of Market Conditions</w:t>
      </w:r>
    </w:p>
    <w:p w14:paraId="1D3C3ED4" w14:textId="24BA45E8" w:rsidR="003D336B" w:rsidRDefault="003D336B">
      <w:pPr>
        <w:spacing w:after="160" w:line="259" w:lineRule="auto"/>
      </w:pPr>
      <w:r>
        <w:br w:type="page"/>
      </w:r>
    </w:p>
    <w:p w14:paraId="5E20A230" w14:textId="77777777" w:rsidR="003D336B" w:rsidRPr="0087754B" w:rsidRDefault="003D336B" w:rsidP="003D336B">
      <w:pPr>
        <w:pStyle w:val="Heading2"/>
        <w:rPr>
          <w:rFonts w:ascii="Calibri" w:hAnsi="Calibri" w:cs="Calibri"/>
        </w:rPr>
      </w:pPr>
      <w:bookmarkStart w:id="68" w:name="_Toc194673863"/>
      <w:r w:rsidRPr="0087754B">
        <w:rPr>
          <w:rFonts w:ascii="Calibri" w:hAnsi="Calibri" w:cs="Calibri"/>
        </w:rPr>
        <w:lastRenderedPageBreak/>
        <w:t>SP-35 Anticipated Resources - 91.215(a)(4), 91.220(c</w:t>
      </w:r>
      <w:proofErr w:type="gramStart"/>
      <w:r w:rsidRPr="0087754B">
        <w:rPr>
          <w:rFonts w:ascii="Calibri" w:hAnsi="Calibri" w:cs="Calibri"/>
        </w:rPr>
        <w:t>)(</w:t>
      </w:r>
      <w:proofErr w:type="gramEnd"/>
      <w:r w:rsidRPr="0087754B">
        <w:rPr>
          <w:rFonts w:ascii="Calibri" w:hAnsi="Calibri" w:cs="Calibri"/>
        </w:rPr>
        <w:t>1,2)</w:t>
      </w:r>
      <w:bookmarkEnd w:id="68"/>
    </w:p>
    <w:p w14:paraId="08327DA1" w14:textId="77777777" w:rsidR="003D336B" w:rsidRDefault="003D336B" w:rsidP="003D336B">
      <w:pPr>
        <w:keepNext/>
        <w:widowControl w:val="0"/>
        <w:spacing w:line="204" w:lineRule="auto"/>
        <w:rPr>
          <w:b/>
          <w:sz w:val="28"/>
          <w:szCs w:val="28"/>
        </w:rPr>
      </w:pPr>
      <w:r>
        <w:rPr>
          <w:b/>
          <w:sz w:val="24"/>
          <w:szCs w:val="24"/>
        </w:rPr>
        <w:t>Introduction</w:t>
      </w:r>
    </w:p>
    <w:p w14:paraId="140A4908" w14:textId="1EBAC416" w:rsidR="003D336B" w:rsidRPr="00067D97" w:rsidRDefault="003D336B" w:rsidP="00067D97">
      <w:pPr>
        <w:keepNext/>
        <w:widowControl w:val="0"/>
        <w:spacing w:before="100" w:beforeAutospacing="1" w:after="100" w:afterAutospacing="1"/>
        <w:jc w:val="both"/>
        <w:rPr>
          <w:sz w:val="24"/>
          <w:szCs w:val="24"/>
        </w:rPr>
      </w:pPr>
      <w:r w:rsidRPr="00067D97">
        <w:rPr>
          <w:sz w:val="24"/>
          <w:szCs w:val="24"/>
        </w:rPr>
        <w:t xml:space="preserve">Idaho Housing and Finance Association </w:t>
      </w:r>
      <w:r w:rsidR="3C5A3002" w:rsidRPr="00067D97">
        <w:rPr>
          <w:sz w:val="24"/>
          <w:szCs w:val="24"/>
        </w:rPr>
        <w:t>(IHFA)</w:t>
      </w:r>
      <w:r w:rsidR="35F88D6A" w:rsidRPr="00067D97">
        <w:rPr>
          <w:sz w:val="24"/>
          <w:szCs w:val="24"/>
        </w:rPr>
        <w:t xml:space="preserve"> </w:t>
      </w:r>
      <w:r w:rsidRPr="00067D97">
        <w:rPr>
          <w:sz w:val="24"/>
          <w:szCs w:val="24"/>
        </w:rPr>
        <w:t>is the Allocating Agency for Idaho's Low-Income Tax Credit program (LIHTC), the designated administrator for Idaho's HOME Investment Partnership Program</w:t>
      </w:r>
      <w:r w:rsidR="1424D71F" w:rsidRPr="00067D97">
        <w:rPr>
          <w:sz w:val="24"/>
          <w:szCs w:val="24"/>
        </w:rPr>
        <w:t xml:space="preserve"> (HOME)</w:t>
      </w:r>
      <w:r w:rsidR="35F88D6A" w:rsidRPr="00067D97">
        <w:rPr>
          <w:sz w:val="24"/>
          <w:szCs w:val="24"/>
        </w:rPr>
        <w:t>,</w:t>
      </w:r>
      <w:r w:rsidRPr="00067D97">
        <w:rPr>
          <w:sz w:val="24"/>
          <w:szCs w:val="24"/>
        </w:rPr>
        <w:t xml:space="preserve"> National Housing Trust Fund Program</w:t>
      </w:r>
      <w:r w:rsidR="18CB4F9A" w:rsidRPr="00067D97">
        <w:rPr>
          <w:sz w:val="24"/>
          <w:szCs w:val="24"/>
        </w:rPr>
        <w:t xml:space="preserve"> (HFT)</w:t>
      </w:r>
      <w:r w:rsidR="35F88D6A" w:rsidRPr="00067D97">
        <w:rPr>
          <w:sz w:val="24"/>
          <w:szCs w:val="24"/>
        </w:rPr>
        <w:t>,</w:t>
      </w:r>
      <w:r w:rsidRPr="00067D97">
        <w:rPr>
          <w:sz w:val="24"/>
          <w:szCs w:val="24"/>
        </w:rPr>
        <w:t xml:space="preserve"> Neighborhood Stabilization Program, and the Emergency Solutions Grant Program</w:t>
      </w:r>
      <w:r w:rsidR="395C34A1" w:rsidRPr="00067D97">
        <w:rPr>
          <w:sz w:val="24"/>
          <w:szCs w:val="24"/>
        </w:rPr>
        <w:t xml:space="preserve"> (ESG)</w:t>
      </w:r>
      <w:r w:rsidR="35F88D6A" w:rsidRPr="00067D97">
        <w:rPr>
          <w:sz w:val="24"/>
          <w:szCs w:val="24"/>
        </w:rPr>
        <w:t>.</w:t>
      </w:r>
      <w:r w:rsidRPr="00067D97">
        <w:rPr>
          <w:sz w:val="24"/>
          <w:szCs w:val="24"/>
        </w:rPr>
        <w:t xml:space="preserve"> The Idaho Department of Commerce is the designated Administrator of Idaho's </w:t>
      </w:r>
      <w:r w:rsidR="1AC5B63C" w:rsidRPr="00067D97">
        <w:rPr>
          <w:sz w:val="24"/>
          <w:szCs w:val="24"/>
        </w:rPr>
        <w:t>Community Development Block Grant</w:t>
      </w:r>
      <w:r w:rsidR="68047EB8" w:rsidRPr="00067D97">
        <w:rPr>
          <w:sz w:val="24"/>
          <w:szCs w:val="24"/>
        </w:rPr>
        <w:t xml:space="preserve"> P</w:t>
      </w:r>
      <w:r w:rsidR="288B9635" w:rsidRPr="00067D97">
        <w:rPr>
          <w:sz w:val="24"/>
          <w:szCs w:val="24"/>
        </w:rPr>
        <w:t>rogram</w:t>
      </w:r>
      <w:r w:rsidR="1AC5B63C" w:rsidRPr="00067D97">
        <w:rPr>
          <w:sz w:val="24"/>
          <w:szCs w:val="24"/>
        </w:rPr>
        <w:t xml:space="preserve"> </w:t>
      </w:r>
      <w:r w:rsidR="54E6C89C" w:rsidRPr="00067D97">
        <w:rPr>
          <w:sz w:val="24"/>
          <w:szCs w:val="24"/>
        </w:rPr>
        <w:t>(</w:t>
      </w:r>
      <w:r w:rsidR="35F88D6A" w:rsidRPr="00067D97">
        <w:rPr>
          <w:sz w:val="24"/>
          <w:szCs w:val="24"/>
        </w:rPr>
        <w:t>CDBG</w:t>
      </w:r>
      <w:r w:rsidR="6030DD94" w:rsidRPr="00067D97">
        <w:rPr>
          <w:sz w:val="24"/>
          <w:szCs w:val="24"/>
        </w:rPr>
        <w:t>)</w:t>
      </w:r>
      <w:r w:rsidR="527B2E92" w:rsidRPr="00067D97">
        <w:rPr>
          <w:sz w:val="24"/>
          <w:szCs w:val="24"/>
        </w:rPr>
        <w:t>.</w:t>
      </w:r>
    </w:p>
    <w:p w14:paraId="69A06C94" w14:textId="448BFA24" w:rsidR="003D336B" w:rsidRPr="00067D97" w:rsidRDefault="003D336B" w:rsidP="00067D97">
      <w:pPr>
        <w:spacing w:before="100" w:beforeAutospacing="1" w:after="100" w:afterAutospacing="1"/>
        <w:jc w:val="both"/>
        <w:rPr>
          <w:rFonts w:cs="Calibri"/>
          <w:sz w:val="24"/>
          <w:szCs w:val="24"/>
        </w:rPr>
      </w:pPr>
      <w:r w:rsidRPr="00067D97">
        <w:rPr>
          <w:rFonts w:cs="Calibri"/>
          <w:sz w:val="24"/>
          <w:szCs w:val="24"/>
        </w:rPr>
        <w:t xml:space="preserve">The Anticipated Resources Matrix below outlines each of these funds, expected amounts available in </w:t>
      </w:r>
      <w:r w:rsidR="00A7717E">
        <w:rPr>
          <w:rFonts w:cs="Calibri"/>
          <w:sz w:val="24"/>
          <w:szCs w:val="24"/>
        </w:rPr>
        <w:t>y</w:t>
      </w:r>
      <w:r w:rsidRPr="00067D97">
        <w:rPr>
          <w:rFonts w:cs="Calibri"/>
          <w:sz w:val="24"/>
          <w:szCs w:val="24"/>
        </w:rPr>
        <w:t xml:space="preserve">ear </w:t>
      </w:r>
      <w:r w:rsidR="13858DF8" w:rsidRPr="00067D97">
        <w:rPr>
          <w:rFonts w:cs="Calibri"/>
          <w:sz w:val="24"/>
          <w:szCs w:val="24"/>
        </w:rPr>
        <w:t>one (</w:t>
      </w:r>
      <w:r w:rsidRPr="00067D97">
        <w:rPr>
          <w:rFonts w:cs="Calibri"/>
          <w:sz w:val="24"/>
          <w:szCs w:val="24"/>
        </w:rPr>
        <w:t>1</w:t>
      </w:r>
      <w:r w:rsidR="13FFD158" w:rsidRPr="00067D97">
        <w:rPr>
          <w:rFonts w:cs="Calibri"/>
          <w:sz w:val="24"/>
          <w:szCs w:val="24"/>
        </w:rPr>
        <w:t>)</w:t>
      </w:r>
      <w:r w:rsidRPr="00067D97">
        <w:rPr>
          <w:rFonts w:cs="Calibri"/>
          <w:sz w:val="24"/>
          <w:szCs w:val="24"/>
        </w:rPr>
        <w:t xml:space="preserve"> and a projection of resources between fiscal year 202</w:t>
      </w:r>
      <w:r w:rsidR="006D1F77">
        <w:rPr>
          <w:rFonts w:cs="Calibri"/>
          <w:sz w:val="24"/>
          <w:szCs w:val="24"/>
        </w:rPr>
        <w:t>6</w:t>
      </w:r>
      <w:r w:rsidRPr="00067D97">
        <w:rPr>
          <w:rFonts w:cs="Calibri"/>
          <w:sz w:val="24"/>
          <w:szCs w:val="24"/>
        </w:rPr>
        <w:t xml:space="preserve"> and fiscal year 2029. Estimates are based on 2024 allocation amounts. If the total grant received by the State is lower or higher than the funds allocated to the goals in SP-45, then each goal amount will be reduced or increased </w:t>
      </w:r>
      <w:r w:rsidR="64C0F0A9" w:rsidRPr="00067D97">
        <w:rPr>
          <w:rFonts w:cs="Calibri"/>
          <w:sz w:val="24"/>
          <w:szCs w:val="24"/>
        </w:rPr>
        <w:t>by</w:t>
      </w:r>
      <w:r w:rsidRPr="00067D97">
        <w:rPr>
          <w:rFonts w:cs="Calibri"/>
          <w:sz w:val="24"/>
          <w:szCs w:val="24"/>
        </w:rPr>
        <w:t xml:space="preserve"> the same proportion as the percentage difference between the estimated total grant and the actual total grant.</w:t>
      </w:r>
    </w:p>
    <w:p w14:paraId="0CCAC6CF" w14:textId="77777777" w:rsidR="00D059DE" w:rsidRDefault="005345AC" w:rsidP="00067D97">
      <w:pPr>
        <w:keepNext/>
        <w:widowControl w:val="0"/>
        <w:jc w:val="both"/>
        <w:rPr>
          <w:rFonts w:cs="Calibri"/>
        </w:rPr>
      </w:pPr>
      <w:r w:rsidRPr="00067D97">
        <w:rPr>
          <w:rFonts w:cs="Calibri"/>
          <w:sz w:val="24"/>
          <w:szCs w:val="24"/>
        </w:rPr>
        <w:t xml:space="preserve">The </w:t>
      </w:r>
      <w:r w:rsidR="53153619" w:rsidRPr="00067D97">
        <w:rPr>
          <w:rFonts w:cs="Calibri"/>
          <w:sz w:val="24"/>
          <w:szCs w:val="24"/>
        </w:rPr>
        <w:t>a</w:t>
      </w:r>
      <w:r w:rsidR="45A248EE" w:rsidRPr="00067D97">
        <w:rPr>
          <w:rFonts w:cs="Calibri"/>
          <w:sz w:val="24"/>
          <w:szCs w:val="24"/>
        </w:rPr>
        <w:t>mount</w:t>
      </w:r>
      <w:r w:rsidRPr="00067D97">
        <w:rPr>
          <w:rFonts w:cs="Calibri"/>
          <w:sz w:val="24"/>
          <w:szCs w:val="24"/>
        </w:rPr>
        <w:t xml:space="preserve"> for the remainder of the Plan is the </w:t>
      </w:r>
      <w:r w:rsidR="00A7717E" w:rsidRPr="00067D97">
        <w:rPr>
          <w:rFonts w:cs="Calibri"/>
          <w:sz w:val="24"/>
          <w:szCs w:val="24"/>
        </w:rPr>
        <w:t>first-year</w:t>
      </w:r>
      <w:r w:rsidRPr="00067D97">
        <w:rPr>
          <w:rFonts w:cs="Calibri"/>
          <w:sz w:val="24"/>
          <w:szCs w:val="24"/>
        </w:rPr>
        <w:t xml:space="preserve"> total multiplied by </w:t>
      </w:r>
      <w:r w:rsidR="780DB4A2" w:rsidRPr="00067D97">
        <w:rPr>
          <w:rFonts w:cs="Calibri"/>
          <w:sz w:val="24"/>
          <w:szCs w:val="24"/>
        </w:rPr>
        <w:t>four (</w:t>
      </w:r>
      <w:r w:rsidRPr="00067D97">
        <w:rPr>
          <w:rFonts w:cs="Calibri"/>
          <w:sz w:val="24"/>
          <w:szCs w:val="24"/>
        </w:rPr>
        <w:t>4</w:t>
      </w:r>
      <w:r w:rsidR="55F9A379" w:rsidRPr="00067D97">
        <w:rPr>
          <w:rFonts w:cs="Calibri"/>
          <w:sz w:val="24"/>
          <w:szCs w:val="24"/>
        </w:rPr>
        <w:t>)</w:t>
      </w:r>
      <w:r w:rsidRPr="00067D97">
        <w:rPr>
          <w:rFonts w:cs="Calibri"/>
          <w:sz w:val="24"/>
          <w:szCs w:val="24"/>
        </w:rPr>
        <w:t xml:space="preserve"> for the remainder </w:t>
      </w:r>
      <w:r w:rsidRPr="005345AC">
        <w:rPr>
          <w:rFonts w:cs="Calibri"/>
        </w:rPr>
        <w:t xml:space="preserve">of the Consolidated Plan cycle. </w:t>
      </w:r>
    </w:p>
    <w:p w14:paraId="71FB1E29" w14:textId="77777777" w:rsidR="00D059DE" w:rsidRDefault="00D059DE">
      <w:pPr>
        <w:spacing w:after="160" w:line="259" w:lineRule="auto"/>
        <w:rPr>
          <w:rFonts w:cs="Calibri"/>
        </w:rPr>
      </w:pPr>
      <w:r>
        <w:rPr>
          <w:rFonts w:cs="Calibri"/>
        </w:rPr>
        <w:br w:type="page"/>
      </w:r>
    </w:p>
    <w:p w14:paraId="08BEE7C3" w14:textId="490CB06D" w:rsidR="003D336B" w:rsidRDefault="003D336B" w:rsidP="006C5143">
      <w:pPr>
        <w:keepNext/>
        <w:widowControl w:val="0"/>
        <w:jc w:val="both"/>
        <w:rPr>
          <w:b/>
          <w:sz w:val="24"/>
          <w:szCs w:val="24"/>
        </w:rPr>
      </w:pPr>
      <w:r>
        <w:rPr>
          <w:b/>
          <w:sz w:val="24"/>
          <w:szCs w:val="24"/>
        </w:rPr>
        <w:lastRenderedPageBreak/>
        <w:t>Anticipated Resources</w:t>
      </w:r>
    </w:p>
    <w:p w14:paraId="39751D37" w14:textId="77777777" w:rsidR="006C5143" w:rsidRDefault="006C5143" w:rsidP="00E53512">
      <w:pPr>
        <w:keepNext/>
        <w:widowControl w:val="0"/>
        <w:spacing w:after="0" w:line="240" w:lineRule="auto"/>
        <w:jc w:val="center"/>
        <w:rPr>
          <w:b/>
          <w:sz w:val="20"/>
          <w:szCs w:val="20"/>
        </w:rPr>
        <w:sectPr w:rsidR="006C5143" w:rsidSect="006C3287">
          <w:pgSz w:w="12240" w:h="15840" w:code="1"/>
          <w:pgMar w:top="1440" w:right="1440" w:bottom="1440" w:left="1440" w:header="720" w:footer="720" w:gutter="0"/>
          <w:cols w:space="720"/>
          <w:docGrid w:linePitch="360"/>
        </w:sectPr>
      </w:pPr>
    </w:p>
    <w:tbl>
      <w:tblPr>
        <w:tblW w:w="1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02"/>
        <w:gridCol w:w="1624"/>
        <w:gridCol w:w="1123"/>
        <w:gridCol w:w="1121"/>
        <w:gridCol w:w="1123"/>
        <w:gridCol w:w="1228"/>
        <w:gridCol w:w="1228"/>
        <w:gridCol w:w="2628"/>
      </w:tblGrid>
      <w:tr w:rsidR="002131D0" w14:paraId="28EF5356" w14:textId="77777777" w:rsidTr="001B26A1">
        <w:trPr>
          <w:cantSplit/>
          <w:trHeight w:val="300"/>
          <w:tblHeader/>
        </w:trPr>
        <w:tc>
          <w:tcPr>
            <w:tcW w:w="988" w:type="dxa"/>
            <w:vMerge w:val="restart"/>
          </w:tcPr>
          <w:p w14:paraId="1ECDDD9D" w14:textId="77777777" w:rsidR="003D336B" w:rsidRDefault="003D336B" w:rsidP="00E53512">
            <w:pPr>
              <w:keepNext/>
              <w:widowControl w:val="0"/>
              <w:spacing w:after="0" w:line="240" w:lineRule="auto"/>
              <w:jc w:val="center"/>
              <w:rPr>
                <w:b/>
                <w:sz w:val="24"/>
                <w:szCs w:val="24"/>
              </w:rPr>
            </w:pPr>
            <w:r>
              <w:rPr>
                <w:b/>
                <w:sz w:val="20"/>
                <w:szCs w:val="20"/>
              </w:rPr>
              <w:lastRenderedPageBreak/>
              <w:t>Program</w:t>
            </w:r>
          </w:p>
        </w:tc>
        <w:tc>
          <w:tcPr>
            <w:tcW w:w="902" w:type="dxa"/>
            <w:vMerge w:val="restart"/>
          </w:tcPr>
          <w:p w14:paraId="5ABB853C" w14:textId="77777777" w:rsidR="003D336B" w:rsidRDefault="003D336B" w:rsidP="00E53512">
            <w:pPr>
              <w:keepNext/>
              <w:widowControl w:val="0"/>
              <w:spacing w:after="0" w:line="240" w:lineRule="auto"/>
              <w:jc w:val="center"/>
              <w:rPr>
                <w:b/>
                <w:sz w:val="24"/>
                <w:szCs w:val="24"/>
              </w:rPr>
            </w:pPr>
            <w:r>
              <w:rPr>
                <w:b/>
                <w:sz w:val="20"/>
                <w:szCs w:val="20"/>
              </w:rPr>
              <w:t>Source of Funds</w:t>
            </w:r>
          </w:p>
        </w:tc>
        <w:tc>
          <w:tcPr>
            <w:tcW w:w="1624" w:type="dxa"/>
            <w:vMerge w:val="restart"/>
          </w:tcPr>
          <w:p w14:paraId="66F32749" w14:textId="77777777" w:rsidR="003D336B" w:rsidRDefault="003D336B" w:rsidP="00E53512">
            <w:pPr>
              <w:keepNext/>
              <w:widowControl w:val="0"/>
              <w:spacing w:after="0" w:line="240" w:lineRule="auto"/>
              <w:jc w:val="center"/>
              <w:rPr>
                <w:b/>
                <w:sz w:val="24"/>
                <w:szCs w:val="24"/>
              </w:rPr>
            </w:pPr>
            <w:r>
              <w:rPr>
                <w:b/>
                <w:sz w:val="20"/>
                <w:szCs w:val="20"/>
              </w:rPr>
              <w:t>Uses of Funds</w:t>
            </w:r>
          </w:p>
        </w:tc>
        <w:tc>
          <w:tcPr>
            <w:tcW w:w="4595" w:type="dxa"/>
            <w:gridSpan w:val="4"/>
          </w:tcPr>
          <w:p w14:paraId="19370938" w14:textId="77777777" w:rsidR="003D336B" w:rsidRDefault="003D336B" w:rsidP="00E53512">
            <w:pPr>
              <w:keepNext/>
              <w:widowControl w:val="0"/>
              <w:spacing w:after="0" w:line="240" w:lineRule="auto"/>
              <w:jc w:val="center"/>
              <w:rPr>
                <w:b/>
                <w:sz w:val="24"/>
                <w:szCs w:val="24"/>
              </w:rPr>
            </w:pPr>
            <w:r>
              <w:rPr>
                <w:b/>
                <w:bCs/>
                <w:sz w:val="20"/>
                <w:szCs w:val="20"/>
              </w:rPr>
              <w:t>Expected Amount Available Year 1</w:t>
            </w:r>
          </w:p>
        </w:tc>
        <w:tc>
          <w:tcPr>
            <w:tcW w:w="1228" w:type="dxa"/>
            <w:vMerge w:val="restart"/>
          </w:tcPr>
          <w:p w14:paraId="6F6959D2" w14:textId="77777777" w:rsidR="003D336B" w:rsidRDefault="003D336B" w:rsidP="787E070B">
            <w:pPr>
              <w:keepNext/>
              <w:widowControl w:val="0"/>
              <w:spacing w:after="0" w:line="240" w:lineRule="auto"/>
              <w:jc w:val="center"/>
              <w:rPr>
                <w:b/>
                <w:bCs/>
                <w:sz w:val="20"/>
                <w:szCs w:val="20"/>
              </w:rPr>
            </w:pPr>
            <w:r w:rsidRPr="787E070B">
              <w:rPr>
                <w:b/>
                <w:bCs/>
                <w:sz w:val="20"/>
                <w:szCs w:val="20"/>
              </w:rPr>
              <w:t xml:space="preserve">Expected Amount Available Remainder of </w:t>
            </w:r>
            <w:proofErr w:type="spellStart"/>
            <w:r w:rsidRPr="787E070B">
              <w:rPr>
                <w:b/>
                <w:bCs/>
                <w:sz w:val="20"/>
                <w:szCs w:val="20"/>
              </w:rPr>
              <w:t>ConPlan</w:t>
            </w:r>
            <w:proofErr w:type="spellEnd"/>
            <w:r w:rsidRPr="787E070B">
              <w:rPr>
                <w:b/>
                <w:bCs/>
                <w:sz w:val="20"/>
                <w:szCs w:val="20"/>
              </w:rPr>
              <w:t xml:space="preserve"> </w:t>
            </w:r>
          </w:p>
          <w:p w14:paraId="37A7BB23" w14:textId="1F4A7FC3" w:rsidR="003D336B" w:rsidRDefault="003D336B" w:rsidP="787E070B">
            <w:pPr>
              <w:keepNext/>
              <w:widowControl w:val="0"/>
              <w:spacing w:after="0" w:line="240" w:lineRule="auto"/>
              <w:jc w:val="center"/>
              <w:rPr>
                <w:b/>
                <w:bCs/>
                <w:sz w:val="24"/>
                <w:szCs w:val="24"/>
              </w:rPr>
            </w:pPr>
            <w:r w:rsidRPr="787E070B">
              <w:rPr>
                <w:b/>
                <w:bCs/>
                <w:sz w:val="20"/>
                <w:szCs w:val="20"/>
              </w:rPr>
              <w:t>$</w:t>
            </w:r>
          </w:p>
        </w:tc>
        <w:tc>
          <w:tcPr>
            <w:tcW w:w="2628" w:type="dxa"/>
            <w:vMerge w:val="restart"/>
          </w:tcPr>
          <w:p w14:paraId="38C2EC48" w14:textId="77777777" w:rsidR="003D336B" w:rsidRDefault="003D336B" w:rsidP="00E53512">
            <w:pPr>
              <w:keepNext/>
              <w:widowControl w:val="0"/>
              <w:spacing w:after="0" w:line="240" w:lineRule="auto"/>
              <w:jc w:val="center"/>
              <w:rPr>
                <w:b/>
                <w:sz w:val="24"/>
                <w:szCs w:val="24"/>
              </w:rPr>
            </w:pPr>
            <w:r>
              <w:rPr>
                <w:b/>
                <w:sz w:val="20"/>
                <w:szCs w:val="20"/>
              </w:rPr>
              <w:t>Narrative Description</w:t>
            </w:r>
          </w:p>
        </w:tc>
      </w:tr>
      <w:tr w:rsidR="002131D0" w14:paraId="7E2B6E19" w14:textId="77777777" w:rsidTr="001B26A1">
        <w:trPr>
          <w:cantSplit/>
          <w:trHeight w:val="300"/>
          <w:tblHeader/>
        </w:trPr>
        <w:tc>
          <w:tcPr>
            <w:tcW w:w="988" w:type="dxa"/>
            <w:vMerge/>
          </w:tcPr>
          <w:p w14:paraId="005CC12B" w14:textId="77777777" w:rsidR="003D336B" w:rsidRDefault="003D336B" w:rsidP="00E53512">
            <w:pPr>
              <w:keepNext/>
              <w:widowControl w:val="0"/>
              <w:spacing w:after="0" w:line="240" w:lineRule="auto"/>
              <w:jc w:val="center"/>
              <w:rPr>
                <w:b/>
                <w:sz w:val="24"/>
                <w:szCs w:val="24"/>
              </w:rPr>
            </w:pPr>
          </w:p>
        </w:tc>
        <w:tc>
          <w:tcPr>
            <w:tcW w:w="902" w:type="dxa"/>
            <w:vMerge/>
          </w:tcPr>
          <w:p w14:paraId="016B4792" w14:textId="77777777" w:rsidR="003D336B" w:rsidRDefault="003D336B" w:rsidP="00E53512">
            <w:pPr>
              <w:keepNext/>
              <w:widowControl w:val="0"/>
              <w:spacing w:after="0" w:line="240" w:lineRule="auto"/>
              <w:jc w:val="center"/>
              <w:rPr>
                <w:b/>
                <w:sz w:val="24"/>
                <w:szCs w:val="24"/>
              </w:rPr>
            </w:pPr>
          </w:p>
        </w:tc>
        <w:tc>
          <w:tcPr>
            <w:tcW w:w="1624" w:type="dxa"/>
            <w:vMerge/>
          </w:tcPr>
          <w:p w14:paraId="0BA56151" w14:textId="77777777" w:rsidR="003D336B" w:rsidRDefault="003D336B" w:rsidP="00E53512">
            <w:pPr>
              <w:keepNext/>
              <w:widowControl w:val="0"/>
              <w:spacing w:after="0" w:line="240" w:lineRule="auto"/>
              <w:jc w:val="center"/>
              <w:rPr>
                <w:b/>
                <w:sz w:val="24"/>
                <w:szCs w:val="24"/>
              </w:rPr>
            </w:pPr>
          </w:p>
        </w:tc>
        <w:tc>
          <w:tcPr>
            <w:tcW w:w="1123" w:type="dxa"/>
          </w:tcPr>
          <w:p w14:paraId="629327E5" w14:textId="77777777" w:rsidR="003D336B" w:rsidRDefault="003D336B" w:rsidP="00E53512">
            <w:pPr>
              <w:keepNext/>
              <w:widowControl w:val="0"/>
              <w:spacing w:after="0" w:line="240" w:lineRule="auto"/>
              <w:jc w:val="center"/>
              <w:rPr>
                <w:b/>
                <w:sz w:val="24"/>
                <w:szCs w:val="24"/>
              </w:rPr>
            </w:pPr>
            <w:r>
              <w:rPr>
                <w:b/>
                <w:sz w:val="20"/>
                <w:szCs w:val="20"/>
              </w:rPr>
              <w:t>Annual Allocation: $</w:t>
            </w:r>
          </w:p>
        </w:tc>
        <w:tc>
          <w:tcPr>
            <w:tcW w:w="1121" w:type="dxa"/>
          </w:tcPr>
          <w:p w14:paraId="426E5595" w14:textId="77777777" w:rsidR="003D336B" w:rsidRDefault="003D336B" w:rsidP="00E53512">
            <w:pPr>
              <w:keepNext/>
              <w:widowControl w:val="0"/>
              <w:spacing w:after="0" w:line="240" w:lineRule="auto"/>
              <w:jc w:val="center"/>
              <w:rPr>
                <w:b/>
                <w:sz w:val="24"/>
                <w:szCs w:val="24"/>
              </w:rPr>
            </w:pPr>
            <w:r>
              <w:rPr>
                <w:b/>
                <w:sz w:val="20"/>
                <w:szCs w:val="20"/>
              </w:rPr>
              <w:t>Program Income: $</w:t>
            </w:r>
          </w:p>
        </w:tc>
        <w:tc>
          <w:tcPr>
            <w:tcW w:w="1123" w:type="dxa"/>
          </w:tcPr>
          <w:p w14:paraId="1DD6035B" w14:textId="77777777" w:rsidR="003D336B" w:rsidRDefault="003D336B" w:rsidP="00E53512">
            <w:pPr>
              <w:keepNext/>
              <w:widowControl w:val="0"/>
              <w:spacing w:after="0" w:line="240" w:lineRule="auto"/>
              <w:jc w:val="center"/>
              <w:rPr>
                <w:b/>
                <w:sz w:val="24"/>
                <w:szCs w:val="24"/>
              </w:rPr>
            </w:pPr>
            <w:r>
              <w:rPr>
                <w:b/>
                <w:sz w:val="20"/>
                <w:szCs w:val="20"/>
              </w:rPr>
              <w:t>Prior Year Resources: $</w:t>
            </w:r>
          </w:p>
        </w:tc>
        <w:tc>
          <w:tcPr>
            <w:tcW w:w="1228" w:type="dxa"/>
          </w:tcPr>
          <w:p w14:paraId="364B85D0" w14:textId="77777777" w:rsidR="003D336B" w:rsidRDefault="003D336B" w:rsidP="00E53512">
            <w:pPr>
              <w:keepNext/>
              <w:widowControl w:val="0"/>
              <w:spacing w:after="0" w:line="240" w:lineRule="auto"/>
              <w:jc w:val="center"/>
              <w:rPr>
                <w:b/>
                <w:sz w:val="20"/>
                <w:szCs w:val="20"/>
              </w:rPr>
            </w:pPr>
            <w:r>
              <w:rPr>
                <w:b/>
                <w:sz w:val="20"/>
                <w:szCs w:val="20"/>
              </w:rPr>
              <w:t>Total:</w:t>
            </w:r>
          </w:p>
          <w:p w14:paraId="0A59488B" w14:textId="77777777" w:rsidR="003D336B" w:rsidRDefault="003D336B" w:rsidP="00E53512">
            <w:pPr>
              <w:keepNext/>
              <w:widowControl w:val="0"/>
              <w:spacing w:after="0" w:line="240" w:lineRule="auto"/>
              <w:jc w:val="center"/>
              <w:rPr>
                <w:b/>
                <w:sz w:val="24"/>
                <w:szCs w:val="24"/>
              </w:rPr>
            </w:pPr>
            <w:r>
              <w:rPr>
                <w:b/>
                <w:sz w:val="20"/>
                <w:szCs w:val="20"/>
              </w:rPr>
              <w:t>$</w:t>
            </w:r>
          </w:p>
        </w:tc>
        <w:tc>
          <w:tcPr>
            <w:tcW w:w="1228" w:type="dxa"/>
            <w:vMerge/>
          </w:tcPr>
          <w:p w14:paraId="1E40B704" w14:textId="77777777" w:rsidR="003D336B" w:rsidRDefault="003D336B" w:rsidP="00E53512">
            <w:pPr>
              <w:keepNext/>
              <w:widowControl w:val="0"/>
              <w:spacing w:after="0" w:line="240" w:lineRule="auto"/>
              <w:jc w:val="center"/>
              <w:rPr>
                <w:b/>
                <w:sz w:val="24"/>
                <w:szCs w:val="24"/>
              </w:rPr>
            </w:pPr>
          </w:p>
        </w:tc>
        <w:tc>
          <w:tcPr>
            <w:tcW w:w="2628" w:type="dxa"/>
            <w:vMerge/>
          </w:tcPr>
          <w:p w14:paraId="33B9E8F9" w14:textId="77777777" w:rsidR="003D336B" w:rsidRDefault="003D336B" w:rsidP="00E53512">
            <w:pPr>
              <w:keepNext/>
              <w:widowControl w:val="0"/>
              <w:spacing w:after="0" w:line="240" w:lineRule="auto"/>
              <w:jc w:val="center"/>
              <w:rPr>
                <w:b/>
                <w:sz w:val="24"/>
                <w:szCs w:val="24"/>
              </w:rPr>
            </w:pPr>
          </w:p>
        </w:tc>
      </w:tr>
      <w:tr w:rsidR="002131D0" w14:paraId="2891A344" w14:textId="77777777" w:rsidTr="001B26A1">
        <w:trPr>
          <w:cantSplit/>
          <w:trHeight w:val="300"/>
        </w:trPr>
        <w:tc>
          <w:tcPr>
            <w:tcW w:w="988" w:type="dxa"/>
          </w:tcPr>
          <w:p w14:paraId="632BA686" w14:textId="12F6A50F" w:rsidR="005345AC" w:rsidRDefault="006C5143" w:rsidP="006C5143">
            <w:pPr>
              <w:spacing w:before="100" w:beforeAutospacing="1" w:after="100" w:afterAutospacing="1"/>
            </w:pPr>
            <w:r>
              <w:rPr>
                <w:color w:val="000000"/>
              </w:rPr>
              <w:t>C</w:t>
            </w:r>
            <w:r w:rsidR="005345AC">
              <w:rPr>
                <w:color w:val="000000"/>
              </w:rPr>
              <w:t>DBG</w:t>
            </w:r>
          </w:p>
        </w:tc>
        <w:tc>
          <w:tcPr>
            <w:tcW w:w="902" w:type="dxa"/>
          </w:tcPr>
          <w:p w14:paraId="1CA03CD2" w14:textId="77777777" w:rsidR="005345AC" w:rsidRDefault="005345AC" w:rsidP="005345AC">
            <w:pPr>
              <w:spacing w:beforeAutospacing="1" w:afterAutospacing="1"/>
            </w:pPr>
            <w:r>
              <w:rPr>
                <w:color w:val="000000"/>
              </w:rPr>
              <w:t>public - federal</w:t>
            </w:r>
          </w:p>
        </w:tc>
        <w:tc>
          <w:tcPr>
            <w:tcW w:w="1624" w:type="dxa"/>
          </w:tcPr>
          <w:p w14:paraId="4A4A0B78" w14:textId="2E51B549" w:rsidR="005345AC" w:rsidRDefault="005345AC" w:rsidP="787E070B">
            <w:pPr>
              <w:spacing w:beforeAutospacing="1" w:afterAutospacing="1"/>
              <w:rPr>
                <w:color w:val="000000" w:themeColor="text1"/>
              </w:rPr>
            </w:pPr>
            <w:r w:rsidRPr="787E070B">
              <w:rPr>
                <w:color w:val="000000" w:themeColor="text1"/>
              </w:rPr>
              <w:t>Acquisition</w:t>
            </w:r>
            <w:r w:rsidR="02AFD345" w:rsidRPr="098FA5AC">
              <w:rPr>
                <w:color w:val="000000" w:themeColor="text1"/>
              </w:rPr>
              <w:t>,</w:t>
            </w:r>
            <w:r>
              <w:br/>
            </w:r>
            <w:r w:rsidRPr="787E070B">
              <w:rPr>
                <w:color w:val="000000" w:themeColor="text1"/>
              </w:rPr>
              <w:t>Admin and Planning</w:t>
            </w:r>
            <w:r w:rsidR="0F507519" w:rsidRPr="098FA5AC">
              <w:rPr>
                <w:color w:val="000000" w:themeColor="text1"/>
              </w:rPr>
              <w:t>,</w:t>
            </w:r>
            <w:r>
              <w:br/>
            </w:r>
            <w:r w:rsidRPr="787E070B">
              <w:rPr>
                <w:color w:val="000000" w:themeColor="text1"/>
              </w:rPr>
              <w:t>Economic Development</w:t>
            </w:r>
            <w:r w:rsidR="7A2FA732" w:rsidRPr="098FA5AC">
              <w:rPr>
                <w:color w:val="000000" w:themeColor="text1"/>
              </w:rPr>
              <w:t>,</w:t>
            </w:r>
            <w:r>
              <w:br/>
            </w:r>
            <w:r w:rsidRPr="787E070B">
              <w:rPr>
                <w:color w:val="000000" w:themeColor="text1"/>
              </w:rPr>
              <w:t>Housing</w:t>
            </w:r>
            <w:r w:rsidR="26B6BBA2" w:rsidRPr="098FA5AC">
              <w:rPr>
                <w:color w:val="000000" w:themeColor="text1"/>
              </w:rPr>
              <w:t>,</w:t>
            </w:r>
            <w:r>
              <w:br/>
            </w:r>
            <w:r w:rsidRPr="787E070B">
              <w:rPr>
                <w:color w:val="000000" w:themeColor="text1"/>
              </w:rPr>
              <w:t>Public Improvements</w:t>
            </w:r>
            <w:r w:rsidR="727AC523" w:rsidRPr="098FA5AC">
              <w:rPr>
                <w:color w:val="000000" w:themeColor="text1"/>
              </w:rPr>
              <w:t>,</w:t>
            </w:r>
            <w:r w:rsidR="00D059DE">
              <w:rPr>
                <w:color w:val="000000" w:themeColor="text1"/>
              </w:rPr>
              <w:t xml:space="preserve"> </w:t>
            </w:r>
            <w:r w:rsidRPr="787E070B">
              <w:rPr>
                <w:color w:val="000000" w:themeColor="text1"/>
              </w:rPr>
              <w:t>Public Services</w:t>
            </w:r>
          </w:p>
        </w:tc>
        <w:tc>
          <w:tcPr>
            <w:tcW w:w="1123" w:type="dxa"/>
          </w:tcPr>
          <w:p w14:paraId="15A6E9DD" w14:textId="77777777" w:rsidR="005345AC" w:rsidRDefault="005345AC" w:rsidP="006C5143">
            <w:pPr>
              <w:spacing w:before="100" w:beforeAutospacing="1" w:after="100" w:afterAutospacing="1"/>
              <w:jc w:val="center"/>
            </w:pPr>
            <w:r>
              <w:rPr>
                <w:color w:val="000000"/>
              </w:rPr>
              <w:t>8,236,180</w:t>
            </w:r>
          </w:p>
        </w:tc>
        <w:tc>
          <w:tcPr>
            <w:tcW w:w="1121" w:type="dxa"/>
          </w:tcPr>
          <w:p w14:paraId="3F669302" w14:textId="77777777" w:rsidR="005345AC" w:rsidRDefault="005345AC" w:rsidP="006C5143">
            <w:pPr>
              <w:spacing w:before="100" w:beforeAutospacing="1" w:after="100" w:afterAutospacing="1"/>
              <w:jc w:val="center"/>
            </w:pPr>
            <w:r>
              <w:rPr>
                <w:color w:val="000000"/>
              </w:rPr>
              <w:t>0</w:t>
            </w:r>
          </w:p>
        </w:tc>
        <w:tc>
          <w:tcPr>
            <w:tcW w:w="1123" w:type="dxa"/>
          </w:tcPr>
          <w:p w14:paraId="5D2297C1" w14:textId="77777777" w:rsidR="005345AC" w:rsidRDefault="005345AC" w:rsidP="006C5143">
            <w:pPr>
              <w:spacing w:before="100" w:beforeAutospacing="1" w:after="100" w:afterAutospacing="1"/>
              <w:jc w:val="center"/>
            </w:pPr>
            <w:r>
              <w:rPr>
                <w:color w:val="000000"/>
              </w:rPr>
              <w:t>4,300,000</w:t>
            </w:r>
          </w:p>
        </w:tc>
        <w:tc>
          <w:tcPr>
            <w:tcW w:w="1228" w:type="dxa"/>
          </w:tcPr>
          <w:p w14:paraId="1324B3C3" w14:textId="77777777" w:rsidR="005345AC" w:rsidRDefault="005345AC" w:rsidP="006C5143">
            <w:pPr>
              <w:spacing w:before="100" w:beforeAutospacing="1" w:after="100" w:afterAutospacing="1"/>
              <w:jc w:val="center"/>
            </w:pPr>
            <w:r>
              <w:rPr>
                <w:color w:val="000000"/>
              </w:rPr>
              <w:t>12,536,180</w:t>
            </w:r>
          </w:p>
        </w:tc>
        <w:tc>
          <w:tcPr>
            <w:tcW w:w="1228" w:type="dxa"/>
          </w:tcPr>
          <w:p w14:paraId="021101DB" w14:textId="0DFCE1F5" w:rsidR="005345AC" w:rsidRPr="005345AC" w:rsidRDefault="005345AC" w:rsidP="006C5143">
            <w:pPr>
              <w:spacing w:beforeAutospacing="1" w:afterAutospacing="1"/>
              <w:jc w:val="center"/>
              <w:rPr>
                <w:color w:val="000000"/>
              </w:rPr>
            </w:pPr>
            <w:r w:rsidRPr="098FA5AC">
              <w:rPr>
                <w:color w:val="000000" w:themeColor="text1"/>
              </w:rPr>
              <w:t>50,144,720</w:t>
            </w:r>
          </w:p>
        </w:tc>
        <w:tc>
          <w:tcPr>
            <w:tcW w:w="2628" w:type="dxa"/>
          </w:tcPr>
          <w:p w14:paraId="6180E302" w14:textId="5E4BD440" w:rsidR="005345AC" w:rsidRDefault="005345AC" w:rsidP="005345AC">
            <w:pPr>
              <w:spacing w:beforeAutospacing="1" w:afterAutospacing="1"/>
            </w:pPr>
            <w:r w:rsidRPr="098FA5AC">
              <w:rPr>
                <w:color w:val="000000" w:themeColor="text1"/>
              </w:rPr>
              <w:t xml:space="preserve">Over the next year it is expected CDBG funding will be used to construct or improve eligible public facilities, public infrastructure, housing related activities, and economic development activities specific to job creation or downtown </w:t>
            </w:r>
            <w:r w:rsidR="45A248EE" w:rsidRPr="098FA5AC">
              <w:rPr>
                <w:color w:val="000000" w:themeColor="text1"/>
              </w:rPr>
              <w:t>improvement.</w:t>
            </w:r>
            <w:r w:rsidRPr="098FA5AC">
              <w:rPr>
                <w:color w:val="000000" w:themeColor="text1"/>
              </w:rPr>
              <w:t xml:space="preserve"> These high priority activities will typically benefit populations including low-to-moderate income, families, rural, special needs, and non-housing community development.</w:t>
            </w:r>
          </w:p>
        </w:tc>
      </w:tr>
      <w:tr w:rsidR="006C5143" w14:paraId="11DA3C32" w14:textId="77777777" w:rsidTr="001B26A1">
        <w:trPr>
          <w:cantSplit/>
          <w:trHeight w:val="300"/>
        </w:trPr>
        <w:tc>
          <w:tcPr>
            <w:tcW w:w="988" w:type="dxa"/>
          </w:tcPr>
          <w:p w14:paraId="76312285" w14:textId="77777777" w:rsidR="006C5143" w:rsidRDefault="006C5143" w:rsidP="006C5143">
            <w:pPr>
              <w:spacing w:beforeAutospacing="1" w:afterAutospacing="1"/>
            </w:pPr>
            <w:r>
              <w:rPr>
                <w:color w:val="000000"/>
              </w:rPr>
              <w:lastRenderedPageBreak/>
              <w:t>HOME</w:t>
            </w:r>
          </w:p>
        </w:tc>
        <w:tc>
          <w:tcPr>
            <w:tcW w:w="902" w:type="dxa"/>
          </w:tcPr>
          <w:p w14:paraId="560638B5" w14:textId="77777777" w:rsidR="006C5143" w:rsidRDefault="006C5143" w:rsidP="006C5143">
            <w:pPr>
              <w:spacing w:beforeAutospacing="1" w:afterAutospacing="1"/>
            </w:pPr>
            <w:r>
              <w:rPr>
                <w:color w:val="000000"/>
              </w:rPr>
              <w:t>public - federal</w:t>
            </w:r>
          </w:p>
        </w:tc>
        <w:tc>
          <w:tcPr>
            <w:tcW w:w="1624" w:type="dxa"/>
          </w:tcPr>
          <w:p w14:paraId="47BA6347" w14:textId="7FFDD742" w:rsidR="006C5143" w:rsidRDefault="006C5143" w:rsidP="006C5143">
            <w:pPr>
              <w:spacing w:beforeAutospacing="1" w:afterAutospacing="1"/>
            </w:pPr>
            <w:r w:rsidRPr="787E070B">
              <w:rPr>
                <w:color w:val="000000" w:themeColor="text1"/>
              </w:rPr>
              <w:t>Acquisition</w:t>
            </w:r>
            <w:r>
              <w:br/>
            </w:r>
            <w:r w:rsidRPr="787E070B">
              <w:rPr>
                <w:color w:val="000000" w:themeColor="text1"/>
              </w:rPr>
              <w:t xml:space="preserve">Homebuyer </w:t>
            </w:r>
            <w:r w:rsidRPr="098FA5AC">
              <w:rPr>
                <w:color w:val="000000" w:themeColor="text1"/>
              </w:rPr>
              <w:t>Assistance,</w:t>
            </w:r>
            <w:r>
              <w:br/>
            </w:r>
            <w:r w:rsidRPr="787E070B">
              <w:rPr>
                <w:color w:val="000000" w:themeColor="text1"/>
              </w:rPr>
              <w:t xml:space="preserve">Multifamily </w:t>
            </w:r>
            <w:r>
              <w:rPr>
                <w:color w:val="000000" w:themeColor="text1"/>
              </w:rPr>
              <w:t>R</w:t>
            </w:r>
            <w:r w:rsidRPr="787E070B">
              <w:rPr>
                <w:color w:val="000000" w:themeColor="text1"/>
              </w:rPr>
              <w:t xml:space="preserve">ental </w:t>
            </w:r>
            <w:r>
              <w:rPr>
                <w:color w:val="000000" w:themeColor="text1"/>
              </w:rPr>
              <w:t>N</w:t>
            </w:r>
            <w:r w:rsidRPr="787E070B">
              <w:rPr>
                <w:color w:val="000000" w:themeColor="text1"/>
              </w:rPr>
              <w:t xml:space="preserve">ew </w:t>
            </w:r>
            <w:r>
              <w:rPr>
                <w:color w:val="000000" w:themeColor="text1"/>
              </w:rPr>
              <w:t>C</w:t>
            </w:r>
            <w:r w:rsidRPr="787E070B">
              <w:rPr>
                <w:color w:val="000000" w:themeColor="text1"/>
              </w:rPr>
              <w:t>onstruction</w:t>
            </w:r>
            <w:r w:rsidRPr="098FA5AC">
              <w:rPr>
                <w:color w:val="000000" w:themeColor="text1"/>
              </w:rPr>
              <w:t>,</w:t>
            </w:r>
            <w:r>
              <w:br/>
            </w:r>
            <w:r w:rsidRPr="787E070B">
              <w:rPr>
                <w:color w:val="000000" w:themeColor="text1"/>
              </w:rPr>
              <w:t xml:space="preserve">Multifamily </w:t>
            </w:r>
            <w:r>
              <w:rPr>
                <w:color w:val="000000" w:themeColor="text1"/>
              </w:rPr>
              <w:t>R</w:t>
            </w:r>
            <w:r w:rsidRPr="787E070B">
              <w:rPr>
                <w:color w:val="000000" w:themeColor="text1"/>
              </w:rPr>
              <w:t xml:space="preserve">ental </w:t>
            </w:r>
            <w:r>
              <w:rPr>
                <w:color w:val="000000" w:themeColor="text1"/>
              </w:rPr>
              <w:t>R</w:t>
            </w:r>
            <w:r w:rsidRPr="787E070B">
              <w:rPr>
                <w:color w:val="000000" w:themeColor="text1"/>
              </w:rPr>
              <w:t>ehab</w:t>
            </w:r>
            <w:r>
              <w:rPr>
                <w:color w:val="000000" w:themeColor="text1"/>
              </w:rPr>
              <w:t>,</w:t>
            </w:r>
            <w:r>
              <w:br/>
            </w:r>
            <w:r w:rsidRPr="787E070B">
              <w:rPr>
                <w:color w:val="000000" w:themeColor="text1"/>
              </w:rPr>
              <w:t>TBRA</w:t>
            </w:r>
          </w:p>
        </w:tc>
        <w:tc>
          <w:tcPr>
            <w:tcW w:w="1123" w:type="dxa"/>
          </w:tcPr>
          <w:p w14:paraId="547F675E" w14:textId="761F9346" w:rsidR="006C5143" w:rsidRDefault="006C5143" w:rsidP="006C5143">
            <w:pPr>
              <w:spacing w:before="100" w:beforeAutospacing="1" w:after="100" w:afterAutospacing="1"/>
              <w:jc w:val="right"/>
            </w:pPr>
            <w:r>
              <w:rPr>
                <w:color w:val="000000"/>
              </w:rPr>
              <w:t>4,987,264</w:t>
            </w:r>
          </w:p>
        </w:tc>
        <w:tc>
          <w:tcPr>
            <w:tcW w:w="1121" w:type="dxa"/>
          </w:tcPr>
          <w:p w14:paraId="2865056E" w14:textId="77777777" w:rsidR="006C5143" w:rsidRDefault="006C5143" w:rsidP="006C5143">
            <w:pPr>
              <w:spacing w:after="0" w:line="240" w:lineRule="auto"/>
              <w:rPr>
                <w:rFonts w:ascii="Aptos Narrow" w:eastAsia="Times New Roman" w:hAnsi="Aptos Narrow"/>
                <w:color w:val="000000"/>
              </w:rPr>
            </w:pPr>
            <w:r>
              <w:rPr>
                <w:rFonts w:ascii="Aptos Narrow" w:hAnsi="Aptos Narrow"/>
                <w:color w:val="000000"/>
              </w:rPr>
              <w:t xml:space="preserve">3,954,403 </w:t>
            </w:r>
          </w:p>
          <w:p w14:paraId="36AD736A" w14:textId="3461D63F" w:rsidR="006C5143" w:rsidRDefault="006C5143" w:rsidP="006C5143">
            <w:pPr>
              <w:spacing w:before="100" w:beforeAutospacing="1" w:after="100" w:afterAutospacing="1"/>
              <w:jc w:val="right"/>
            </w:pPr>
          </w:p>
        </w:tc>
        <w:tc>
          <w:tcPr>
            <w:tcW w:w="1123" w:type="dxa"/>
          </w:tcPr>
          <w:p w14:paraId="3731836C" w14:textId="554585B9" w:rsidR="006C5143" w:rsidRDefault="006C5143" w:rsidP="006C5143">
            <w:pPr>
              <w:spacing w:before="100" w:beforeAutospacing="1" w:after="100" w:afterAutospacing="1"/>
              <w:jc w:val="right"/>
            </w:pPr>
            <w:r>
              <w:rPr>
                <w:color w:val="000000"/>
              </w:rPr>
              <w:t>0</w:t>
            </w:r>
          </w:p>
        </w:tc>
        <w:tc>
          <w:tcPr>
            <w:tcW w:w="1228" w:type="dxa"/>
          </w:tcPr>
          <w:p w14:paraId="01EE4051" w14:textId="77777777" w:rsidR="006C5143" w:rsidRPr="006C5143" w:rsidRDefault="006C5143" w:rsidP="006C5143">
            <w:pPr>
              <w:spacing w:after="0" w:line="240" w:lineRule="auto"/>
              <w:rPr>
                <w:rFonts w:ascii="Aptos Narrow" w:hAnsi="Aptos Narrow"/>
                <w:color w:val="000000"/>
              </w:rPr>
            </w:pPr>
            <w:r>
              <w:rPr>
                <w:rFonts w:cs="Calibri"/>
                <w:color w:val="000000"/>
              </w:rPr>
              <w:t xml:space="preserve"> </w:t>
            </w:r>
            <w:r w:rsidRPr="006C5143">
              <w:rPr>
                <w:rFonts w:ascii="Aptos Narrow" w:hAnsi="Aptos Narrow"/>
                <w:color w:val="000000"/>
              </w:rPr>
              <w:t xml:space="preserve"> 8,941,667 </w:t>
            </w:r>
          </w:p>
          <w:p w14:paraId="018B9EE1" w14:textId="6727EE4F" w:rsidR="006C5143" w:rsidRDefault="006C5143" w:rsidP="006C5143">
            <w:pPr>
              <w:spacing w:before="100" w:beforeAutospacing="1" w:after="100" w:afterAutospacing="1"/>
              <w:jc w:val="right"/>
            </w:pPr>
          </w:p>
        </w:tc>
        <w:tc>
          <w:tcPr>
            <w:tcW w:w="1228" w:type="dxa"/>
          </w:tcPr>
          <w:p w14:paraId="4DD8FB9E" w14:textId="77777777" w:rsidR="006C5143" w:rsidRDefault="006C5143" w:rsidP="006C5143">
            <w:pPr>
              <w:spacing w:after="0" w:line="240" w:lineRule="auto"/>
              <w:rPr>
                <w:rFonts w:ascii="Aptos Narrow" w:eastAsia="Times New Roman" w:hAnsi="Aptos Narrow"/>
                <w:color w:val="000000"/>
              </w:rPr>
            </w:pPr>
            <w:r>
              <w:rPr>
                <w:rFonts w:ascii="Aptos Narrow" w:hAnsi="Aptos Narrow"/>
                <w:color w:val="000000"/>
              </w:rPr>
              <w:t xml:space="preserve">35,766,669 </w:t>
            </w:r>
          </w:p>
          <w:p w14:paraId="645ACCA4" w14:textId="1839A90E" w:rsidR="006C5143" w:rsidRPr="005345AC" w:rsidRDefault="006C5143" w:rsidP="006C5143">
            <w:pPr>
              <w:spacing w:before="100" w:beforeAutospacing="1" w:after="100" w:afterAutospacing="1"/>
              <w:jc w:val="right"/>
              <w:rPr>
                <w:color w:val="000000"/>
              </w:rPr>
            </w:pPr>
            <w:r w:rsidRPr="005345AC">
              <w:rPr>
                <w:color w:val="000000"/>
              </w:rPr>
              <w:t xml:space="preserve">             </w:t>
            </w:r>
          </w:p>
        </w:tc>
        <w:tc>
          <w:tcPr>
            <w:tcW w:w="2628" w:type="dxa"/>
          </w:tcPr>
          <w:p w14:paraId="0A69A48C" w14:textId="5C82D672" w:rsidR="006C5143" w:rsidRDefault="006C5143" w:rsidP="006C5143">
            <w:pPr>
              <w:spacing w:beforeAutospacing="1" w:afterAutospacing="1"/>
            </w:pPr>
            <w:r>
              <w:rPr>
                <w:color w:val="000000"/>
              </w:rPr>
              <w:t xml:space="preserve">Acquisition, </w:t>
            </w:r>
            <w:r>
              <w:rPr>
                <w:color w:val="000000"/>
              </w:rPr>
              <w:br/>
              <w:t>Construction, Rehabilitation, Permanent Financing, and TBRA are all eligible activities for IHFAs HOME funds.</w:t>
            </w:r>
          </w:p>
        </w:tc>
      </w:tr>
      <w:tr w:rsidR="002131D0" w14:paraId="75CD4C87" w14:textId="77777777" w:rsidTr="001B26A1">
        <w:trPr>
          <w:cantSplit/>
          <w:trHeight w:val="300"/>
        </w:trPr>
        <w:tc>
          <w:tcPr>
            <w:tcW w:w="988" w:type="dxa"/>
          </w:tcPr>
          <w:p w14:paraId="7C43F984" w14:textId="77777777" w:rsidR="005345AC" w:rsidRDefault="005345AC" w:rsidP="005345AC">
            <w:pPr>
              <w:spacing w:beforeAutospacing="1" w:afterAutospacing="1"/>
            </w:pPr>
            <w:r>
              <w:rPr>
                <w:color w:val="000000"/>
              </w:rPr>
              <w:t>ESG</w:t>
            </w:r>
          </w:p>
        </w:tc>
        <w:tc>
          <w:tcPr>
            <w:tcW w:w="902" w:type="dxa"/>
          </w:tcPr>
          <w:p w14:paraId="56C8355D" w14:textId="77777777" w:rsidR="005345AC" w:rsidRDefault="005345AC" w:rsidP="005345AC">
            <w:pPr>
              <w:spacing w:beforeAutospacing="1" w:afterAutospacing="1"/>
            </w:pPr>
            <w:r>
              <w:rPr>
                <w:color w:val="000000"/>
              </w:rPr>
              <w:t>public - federal</w:t>
            </w:r>
          </w:p>
        </w:tc>
        <w:tc>
          <w:tcPr>
            <w:tcW w:w="1624" w:type="dxa"/>
          </w:tcPr>
          <w:p w14:paraId="59B406BA" w14:textId="70FEB209" w:rsidR="005345AC" w:rsidRDefault="005345AC" w:rsidP="005345AC">
            <w:pPr>
              <w:spacing w:beforeAutospacing="1" w:afterAutospacing="1"/>
            </w:pPr>
            <w:r>
              <w:rPr>
                <w:color w:val="000000"/>
              </w:rPr>
              <w:t>Financial Assistance</w:t>
            </w:r>
            <w:r w:rsidR="00C81D08">
              <w:rPr>
                <w:color w:val="000000"/>
              </w:rPr>
              <w:t>,</w:t>
            </w:r>
            <w:r>
              <w:rPr>
                <w:color w:val="000000"/>
              </w:rPr>
              <w:br/>
              <w:t xml:space="preserve">Overnight </w:t>
            </w:r>
            <w:r w:rsidR="00C81D08">
              <w:rPr>
                <w:color w:val="000000"/>
              </w:rPr>
              <w:t>S</w:t>
            </w:r>
            <w:r>
              <w:rPr>
                <w:color w:val="000000"/>
              </w:rPr>
              <w:t>helter</w:t>
            </w:r>
            <w:r w:rsidR="00C81D08">
              <w:rPr>
                <w:color w:val="000000"/>
              </w:rPr>
              <w:t>,</w:t>
            </w:r>
            <w:r>
              <w:rPr>
                <w:color w:val="000000"/>
              </w:rPr>
              <w:br/>
              <w:t xml:space="preserve">Rapid </w:t>
            </w:r>
            <w:r w:rsidR="00C81D08">
              <w:rPr>
                <w:color w:val="000000"/>
              </w:rPr>
              <w:t>R</w:t>
            </w:r>
            <w:r>
              <w:rPr>
                <w:color w:val="000000"/>
              </w:rPr>
              <w:t>e-</w:t>
            </w:r>
            <w:r w:rsidR="00C81D08">
              <w:rPr>
                <w:color w:val="000000"/>
              </w:rPr>
              <w:t>H</w:t>
            </w:r>
            <w:r>
              <w:rPr>
                <w:color w:val="000000"/>
              </w:rPr>
              <w:t>ousing</w:t>
            </w:r>
            <w:r w:rsidR="00C81D08">
              <w:rPr>
                <w:color w:val="000000"/>
              </w:rPr>
              <w:t>,</w:t>
            </w:r>
            <w:r>
              <w:rPr>
                <w:color w:val="000000"/>
              </w:rPr>
              <w:br/>
              <w:t>Rental Assistance</w:t>
            </w:r>
            <w:r w:rsidR="00C81D08">
              <w:rPr>
                <w:color w:val="000000"/>
              </w:rPr>
              <w:t>,</w:t>
            </w:r>
            <w:r>
              <w:rPr>
                <w:color w:val="000000"/>
              </w:rPr>
              <w:br/>
              <w:t>Services</w:t>
            </w:r>
            <w:r w:rsidR="00C81D08">
              <w:rPr>
                <w:color w:val="000000"/>
              </w:rPr>
              <w:t>,</w:t>
            </w:r>
            <w:r>
              <w:rPr>
                <w:color w:val="000000"/>
              </w:rPr>
              <w:br/>
              <w:t xml:space="preserve">Transitional </w:t>
            </w:r>
            <w:r w:rsidR="00C81D08">
              <w:rPr>
                <w:color w:val="000000"/>
              </w:rPr>
              <w:t>H</w:t>
            </w:r>
            <w:r>
              <w:rPr>
                <w:color w:val="000000"/>
              </w:rPr>
              <w:t>ousing</w:t>
            </w:r>
          </w:p>
        </w:tc>
        <w:tc>
          <w:tcPr>
            <w:tcW w:w="1123" w:type="dxa"/>
          </w:tcPr>
          <w:p w14:paraId="6A72F485" w14:textId="77777777" w:rsidR="005345AC" w:rsidRDefault="005345AC" w:rsidP="006C5143">
            <w:pPr>
              <w:spacing w:beforeAutospacing="1" w:afterAutospacing="1"/>
              <w:jc w:val="center"/>
            </w:pPr>
            <w:r>
              <w:rPr>
                <w:color w:val="000000"/>
              </w:rPr>
              <w:t>1,115,776</w:t>
            </w:r>
          </w:p>
        </w:tc>
        <w:tc>
          <w:tcPr>
            <w:tcW w:w="1121" w:type="dxa"/>
          </w:tcPr>
          <w:p w14:paraId="571B822F" w14:textId="77777777" w:rsidR="005345AC" w:rsidRDefault="005345AC" w:rsidP="006C5143">
            <w:pPr>
              <w:spacing w:beforeAutospacing="1" w:afterAutospacing="1"/>
              <w:jc w:val="center"/>
            </w:pPr>
            <w:r>
              <w:rPr>
                <w:color w:val="000000"/>
              </w:rPr>
              <w:t>0</w:t>
            </w:r>
          </w:p>
        </w:tc>
        <w:tc>
          <w:tcPr>
            <w:tcW w:w="1123" w:type="dxa"/>
          </w:tcPr>
          <w:p w14:paraId="555E262E" w14:textId="77777777" w:rsidR="005345AC" w:rsidRDefault="005345AC" w:rsidP="006C5143">
            <w:pPr>
              <w:spacing w:beforeAutospacing="1" w:afterAutospacing="1"/>
              <w:jc w:val="center"/>
            </w:pPr>
            <w:r>
              <w:rPr>
                <w:color w:val="000000"/>
              </w:rPr>
              <w:t>0</w:t>
            </w:r>
          </w:p>
        </w:tc>
        <w:tc>
          <w:tcPr>
            <w:tcW w:w="1228" w:type="dxa"/>
          </w:tcPr>
          <w:p w14:paraId="17EB9C23" w14:textId="77777777" w:rsidR="005345AC" w:rsidRDefault="005345AC" w:rsidP="006C5143">
            <w:pPr>
              <w:spacing w:beforeAutospacing="1" w:afterAutospacing="1"/>
              <w:jc w:val="center"/>
            </w:pPr>
            <w:r>
              <w:rPr>
                <w:color w:val="000000"/>
              </w:rPr>
              <w:t>1,115,776</w:t>
            </w:r>
          </w:p>
        </w:tc>
        <w:tc>
          <w:tcPr>
            <w:tcW w:w="1228" w:type="dxa"/>
          </w:tcPr>
          <w:p w14:paraId="44D1B3FF" w14:textId="7D5CA7D4" w:rsidR="005345AC" w:rsidRPr="005345AC" w:rsidRDefault="005345AC" w:rsidP="006C5143">
            <w:pPr>
              <w:spacing w:beforeAutospacing="1" w:afterAutospacing="1"/>
              <w:jc w:val="center"/>
              <w:rPr>
                <w:color w:val="000000"/>
              </w:rPr>
            </w:pPr>
            <w:r w:rsidRPr="005345AC">
              <w:rPr>
                <w:color w:val="000000"/>
              </w:rPr>
              <w:t>4,463,104</w:t>
            </w:r>
          </w:p>
        </w:tc>
        <w:tc>
          <w:tcPr>
            <w:tcW w:w="2628" w:type="dxa"/>
          </w:tcPr>
          <w:p w14:paraId="3BF309D7" w14:textId="0EDBC7EE" w:rsidR="005345AC" w:rsidRDefault="005345AC" w:rsidP="787E070B">
            <w:pPr>
              <w:spacing w:beforeAutospacing="1" w:afterAutospacing="1"/>
              <w:rPr>
                <w:color w:val="000000" w:themeColor="text1"/>
              </w:rPr>
            </w:pPr>
            <w:r w:rsidRPr="787E070B">
              <w:rPr>
                <w:color w:val="000000" w:themeColor="text1"/>
              </w:rPr>
              <w:t xml:space="preserve">Shelter Operations and </w:t>
            </w:r>
            <w:r w:rsidR="00C81D08">
              <w:rPr>
                <w:color w:val="000000" w:themeColor="text1"/>
              </w:rPr>
              <w:t>S</w:t>
            </w:r>
            <w:r w:rsidRPr="787E070B">
              <w:rPr>
                <w:color w:val="000000" w:themeColor="text1"/>
              </w:rPr>
              <w:t xml:space="preserve">ervices, </w:t>
            </w:r>
            <w:r w:rsidR="00C81D08">
              <w:rPr>
                <w:color w:val="000000" w:themeColor="text1"/>
              </w:rPr>
              <w:t>H</w:t>
            </w:r>
            <w:r w:rsidRPr="787E070B">
              <w:rPr>
                <w:color w:val="000000" w:themeColor="text1"/>
              </w:rPr>
              <w:t xml:space="preserve">omelessness </w:t>
            </w:r>
            <w:r w:rsidR="00C81D08">
              <w:rPr>
                <w:color w:val="000000" w:themeColor="text1"/>
              </w:rPr>
              <w:t>P</w:t>
            </w:r>
            <w:r w:rsidRPr="787E070B">
              <w:rPr>
                <w:color w:val="000000" w:themeColor="text1"/>
              </w:rPr>
              <w:t xml:space="preserve">revention and </w:t>
            </w:r>
            <w:r w:rsidR="00C81D08">
              <w:rPr>
                <w:color w:val="000000" w:themeColor="text1"/>
              </w:rPr>
              <w:t>R</w:t>
            </w:r>
            <w:r w:rsidRPr="787E070B">
              <w:rPr>
                <w:color w:val="000000" w:themeColor="text1"/>
              </w:rPr>
              <w:t xml:space="preserve">apid </w:t>
            </w:r>
            <w:r w:rsidR="00C81D08">
              <w:rPr>
                <w:color w:val="000000" w:themeColor="text1"/>
              </w:rPr>
              <w:t>R</w:t>
            </w:r>
            <w:r w:rsidRPr="787E070B">
              <w:rPr>
                <w:color w:val="000000" w:themeColor="text1"/>
              </w:rPr>
              <w:t>e-housing</w:t>
            </w:r>
            <w:r w:rsidR="00C81D08">
              <w:rPr>
                <w:color w:val="000000"/>
              </w:rPr>
              <w:t xml:space="preserve"> are all eligible activities for </w:t>
            </w:r>
            <w:r w:rsidR="002131D0">
              <w:rPr>
                <w:color w:val="000000"/>
              </w:rPr>
              <w:t xml:space="preserve">ESG </w:t>
            </w:r>
            <w:r w:rsidR="00C81D08">
              <w:rPr>
                <w:color w:val="000000"/>
              </w:rPr>
              <w:t>funds.</w:t>
            </w:r>
          </w:p>
        </w:tc>
      </w:tr>
      <w:tr w:rsidR="002131D0" w14:paraId="07DB8C3F" w14:textId="77777777" w:rsidTr="001B26A1">
        <w:trPr>
          <w:cantSplit/>
          <w:trHeight w:val="300"/>
        </w:trPr>
        <w:tc>
          <w:tcPr>
            <w:tcW w:w="988" w:type="dxa"/>
          </w:tcPr>
          <w:p w14:paraId="5FFDC590" w14:textId="77777777" w:rsidR="003D336B" w:rsidRDefault="003D336B" w:rsidP="00E53512">
            <w:pPr>
              <w:spacing w:beforeAutospacing="1" w:afterAutospacing="1"/>
            </w:pPr>
            <w:r>
              <w:rPr>
                <w:color w:val="000000"/>
              </w:rPr>
              <w:lastRenderedPageBreak/>
              <w:t>HTF</w:t>
            </w:r>
          </w:p>
        </w:tc>
        <w:tc>
          <w:tcPr>
            <w:tcW w:w="902" w:type="dxa"/>
          </w:tcPr>
          <w:p w14:paraId="2590FC28" w14:textId="77777777" w:rsidR="003D336B" w:rsidRDefault="003D336B" w:rsidP="00E53512">
            <w:pPr>
              <w:spacing w:beforeAutospacing="1" w:afterAutospacing="1"/>
            </w:pPr>
            <w:r>
              <w:rPr>
                <w:color w:val="000000"/>
              </w:rPr>
              <w:t>public - federal</w:t>
            </w:r>
          </w:p>
        </w:tc>
        <w:tc>
          <w:tcPr>
            <w:tcW w:w="1624" w:type="dxa"/>
          </w:tcPr>
          <w:p w14:paraId="46265203" w14:textId="64B58077" w:rsidR="003D336B" w:rsidRDefault="003D336B" w:rsidP="00E53512">
            <w:pPr>
              <w:spacing w:beforeAutospacing="1" w:afterAutospacing="1"/>
            </w:pPr>
            <w:r>
              <w:rPr>
                <w:color w:val="000000"/>
              </w:rPr>
              <w:t>Acquisition</w:t>
            </w:r>
            <w:r w:rsidR="00C81D08">
              <w:rPr>
                <w:color w:val="000000"/>
              </w:rPr>
              <w:t>,</w:t>
            </w:r>
            <w:r>
              <w:rPr>
                <w:color w:val="000000"/>
              </w:rPr>
              <w:br/>
              <w:t>Admin and Planning</w:t>
            </w:r>
            <w:r w:rsidR="00C81D08">
              <w:rPr>
                <w:color w:val="000000"/>
              </w:rPr>
              <w:t>,</w:t>
            </w:r>
            <w:r>
              <w:rPr>
                <w:color w:val="000000"/>
              </w:rPr>
              <w:br/>
              <w:t xml:space="preserve">Multifamily </w:t>
            </w:r>
            <w:r w:rsidR="00C81D08">
              <w:rPr>
                <w:color w:val="000000"/>
              </w:rPr>
              <w:t>R</w:t>
            </w:r>
            <w:r>
              <w:rPr>
                <w:color w:val="000000"/>
              </w:rPr>
              <w:t xml:space="preserve">ental </w:t>
            </w:r>
            <w:r w:rsidR="00C81D08">
              <w:rPr>
                <w:color w:val="000000"/>
              </w:rPr>
              <w:t>N</w:t>
            </w:r>
            <w:r>
              <w:rPr>
                <w:color w:val="000000"/>
              </w:rPr>
              <w:t xml:space="preserve">ew </w:t>
            </w:r>
            <w:r w:rsidR="00C81D08">
              <w:rPr>
                <w:color w:val="000000"/>
              </w:rPr>
              <w:t>C</w:t>
            </w:r>
            <w:r>
              <w:rPr>
                <w:color w:val="000000"/>
              </w:rPr>
              <w:t>onstruction</w:t>
            </w:r>
            <w:r w:rsidR="00C81D08">
              <w:rPr>
                <w:color w:val="000000"/>
              </w:rPr>
              <w:t>,</w:t>
            </w:r>
            <w:r>
              <w:rPr>
                <w:color w:val="000000"/>
              </w:rPr>
              <w:br/>
              <w:t xml:space="preserve">Multifamily </w:t>
            </w:r>
            <w:r w:rsidR="00C81D08">
              <w:rPr>
                <w:color w:val="000000"/>
              </w:rPr>
              <w:t>R</w:t>
            </w:r>
            <w:r>
              <w:rPr>
                <w:color w:val="000000"/>
              </w:rPr>
              <w:t xml:space="preserve">ental </w:t>
            </w:r>
            <w:r w:rsidR="00C81D08">
              <w:rPr>
                <w:color w:val="000000"/>
              </w:rPr>
              <w:t>R</w:t>
            </w:r>
            <w:r>
              <w:rPr>
                <w:color w:val="000000"/>
              </w:rPr>
              <w:t>ehab</w:t>
            </w:r>
          </w:p>
        </w:tc>
        <w:tc>
          <w:tcPr>
            <w:tcW w:w="1123" w:type="dxa"/>
          </w:tcPr>
          <w:p w14:paraId="472521DE" w14:textId="0DE5BB2E" w:rsidR="003D336B" w:rsidRDefault="003D336B" w:rsidP="006C5143">
            <w:pPr>
              <w:spacing w:beforeAutospacing="1" w:afterAutospacing="1"/>
              <w:jc w:val="center"/>
            </w:pPr>
            <w:r>
              <w:rPr>
                <w:color w:val="000000"/>
              </w:rPr>
              <w:t>3,</w:t>
            </w:r>
            <w:r w:rsidR="003409DC">
              <w:rPr>
                <w:color w:val="000000"/>
              </w:rPr>
              <w:t>000,000</w:t>
            </w:r>
          </w:p>
        </w:tc>
        <w:tc>
          <w:tcPr>
            <w:tcW w:w="1121" w:type="dxa"/>
          </w:tcPr>
          <w:p w14:paraId="76912740" w14:textId="77777777" w:rsidR="003D336B" w:rsidRDefault="003D336B" w:rsidP="006C5143">
            <w:pPr>
              <w:spacing w:beforeAutospacing="1" w:afterAutospacing="1"/>
              <w:jc w:val="center"/>
            </w:pPr>
            <w:r>
              <w:rPr>
                <w:color w:val="000000"/>
              </w:rPr>
              <w:t>0</w:t>
            </w:r>
          </w:p>
        </w:tc>
        <w:tc>
          <w:tcPr>
            <w:tcW w:w="1123" w:type="dxa"/>
          </w:tcPr>
          <w:p w14:paraId="399BA7C7" w14:textId="77777777" w:rsidR="003D336B" w:rsidRDefault="003D336B" w:rsidP="006C5143">
            <w:pPr>
              <w:spacing w:beforeAutospacing="1" w:afterAutospacing="1"/>
              <w:jc w:val="center"/>
            </w:pPr>
            <w:r>
              <w:rPr>
                <w:color w:val="000000"/>
              </w:rPr>
              <w:t>0</w:t>
            </w:r>
          </w:p>
        </w:tc>
        <w:tc>
          <w:tcPr>
            <w:tcW w:w="1228" w:type="dxa"/>
          </w:tcPr>
          <w:p w14:paraId="23805BEE" w14:textId="22017258" w:rsidR="003D336B" w:rsidRDefault="003D336B" w:rsidP="006C5143">
            <w:pPr>
              <w:spacing w:beforeAutospacing="1" w:afterAutospacing="1"/>
              <w:jc w:val="center"/>
            </w:pPr>
            <w:r>
              <w:rPr>
                <w:color w:val="000000"/>
              </w:rPr>
              <w:t>3,</w:t>
            </w:r>
            <w:r w:rsidR="003409DC">
              <w:rPr>
                <w:color w:val="000000"/>
              </w:rPr>
              <w:t>000,000</w:t>
            </w:r>
          </w:p>
        </w:tc>
        <w:tc>
          <w:tcPr>
            <w:tcW w:w="1228" w:type="dxa"/>
          </w:tcPr>
          <w:p w14:paraId="0E537CC0" w14:textId="32D134DF" w:rsidR="003D336B" w:rsidRDefault="003D336B" w:rsidP="006C5143">
            <w:pPr>
              <w:spacing w:beforeAutospacing="1" w:afterAutospacing="1"/>
              <w:jc w:val="center"/>
            </w:pPr>
            <w:r>
              <w:t>12,</w:t>
            </w:r>
            <w:r w:rsidR="003409DC">
              <w:t>000,000</w:t>
            </w:r>
          </w:p>
        </w:tc>
        <w:tc>
          <w:tcPr>
            <w:tcW w:w="2628" w:type="dxa"/>
          </w:tcPr>
          <w:p w14:paraId="33E58993" w14:textId="6A618B59" w:rsidR="003D336B" w:rsidRDefault="003D336B" w:rsidP="00E53512">
            <w:pPr>
              <w:spacing w:beforeAutospacing="1" w:afterAutospacing="1"/>
            </w:pPr>
            <w:r>
              <w:rPr>
                <w:color w:val="000000"/>
              </w:rPr>
              <w:t xml:space="preserve">Extremely </w:t>
            </w:r>
            <w:proofErr w:type="gramStart"/>
            <w:r>
              <w:rPr>
                <w:color w:val="000000"/>
              </w:rPr>
              <w:t>low income</w:t>
            </w:r>
            <w:proofErr w:type="gramEnd"/>
            <w:r>
              <w:rPr>
                <w:color w:val="000000"/>
              </w:rPr>
              <w:t xml:space="preserve"> rental units</w:t>
            </w:r>
            <w:r w:rsidR="002131D0">
              <w:rPr>
                <w:color w:val="000000"/>
              </w:rPr>
              <w:t xml:space="preserve"> may be </w:t>
            </w:r>
            <w:proofErr w:type="gramStart"/>
            <w:r w:rsidR="002131D0">
              <w:rPr>
                <w:color w:val="000000"/>
              </w:rPr>
              <w:t>rehabbed</w:t>
            </w:r>
            <w:proofErr w:type="gramEnd"/>
            <w:r w:rsidR="002131D0">
              <w:rPr>
                <w:color w:val="000000"/>
              </w:rPr>
              <w:t xml:space="preserve"> and constructed with HTF funds.</w:t>
            </w:r>
          </w:p>
        </w:tc>
      </w:tr>
    </w:tbl>
    <w:p w14:paraId="0C9FF713" w14:textId="77777777" w:rsidR="003D336B" w:rsidRDefault="003D336B" w:rsidP="003D336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6FD6517E" w14:textId="77777777" w:rsidR="003D336B" w:rsidRDefault="003D336B" w:rsidP="003D336B">
      <w:pPr>
        <w:spacing w:after="0" w:line="240" w:lineRule="auto"/>
        <w:rPr>
          <w:b/>
          <w:sz w:val="24"/>
          <w:szCs w:val="24"/>
        </w:rPr>
      </w:pPr>
    </w:p>
    <w:p w14:paraId="0C013474" w14:textId="77777777" w:rsidR="003D336B" w:rsidRDefault="003D336B" w:rsidP="003D336B">
      <w:pPr>
        <w:widowControl w:val="0"/>
        <w:rPr>
          <w:b/>
          <w:sz w:val="24"/>
          <w:szCs w:val="24"/>
        </w:rPr>
        <w:sectPr w:rsidR="003D336B" w:rsidSect="006C5143">
          <w:pgSz w:w="15840" w:h="12240" w:orient="landscape" w:code="1"/>
          <w:pgMar w:top="1440" w:right="1440" w:bottom="1440" w:left="1440" w:header="720" w:footer="720" w:gutter="0"/>
          <w:cols w:space="720"/>
          <w:docGrid w:linePitch="360"/>
        </w:sectPr>
      </w:pPr>
    </w:p>
    <w:p w14:paraId="5CEE9D12" w14:textId="77777777" w:rsidR="006C5143" w:rsidRDefault="006C5143" w:rsidP="787E070B">
      <w:pPr>
        <w:widowControl w:val="0"/>
        <w:rPr>
          <w:b/>
          <w:bCs/>
          <w:sz w:val="24"/>
          <w:szCs w:val="24"/>
        </w:rPr>
        <w:sectPr w:rsidR="006C5143" w:rsidSect="003D336B">
          <w:pgSz w:w="12240" w:h="15840" w:code="1"/>
          <w:pgMar w:top="1440" w:right="1440" w:bottom="1440" w:left="1440" w:header="720" w:footer="720" w:gutter="0"/>
          <w:cols w:space="720"/>
          <w:docGrid w:linePitch="360"/>
        </w:sectPr>
      </w:pPr>
    </w:p>
    <w:p w14:paraId="25460C5A" w14:textId="70B46FA9" w:rsidR="003D336B" w:rsidRDefault="003D336B" w:rsidP="787E070B">
      <w:pPr>
        <w:widowControl w:val="0"/>
        <w:rPr>
          <w:b/>
          <w:bCs/>
          <w:sz w:val="24"/>
          <w:szCs w:val="24"/>
        </w:rPr>
      </w:pPr>
      <w:r w:rsidRPr="787E070B">
        <w:rPr>
          <w:b/>
          <w:bCs/>
          <w:sz w:val="24"/>
          <w:szCs w:val="24"/>
        </w:rPr>
        <w:t xml:space="preserve">Explain how </w:t>
      </w:r>
      <w:r w:rsidR="47993CF8" w:rsidRPr="098FA5AC">
        <w:rPr>
          <w:b/>
          <w:bCs/>
          <w:sz w:val="24"/>
          <w:szCs w:val="24"/>
        </w:rPr>
        <w:t>F</w:t>
      </w:r>
      <w:r w:rsidR="35F88D6A" w:rsidRPr="098FA5AC">
        <w:rPr>
          <w:b/>
          <w:bCs/>
          <w:sz w:val="24"/>
          <w:szCs w:val="24"/>
        </w:rPr>
        <w:t>ederal</w:t>
      </w:r>
      <w:r w:rsidRPr="787E070B">
        <w:rPr>
          <w:b/>
          <w:bCs/>
          <w:sz w:val="24"/>
          <w:szCs w:val="24"/>
        </w:rPr>
        <w:t xml:space="preserve"> funds will leverage those additional resources (private, </w:t>
      </w:r>
      <w:r w:rsidR="56120F75" w:rsidRPr="098FA5AC">
        <w:rPr>
          <w:b/>
          <w:bCs/>
          <w:sz w:val="24"/>
          <w:szCs w:val="24"/>
        </w:rPr>
        <w:t>S</w:t>
      </w:r>
      <w:r w:rsidR="35F88D6A" w:rsidRPr="098FA5AC">
        <w:rPr>
          <w:b/>
          <w:bCs/>
          <w:sz w:val="24"/>
          <w:szCs w:val="24"/>
        </w:rPr>
        <w:t>tate</w:t>
      </w:r>
      <w:r w:rsidRPr="787E070B">
        <w:rPr>
          <w:b/>
          <w:bCs/>
          <w:sz w:val="24"/>
          <w:szCs w:val="24"/>
        </w:rPr>
        <w:t xml:space="preserve"> and </w:t>
      </w:r>
      <w:r w:rsidR="16C3C936" w:rsidRPr="098FA5AC">
        <w:rPr>
          <w:b/>
          <w:bCs/>
          <w:sz w:val="24"/>
          <w:szCs w:val="24"/>
        </w:rPr>
        <w:t>L</w:t>
      </w:r>
      <w:r w:rsidR="35F88D6A" w:rsidRPr="098FA5AC">
        <w:rPr>
          <w:b/>
          <w:bCs/>
          <w:sz w:val="24"/>
          <w:szCs w:val="24"/>
        </w:rPr>
        <w:t>ocal</w:t>
      </w:r>
      <w:r w:rsidRPr="787E070B">
        <w:rPr>
          <w:b/>
          <w:bCs/>
          <w:sz w:val="24"/>
          <w:szCs w:val="24"/>
        </w:rPr>
        <w:t xml:space="preserve"> funds), including a description of how matching requirements will be satisfied</w:t>
      </w:r>
      <w:r w:rsidR="63BF2901" w:rsidRPr="098FA5AC">
        <w:rPr>
          <w:b/>
          <w:bCs/>
          <w:sz w:val="24"/>
          <w:szCs w:val="24"/>
        </w:rPr>
        <w:t>.</w:t>
      </w:r>
    </w:p>
    <w:p w14:paraId="46B49898" w14:textId="4560AAE5" w:rsidR="003D336B" w:rsidRDefault="668CC643" w:rsidP="000F499D">
      <w:pPr>
        <w:widowControl w:val="0"/>
        <w:spacing w:beforeAutospacing="1" w:afterAutospacing="1"/>
        <w:jc w:val="both"/>
      </w:pPr>
      <w:r>
        <w:t xml:space="preserve">The </w:t>
      </w:r>
      <w:r w:rsidRPr="098FA5AC">
        <w:rPr>
          <w:b/>
          <w:bCs/>
        </w:rPr>
        <w:t>Community Development Block</w:t>
      </w:r>
      <w:r w:rsidR="65FA52B3" w:rsidRPr="098FA5AC">
        <w:rPr>
          <w:b/>
          <w:bCs/>
        </w:rPr>
        <w:t xml:space="preserve"> Program</w:t>
      </w:r>
      <w:r w:rsidR="69C7900D" w:rsidRPr="098FA5AC">
        <w:rPr>
          <w:b/>
          <w:bCs/>
        </w:rPr>
        <w:t xml:space="preserve"> </w:t>
      </w:r>
      <w:r w:rsidR="7C50CB23" w:rsidRPr="098FA5AC">
        <w:rPr>
          <w:b/>
          <w:bCs/>
        </w:rPr>
        <w:t>(</w:t>
      </w:r>
      <w:r w:rsidR="003D336B" w:rsidRPr="787E070B">
        <w:rPr>
          <w:b/>
          <w:bCs/>
        </w:rPr>
        <w:t>CDBG</w:t>
      </w:r>
      <w:r w:rsidR="21C50DA2" w:rsidRPr="098FA5AC">
        <w:rPr>
          <w:b/>
          <w:bCs/>
        </w:rPr>
        <w:t>)</w:t>
      </w:r>
      <w:r w:rsidR="003D336B">
        <w:t xml:space="preserve"> does not require match except for administration at the State level, but CDBG does award points to projects based partially on the percentage of match they provide to the project. The local, State, and federal match categories leverage the CDBG funds by completing the funding package necessary to construct public facilities and infrastructure and housing related projects. The private match leverage </w:t>
      </w:r>
      <w:r w:rsidR="253BC97C">
        <w:t>comes</w:t>
      </w:r>
      <w:r w:rsidR="003D336B">
        <w:t xml:space="preserve"> from businesses expanding or building new facilities </w:t>
      </w:r>
      <w:proofErr w:type="gramStart"/>
      <w:r w:rsidR="003D336B">
        <w:t>as a result of</w:t>
      </w:r>
      <w:proofErr w:type="gramEnd"/>
      <w:r w:rsidR="003D336B">
        <w:t xml:space="preserve"> the CDBG infrastructure improvements.</w:t>
      </w:r>
    </w:p>
    <w:p w14:paraId="194EDE61" w14:textId="1EF5C7D7" w:rsidR="003D336B" w:rsidRDefault="003D336B" w:rsidP="000F499D">
      <w:pPr>
        <w:widowControl w:val="0"/>
        <w:spacing w:beforeAutospacing="1" w:afterAutospacing="1"/>
        <w:jc w:val="both"/>
      </w:pPr>
      <w:r>
        <w:t xml:space="preserve">With the projected $41 million over the </w:t>
      </w:r>
      <w:r w:rsidR="3A70E1CB">
        <w:t>five (</w:t>
      </w:r>
      <w:r>
        <w:t>5</w:t>
      </w:r>
      <w:r w:rsidR="3A70E1CB">
        <w:t>)</w:t>
      </w:r>
      <w:r w:rsidR="35F88D6A">
        <w:t>-</w:t>
      </w:r>
      <w:r>
        <w:t>year period Idaho Department of Commerce expects to receive in CDBG funding it is estimated a t</w:t>
      </w:r>
      <w:r w:rsidRPr="000F499D">
        <w:t>otal of $37 million ann</w:t>
      </w:r>
      <w:r>
        <w:t>ually from other local, State, Federal, and private sources will be partnered with CDBG funded project.</w:t>
      </w:r>
    </w:p>
    <w:p w14:paraId="01B5FCF1" w14:textId="6DB6E687" w:rsidR="003D336B" w:rsidRDefault="6F9BD289" w:rsidP="000F499D">
      <w:pPr>
        <w:widowControl w:val="0"/>
        <w:spacing w:beforeAutospacing="1" w:afterAutospacing="1"/>
        <w:jc w:val="both"/>
      </w:pPr>
      <w:r w:rsidRPr="098FA5AC">
        <w:rPr>
          <w:b/>
          <w:bCs/>
        </w:rPr>
        <w:t>Emergency Solutions Grant (</w:t>
      </w:r>
      <w:r w:rsidR="003D336B">
        <w:rPr>
          <w:b/>
        </w:rPr>
        <w:t>ESG</w:t>
      </w:r>
      <w:r w:rsidR="73493B1D" w:rsidRPr="098FA5AC">
        <w:rPr>
          <w:b/>
          <w:bCs/>
        </w:rPr>
        <w:t>)</w:t>
      </w:r>
      <w:r w:rsidR="003D336B">
        <w:t xml:space="preserve"> match contributions include external funding from a variety of federal, </w:t>
      </w:r>
      <w:r w:rsidR="20FD0DA6">
        <w:t>S</w:t>
      </w:r>
      <w:r w:rsidR="35F88D6A">
        <w:t>tate</w:t>
      </w:r>
      <w:r w:rsidR="003D336B">
        <w:t>, local, and private sources. ESG imposes a 100% match requirement which may be fulfilled by cash donations or in-kind services. These cash and in-kind donations to the ESG program encourage and support numerous activities including homeownership, increasing access to facilities and services, case management, life skills guidance, and counseling, among other support and service efforts.</w:t>
      </w:r>
    </w:p>
    <w:p w14:paraId="3DB56AE4" w14:textId="77777777" w:rsidR="003D336B" w:rsidRDefault="003D336B" w:rsidP="000F499D">
      <w:pPr>
        <w:widowControl w:val="0"/>
        <w:spacing w:beforeAutospacing="1" w:afterAutospacing="1"/>
        <w:jc w:val="both"/>
      </w:pPr>
      <w:r>
        <w:rPr>
          <w:b/>
        </w:rPr>
        <w:t>HOME</w:t>
      </w:r>
      <w:r>
        <w:t xml:space="preserve"> program provides the gap financing to eligible and approved owners and developers for rental and homebuyer activities. HOME funds are leveraged to the maximum extent feasible, with private and federal program funds. IHFA incurs a 25% match liability for every HOME entitlement dollar expended on housing activities. IHFA meets its match liability by identifying and banking eligible forms match as defined at HOME CPD Notice 97-03.</w:t>
      </w:r>
    </w:p>
    <w:p w14:paraId="73D26F4A" w14:textId="02240C02" w:rsidR="003D336B" w:rsidRDefault="003D336B" w:rsidP="000F499D">
      <w:pPr>
        <w:widowControl w:val="0"/>
        <w:spacing w:beforeAutospacing="1" w:afterAutospacing="1"/>
        <w:jc w:val="both"/>
      </w:pPr>
      <w:r>
        <w:t>Ten percent (10%) of each annual allocation and program income may be used for HOME administrative costs</w:t>
      </w:r>
      <w:r w:rsidR="4B493AAB">
        <w:t>;</w:t>
      </w:r>
      <w:r>
        <w:t xml:space="preserve"> 5% of each allocation may be awarded to </w:t>
      </w:r>
      <w:r w:rsidR="3B2AC569">
        <w:t>Community Housing Development Organization</w:t>
      </w:r>
      <w:r w:rsidR="2D6E23B8">
        <w:t>s</w:t>
      </w:r>
      <w:r w:rsidR="3B2AC569">
        <w:t xml:space="preserve"> (</w:t>
      </w:r>
      <w:r w:rsidR="35F88D6A">
        <w:t>CHDO</w:t>
      </w:r>
      <w:r w:rsidR="15F68F4B">
        <w:t>)</w:t>
      </w:r>
      <w:r>
        <w:t xml:space="preserve"> as an annual operating assistance grant. The remaining funds are awarded to owners, developers, and homebuyers for eligible HOME-assisted activities.</w:t>
      </w:r>
    </w:p>
    <w:p w14:paraId="6B045F25" w14:textId="1B3E0545" w:rsidR="003D336B" w:rsidRDefault="6937E770" w:rsidP="000F499D">
      <w:pPr>
        <w:widowControl w:val="0"/>
        <w:spacing w:beforeAutospacing="1" w:afterAutospacing="1"/>
        <w:jc w:val="both"/>
      </w:pPr>
      <w:r>
        <w:t>The</w:t>
      </w:r>
      <w:r w:rsidRPr="098FA5AC">
        <w:rPr>
          <w:b/>
          <w:bCs/>
        </w:rPr>
        <w:t xml:space="preserve"> </w:t>
      </w:r>
      <w:r w:rsidR="003D336B">
        <w:rPr>
          <w:b/>
        </w:rPr>
        <w:t>Housing Trust Fund</w:t>
      </w:r>
      <w:r w:rsidR="003D336B" w:rsidRPr="098FA5AC">
        <w:rPr>
          <w:b/>
        </w:rPr>
        <w:t xml:space="preserve"> </w:t>
      </w:r>
      <w:r w:rsidR="5D5C49C8" w:rsidRPr="098FA5AC">
        <w:rPr>
          <w:b/>
          <w:bCs/>
        </w:rPr>
        <w:t>(HTF)</w:t>
      </w:r>
      <w:r w:rsidR="35F88D6A">
        <w:t xml:space="preserve"> </w:t>
      </w:r>
      <w:r w:rsidR="003D336B">
        <w:t xml:space="preserve">does not require matching funds. </w:t>
      </w:r>
      <w:r w:rsidR="29373C77">
        <w:t xml:space="preserve">For the </w:t>
      </w:r>
      <w:r w:rsidR="003D336B">
        <w:t>Housing Trust Fund</w:t>
      </w:r>
      <w:r w:rsidR="5B3831F5">
        <w:t>,</w:t>
      </w:r>
      <w:r w:rsidR="003D336B">
        <w:t xml:space="preserve"> 90% of each allocation will be used for eligible HTF rental activities. 10 percent </w:t>
      </w:r>
      <w:r w:rsidR="1949E0BD">
        <w:t xml:space="preserve">(10%) </w:t>
      </w:r>
      <w:r w:rsidR="003D336B">
        <w:t>of each allocation may be used to help HTF units with operational support and/or operating reserves. Up to 10% of each allocation may be used by IHFA for program and administrative costs.</w:t>
      </w:r>
    </w:p>
    <w:p w14:paraId="21C2F29F" w14:textId="77777777" w:rsidR="003D336B" w:rsidRDefault="003D336B" w:rsidP="003D336B">
      <w:pPr>
        <w:keepNext/>
        <w:widowControl w:val="0"/>
        <w:rPr>
          <w:b/>
          <w:sz w:val="24"/>
          <w:szCs w:val="24"/>
        </w:rPr>
        <w:sectPr w:rsidR="003D336B" w:rsidSect="006C5143">
          <w:type w:val="continuous"/>
          <w:pgSz w:w="12240" w:h="15840" w:code="1"/>
          <w:pgMar w:top="1440" w:right="1440" w:bottom="1440" w:left="1440" w:header="720" w:footer="720" w:gutter="0"/>
          <w:cols w:space="720"/>
          <w:docGrid w:linePitch="360"/>
        </w:sectPr>
      </w:pPr>
    </w:p>
    <w:p w14:paraId="4EE2920E" w14:textId="77777777" w:rsidR="003D336B" w:rsidRDefault="003D336B" w:rsidP="003D336B">
      <w:pPr>
        <w:keepNext/>
        <w:widowControl w:val="0"/>
        <w:rPr>
          <w:b/>
          <w:sz w:val="24"/>
          <w:szCs w:val="24"/>
        </w:rPr>
      </w:pPr>
      <w:r>
        <w:rPr>
          <w:b/>
          <w:sz w:val="24"/>
          <w:szCs w:val="24"/>
        </w:rPr>
        <w:lastRenderedPageBreak/>
        <w:t xml:space="preserve">If appropriate, describe </w:t>
      </w:r>
      <w:proofErr w:type="spellStart"/>
      <w:r>
        <w:rPr>
          <w:b/>
          <w:sz w:val="24"/>
          <w:szCs w:val="24"/>
        </w:rPr>
        <w:t>publically</w:t>
      </w:r>
      <w:proofErr w:type="spellEnd"/>
      <w:r>
        <w:rPr>
          <w:b/>
          <w:sz w:val="24"/>
          <w:szCs w:val="24"/>
        </w:rPr>
        <w:t xml:space="preserve"> owned land or property located within the jurisdiction that may be used to address the needs identified in the plan</w:t>
      </w:r>
    </w:p>
    <w:p w14:paraId="650A0A2F" w14:textId="77777777" w:rsidR="003D336B" w:rsidRDefault="003D336B" w:rsidP="003D336B">
      <w:pPr>
        <w:keepNext/>
        <w:widowControl w:val="0"/>
        <w:spacing w:beforeAutospacing="1" w:afterAutospacing="1"/>
        <w:rPr>
          <w:szCs w:val="24"/>
        </w:rPr>
      </w:pPr>
      <w:r>
        <w:t>The State of Idaho does not designate publicly owned land or property to address the needs identified in this plan.</w:t>
      </w:r>
    </w:p>
    <w:p w14:paraId="4D35AAE1" w14:textId="77777777" w:rsidR="003D336B" w:rsidRDefault="003D336B" w:rsidP="003D336B">
      <w:pPr>
        <w:rPr>
          <w:b/>
          <w:sz w:val="24"/>
          <w:szCs w:val="24"/>
        </w:rPr>
      </w:pPr>
      <w:r>
        <w:rPr>
          <w:b/>
          <w:sz w:val="24"/>
          <w:szCs w:val="24"/>
        </w:rPr>
        <w:t>Discussion</w:t>
      </w:r>
    </w:p>
    <w:p w14:paraId="1EE9529B" w14:textId="77777777" w:rsidR="003D336B" w:rsidRDefault="003D336B" w:rsidP="003D336B"/>
    <w:p w14:paraId="19188E87" w14:textId="104C41A8" w:rsidR="003D336B" w:rsidRDefault="003D336B">
      <w:pPr>
        <w:spacing w:after="160" w:line="259" w:lineRule="auto"/>
      </w:pPr>
      <w:r>
        <w:br w:type="page"/>
      </w:r>
    </w:p>
    <w:p w14:paraId="2B928F4B" w14:textId="77777777" w:rsidR="003D336B" w:rsidRDefault="003D336B" w:rsidP="003D336B">
      <w:pPr>
        <w:pStyle w:val="Heading2"/>
        <w:rPr>
          <w:rFonts w:ascii="Calibri" w:hAnsi="Calibri" w:cs="Calibri"/>
        </w:rPr>
        <w:sectPr w:rsidR="003D336B" w:rsidSect="009A2C2E">
          <w:pgSz w:w="12240" w:h="15840" w:code="1"/>
          <w:pgMar w:top="1440" w:right="1440" w:bottom="1440" w:left="1440" w:header="720" w:footer="720" w:gutter="0"/>
          <w:cols w:space="720"/>
          <w:docGrid w:linePitch="360"/>
        </w:sectPr>
      </w:pPr>
    </w:p>
    <w:p w14:paraId="6DDC7D45" w14:textId="77777777" w:rsidR="003D336B" w:rsidRPr="003327BE" w:rsidRDefault="003D336B" w:rsidP="003D336B">
      <w:pPr>
        <w:pStyle w:val="Heading2"/>
        <w:rPr>
          <w:rFonts w:ascii="Calibri" w:hAnsi="Calibri" w:cs="Calibri"/>
        </w:rPr>
      </w:pPr>
      <w:bookmarkStart w:id="69" w:name="_Toc194673864"/>
      <w:r w:rsidRPr="003327BE">
        <w:rPr>
          <w:rFonts w:ascii="Calibri" w:hAnsi="Calibri" w:cs="Calibri"/>
        </w:rPr>
        <w:lastRenderedPageBreak/>
        <w:t>SP-45 Goals Summary – 91.215(a)(4)</w:t>
      </w:r>
      <w:bookmarkEnd w:id="69"/>
    </w:p>
    <w:p w14:paraId="4DBA3DA3" w14:textId="77777777" w:rsidR="003D336B" w:rsidRDefault="003D336B" w:rsidP="003D336B">
      <w:pPr>
        <w:keepNext/>
        <w:widowControl w:val="0"/>
        <w:rPr>
          <w:b/>
          <w:sz w:val="24"/>
          <w:szCs w:val="24"/>
        </w:rPr>
      </w:pPr>
      <w:r>
        <w:rPr>
          <w:b/>
          <w:sz w:val="24"/>
          <w:szCs w:val="24"/>
        </w:rPr>
        <w:t xml:space="preserve">Goals Summary Information </w:t>
      </w:r>
    </w:p>
    <w:p w14:paraId="2E20CB87" w14:textId="18F1D7B5" w:rsidR="000F499D" w:rsidRDefault="000F499D" w:rsidP="006D1F77">
      <w:pPr>
        <w:spacing w:before="100" w:beforeAutospacing="1" w:after="100" w:afterAutospacing="1"/>
        <w:jc w:val="both"/>
        <w:rPr>
          <w:b/>
          <w:sz w:val="24"/>
          <w:szCs w:val="24"/>
        </w:rPr>
      </w:pPr>
      <w:r w:rsidRPr="00067D97">
        <w:rPr>
          <w:rFonts w:cs="Calibri"/>
          <w:sz w:val="24"/>
          <w:szCs w:val="24"/>
        </w:rPr>
        <w:t xml:space="preserve">The Anticipated Resources Matrix </w:t>
      </w:r>
      <w:r>
        <w:rPr>
          <w:rFonts w:cs="Calibri"/>
          <w:sz w:val="24"/>
          <w:szCs w:val="24"/>
        </w:rPr>
        <w:t xml:space="preserve">in SP-25 </w:t>
      </w:r>
      <w:r w:rsidRPr="00067D97">
        <w:rPr>
          <w:rFonts w:cs="Calibri"/>
          <w:sz w:val="24"/>
          <w:szCs w:val="24"/>
        </w:rPr>
        <w:t xml:space="preserve">outlines </w:t>
      </w:r>
      <w:r>
        <w:rPr>
          <w:rFonts w:cs="Calibri"/>
          <w:sz w:val="24"/>
          <w:szCs w:val="24"/>
        </w:rPr>
        <w:t xml:space="preserve">the amount of program </w:t>
      </w:r>
      <w:r w:rsidRPr="00067D97">
        <w:rPr>
          <w:rFonts w:cs="Calibri"/>
          <w:sz w:val="24"/>
          <w:szCs w:val="24"/>
        </w:rPr>
        <w:t>funds</w:t>
      </w:r>
      <w:r w:rsidR="006D1F77">
        <w:rPr>
          <w:rFonts w:cs="Calibri"/>
          <w:sz w:val="24"/>
          <w:szCs w:val="24"/>
        </w:rPr>
        <w:t xml:space="preserve"> estimated for year one </w:t>
      </w:r>
      <w:r w:rsidRPr="00067D97">
        <w:rPr>
          <w:rFonts w:cs="Calibri"/>
          <w:sz w:val="24"/>
          <w:szCs w:val="24"/>
        </w:rPr>
        <w:t>(1) and a projection of resources between fiscal year 202</w:t>
      </w:r>
      <w:r w:rsidR="006D1F77">
        <w:rPr>
          <w:rFonts w:cs="Calibri"/>
          <w:sz w:val="24"/>
          <w:szCs w:val="24"/>
        </w:rPr>
        <w:t>6</w:t>
      </w:r>
      <w:r w:rsidRPr="00067D97">
        <w:rPr>
          <w:rFonts w:cs="Calibri"/>
          <w:sz w:val="24"/>
          <w:szCs w:val="24"/>
        </w:rPr>
        <w:t xml:space="preserve"> and fiscal year 2029. Estimates are based on 2024 allocation amounts. If the total grant received by the State is lower or higher than the funds allocated to the goals in </w:t>
      </w:r>
      <w:r w:rsidR="006D1F77">
        <w:rPr>
          <w:rFonts w:cs="Calibri"/>
          <w:sz w:val="24"/>
          <w:szCs w:val="24"/>
        </w:rPr>
        <w:t xml:space="preserve">this </w:t>
      </w:r>
      <w:r w:rsidRPr="00067D97">
        <w:rPr>
          <w:rFonts w:cs="Calibri"/>
          <w:sz w:val="24"/>
          <w:szCs w:val="24"/>
        </w:rPr>
        <w:t>SP-45, then each goal amount will be reduced or increased by the same proportion as the percentage difference between the estimated total grant and the actual total grant.</w:t>
      </w:r>
    </w:p>
    <w:tbl>
      <w:tblPr>
        <w:tblW w:w="138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937"/>
        <w:gridCol w:w="713"/>
        <w:gridCol w:w="671"/>
        <w:gridCol w:w="1471"/>
        <w:gridCol w:w="1220"/>
        <w:gridCol w:w="1772"/>
        <w:gridCol w:w="1410"/>
        <w:gridCol w:w="2896"/>
      </w:tblGrid>
      <w:tr w:rsidR="00DE3767" w:rsidRPr="003D336B" w14:paraId="063EA8AF" w14:textId="77777777" w:rsidTr="098FA5AC">
        <w:trPr>
          <w:cantSplit/>
          <w:trHeight w:val="486"/>
          <w:tblHeader/>
        </w:trPr>
        <w:tc>
          <w:tcPr>
            <w:tcW w:w="765" w:type="dxa"/>
            <w:tcBorders>
              <w:top w:val="single" w:sz="4" w:space="0" w:color="auto"/>
              <w:left w:val="single" w:sz="4" w:space="0" w:color="auto"/>
              <w:bottom w:val="single" w:sz="4" w:space="0" w:color="auto"/>
              <w:right w:val="single" w:sz="4" w:space="0" w:color="auto"/>
            </w:tcBorders>
            <w:hideMark/>
          </w:tcPr>
          <w:p w14:paraId="7CDB8628" w14:textId="77777777" w:rsidR="003D336B" w:rsidRPr="003D336B" w:rsidRDefault="003D336B" w:rsidP="00E53512">
            <w:pPr>
              <w:keepNext/>
              <w:widowControl w:val="0"/>
              <w:spacing w:after="0" w:line="240" w:lineRule="auto"/>
              <w:jc w:val="center"/>
              <w:rPr>
                <w:b/>
                <w:sz w:val="20"/>
                <w:szCs w:val="20"/>
              </w:rPr>
            </w:pPr>
            <w:r w:rsidRPr="003D336B">
              <w:rPr>
                <w:b/>
                <w:sz w:val="20"/>
                <w:szCs w:val="20"/>
              </w:rPr>
              <w:t>Sort Order</w:t>
            </w:r>
          </w:p>
        </w:tc>
        <w:tc>
          <w:tcPr>
            <w:tcW w:w="2462" w:type="dxa"/>
            <w:tcBorders>
              <w:top w:val="single" w:sz="4" w:space="0" w:color="auto"/>
              <w:left w:val="single" w:sz="4" w:space="0" w:color="auto"/>
              <w:bottom w:val="single" w:sz="4" w:space="0" w:color="auto"/>
              <w:right w:val="single" w:sz="4" w:space="0" w:color="auto"/>
            </w:tcBorders>
            <w:hideMark/>
          </w:tcPr>
          <w:p w14:paraId="0CB6949C" w14:textId="77777777" w:rsidR="003D336B" w:rsidRPr="003D336B" w:rsidRDefault="003D336B" w:rsidP="787E070B">
            <w:pPr>
              <w:keepNext/>
              <w:widowControl w:val="0"/>
              <w:spacing w:after="0" w:line="240" w:lineRule="auto"/>
              <w:jc w:val="center"/>
              <w:rPr>
                <w:b/>
                <w:bCs/>
                <w:sz w:val="20"/>
                <w:szCs w:val="20"/>
              </w:rPr>
            </w:pPr>
            <w:r w:rsidRPr="787E070B">
              <w:rPr>
                <w:b/>
                <w:bCs/>
                <w:sz w:val="20"/>
                <w:szCs w:val="20"/>
              </w:rPr>
              <w:t>Goal Name</w:t>
            </w:r>
          </w:p>
        </w:tc>
        <w:tc>
          <w:tcPr>
            <w:tcW w:w="735" w:type="dxa"/>
            <w:tcBorders>
              <w:top w:val="single" w:sz="4" w:space="0" w:color="auto"/>
              <w:left w:val="single" w:sz="4" w:space="0" w:color="auto"/>
              <w:bottom w:val="single" w:sz="4" w:space="0" w:color="auto"/>
              <w:right w:val="single" w:sz="4" w:space="0" w:color="auto"/>
            </w:tcBorders>
            <w:hideMark/>
          </w:tcPr>
          <w:p w14:paraId="536FE3B0" w14:textId="77777777" w:rsidR="003D336B" w:rsidRPr="003D336B" w:rsidRDefault="003D336B" w:rsidP="00E53512">
            <w:pPr>
              <w:keepNext/>
              <w:widowControl w:val="0"/>
              <w:spacing w:after="0" w:line="240" w:lineRule="auto"/>
              <w:jc w:val="center"/>
              <w:rPr>
                <w:b/>
                <w:sz w:val="20"/>
                <w:szCs w:val="20"/>
              </w:rPr>
            </w:pPr>
            <w:r w:rsidRPr="003D336B">
              <w:rPr>
                <w:b/>
                <w:sz w:val="20"/>
                <w:szCs w:val="20"/>
              </w:rPr>
              <w:t>Start Year</w:t>
            </w:r>
          </w:p>
        </w:tc>
        <w:tc>
          <w:tcPr>
            <w:tcW w:w="675" w:type="dxa"/>
            <w:tcBorders>
              <w:top w:val="single" w:sz="4" w:space="0" w:color="auto"/>
              <w:left w:val="single" w:sz="4" w:space="0" w:color="auto"/>
              <w:bottom w:val="single" w:sz="4" w:space="0" w:color="auto"/>
              <w:right w:val="single" w:sz="4" w:space="0" w:color="auto"/>
            </w:tcBorders>
            <w:hideMark/>
          </w:tcPr>
          <w:p w14:paraId="067EA790" w14:textId="77777777" w:rsidR="003D336B" w:rsidRPr="003D336B" w:rsidRDefault="003D336B" w:rsidP="00E53512">
            <w:pPr>
              <w:keepNext/>
              <w:widowControl w:val="0"/>
              <w:spacing w:after="0" w:line="240" w:lineRule="auto"/>
              <w:jc w:val="center"/>
              <w:rPr>
                <w:b/>
                <w:sz w:val="20"/>
                <w:szCs w:val="20"/>
              </w:rPr>
            </w:pPr>
            <w:r w:rsidRPr="003D336B">
              <w:rPr>
                <w:b/>
                <w:sz w:val="20"/>
                <w:szCs w:val="20"/>
              </w:rPr>
              <w:t>End Year</w:t>
            </w:r>
          </w:p>
        </w:tc>
        <w:tc>
          <w:tcPr>
            <w:tcW w:w="1491" w:type="dxa"/>
            <w:tcBorders>
              <w:top w:val="single" w:sz="4" w:space="0" w:color="auto"/>
              <w:left w:val="single" w:sz="4" w:space="0" w:color="auto"/>
              <w:bottom w:val="single" w:sz="4" w:space="0" w:color="auto"/>
              <w:right w:val="single" w:sz="4" w:space="0" w:color="auto"/>
            </w:tcBorders>
            <w:hideMark/>
          </w:tcPr>
          <w:p w14:paraId="43EF03DF" w14:textId="77777777" w:rsidR="003D336B" w:rsidRPr="003D336B" w:rsidRDefault="003D336B" w:rsidP="00E53512">
            <w:pPr>
              <w:keepNext/>
              <w:widowControl w:val="0"/>
              <w:spacing w:after="0" w:line="240" w:lineRule="auto"/>
              <w:jc w:val="center"/>
              <w:rPr>
                <w:b/>
                <w:sz w:val="20"/>
                <w:szCs w:val="20"/>
              </w:rPr>
            </w:pPr>
            <w:r w:rsidRPr="003D336B">
              <w:rPr>
                <w:b/>
                <w:sz w:val="20"/>
                <w:szCs w:val="20"/>
              </w:rPr>
              <w:t>Category</w:t>
            </w:r>
          </w:p>
        </w:tc>
        <w:tc>
          <w:tcPr>
            <w:tcW w:w="1245" w:type="dxa"/>
            <w:tcBorders>
              <w:top w:val="single" w:sz="4" w:space="0" w:color="auto"/>
              <w:left w:val="single" w:sz="4" w:space="0" w:color="auto"/>
              <w:bottom w:val="single" w:sz="4" w:space="0" w:color="auto"/>
              <w:right w:val="single" w:sz="4" w:space="0" w:color="auto"/>
            </w:tcBorders>
            <w:hideMark/>
          </w:tcPr>
          <w:p w14:paraId="43746392" w14:textId="77777777" w:rsidR="003D336B" w:rsidRPr="003D336B" w:rsidRDefault="003D336B" w:rsidP="00E53512">
            <w:pPr>
              <w:keepNext/>
              <w:widowControl w:val="0"/>
              <w:spacing w:after="0" w:line="240" w:lineRule="auto"/>
              <w:jc w:val="center"/>
              <w:rPr>
                <w:b/>
                <w:sz w:val="20"/>
                <w:szCs w:val="20"/>
              </w:rPr>
            </w:pPr>
            <w:r w:rsidRPr="003D336B">
              <w:rPr>
                <w:b/>
                <w:sz w:val="20"/>
                <w:szCs w:val="20"/>
              </w:rPr>
              <w:t>Geographic Area</w:t>
            </w:r>
          </w:p>
        </w:tc>
        <w:tc>
          <w:tcPr>
            <w:tcW w:w="1805" w:type="dxa"/>
            <w:tcBorders>
              <w:top w:val="single" w:sz="4" w:space="0" w:color="auto"/>
              <w:left w:val="single" w:sz="4" w:space="0" w:color="auto"/>
              <w:bottom w:val="single" w:sz="4" w:space="0" w:color="auto"/>
              <w:right w:val="single" w:sz="4" w:space="0" w:color="auto"/>
            </w:tcBorders>
            <w:hideMark/>
          </w:tcPr>
          <w:p w14:paraId="631C9E8B" w14:textId="77777777" w:rsidR="003D336B" w:rsidRPr="003D336B" w:rsidRDefault="003D336B" w:rsidP="00E53512">
            <w:pPr>
              <w:keepNext/>
              <w:widowControl w:val="0"/>
              <w:spacing w:after="0" w:line="240" w:lineRule="auto"/>
              <w:jc w:val="center"/>
              <w:rPr>
                <w:b/>
                <w:sz w:val="20"/>
                <w:szCs w:val="20"/>
              </w:rPr>
            </w:pPr>
            <w:r w:rsidRPr="003D336B">
              <w:rPr>
                <w:b/>
                <w:sz w:val="20"/>
                <w:szCs w:val="20"/>
              </w:rPr>
              <w:t>Needs Addressed</w:t>
            </w:r>
          </w:p>
        </w:tc>
        <w:tc>
          <w:tcPr>
            <w:tcW w:w="1445" w:type="dxa"/>
            <w:tcBorders>
              <w:top w:val="single" w:sz="4" w:space="0" w:color="auto"/>
              <w:left w:val="single" w:sz="4" w:space="0" w:color="auto"/>
              <w:bottom w:val="single" w:sz="4" w:space="0" w:color="auto"/>
              <w:right w:val="single" w:sz="4" w:space="0" w:color="auto"/>
            </w:tcBorders>
            <w:hideMark/>
          </w:tcPr>
          <w:p w14:paraId="5BFB37C6" w14:textId="77777777" w:rsidR="003D336B" w:rsidRPr="003D336B" w:rsidRDefault="003D336B" w:rsidP="00E53512">
            <w:pPr>
              <w:keepNext/>
              <w:widowControl w:val="0"/>
              <w:spacing w:after="0" w:line="240" w:lineRule="auto"/>
              <w:jc w:val="center"/>
              <w:rPr>
                <w:b/>
                <w:sz w:val="20"/>
                <w:szCs w:val="20"/>
              </w:rPr>
            </w:pPr>
            <w:r w:rsidRPr="003D336B">
              <w:rPr>
                <w:b/>
                <w:sz w:val="20"/>
                <w:szCs w:val="20"/>
              </w:rPr>
              <w:t>Funding</w:t>
            </w:r>
          </w:p>
        </w:tc>
        <w:tc>
          <w:tcPr>
            <w:tcW w:w="3213" w:type="dxa"/>
            <w:tcBorders>
              <w:top w:val="single" w:sz="4" w:space="0" w:color="auto"/>
              <w:left w:val="single" w:sz="4" w:space="0" w:color="auto"/>
              <w:bottom w:val="single" w:sz="4" w:space="0" w:color="auto"/>
              <w:right w:val="single" w:sz="4" w:space="0" w:color="auto"/>
            </w:tcBorders>
            <w:hideMark/>
          </w:tcPr>
          <w:p w14:paraId="4F979BBE" w14:textId="77777777" w:rsidR="003D336B" w:rsidRPr="003D336B" w:rsidRDefault="003D336B" w:rsidP="00E53512">
            <w:pPr>
              <w:keepNext/>
              <w:widowControl w:val="0"/>
              <w:spacing w:after="0" w:line="240" w:lineRule="auto"/>
              <w:jc w:val="center"/>
              <w:rPr>
                <w:b/>
                <w:sz w:val="20"/>
                <w:szCs w:val="20"/>
              </w:rPr>
            </w:pPr>
            <w:r w:rsidRPr="003D336B">
              <w:rPr>
                <w:b/>
                <w:sz w:val="20"/>
                <w:szCs w:val="20"/>
              </w:rPr>
              <w:t>Goal Outcome Indicator</w:t>
            </w:r>
          </w:p>
        </w:tc>
      </w:tr>
      <w:tr w:rsidR="00C83593" w:rsidRPr="003D336B" w14:paraId="23E2157A" w14:textId="77777777" w:rsidTr="098FA5AC">
        <w:trPr>
          <w:cantSplit/>
        </w:trPr>
        <w:tc>
          <w:tcPr>
            <w:tcW w:w="765" w:type="dxa"/>
            <w:tcBorders>
              <w:top w:val="single" w:sz="4" w:space="0" w:color="auto"/>
              <w:left w:val="single" w:sz="4" w:space="0" w:color="auto"/>
              <w:bottom w:val="single" w:sz="4" w:space="0" w:color="auto"/>
              <w:right w:val="single" w:sz="4" w:space="0" w:color="auto"/>
            </w:tcBorders>
          </w:tcPr>
          <w:p w14:paraId="2CDA0131" w14:textId="77777777" w:rsidR="003D336B" w:rsidRPr="003D336B" w:rsidRDefault="003D336B" w:rsidP="00E53512">
            <w:pPr>
              <w:spacing w:beforeAutospacing="1" w:afterAutospacing="1"/>
            </w:pPr>
            <w:r w:rsidRPr="003D336B">
              <w:rPr>
                <w:b/>
                <w:color w:val="000000"/>
              </w:rPr>
              <w:t>1</w:t>
            </w:r>
          </w:p>
        </w:tc>
        <w:tc>
          <w:tcPr>
            <w:tcW w:w="2462" w:type="dxa"/>
            <w:tcBorders>
              <w:top w:val="single" w:sz="4" w:space="0" w:color="auto"/>
              <w:left w:val="single" w:sz="4" w:space="0" w:color="auto"/>
              <w:bottom w:val="single" w:sz="4" w:space="0" w:color="auto"/>
              <w:right w:val="single" w:sz="4" w:space="0" w:color="auto"/>
            </w:tcBorders>
          </w:tcPr>
          <w:p w14:paraId="426C7072" w14:textId="77777777" w:rsidR="003D336B" w:rsidRPr="003D336B" w:rsidRDefault="003D336B" w:rsidP="00E53512">
            <w:pPr>
              <w:spacing w:beforeAutospacing="1" w:afterAutospacing="1"/>
            </w:pPr>
            <w:r w:rsidRPr="003D336B">
              <w:rPr>
                <w:color w:val="000000"/>
              </w:rPr>
              <w:t>Public Facilities/Infrastructure-Compliance</w:t>
            </w:r>
          </w:p>
        </w:tc>
        <w:tc>
          <w:tcPr>
            <w:tcW w:w="735" w:type="dxa"/>
            <w:tcBorders>
              <w:top w:val="single" w:sz="4" w:space="0" w:color="auto"/>
              <w:left w:val="single" w:sz="4" w:space="0" w:color="auto"/>
              <w:bottom w:val="single" w:sz="4" w:space="0" w:color="auto"/>
              <w:right w:val="single" w:sz="4" w:space="0" w:color="auto"/>
            </w:tcBorders>
          </w:tcPr>
          <w:p w14:paraId="55228F5E" w14:textId="77777777" w:rsidR="003D336B" w:rsidRPr="003D336B" w:rsidRDefault="003D336B" w:rsidP="00E53512">
            <w:pPr>
              <w:spacing w:before="100" w:beforeAutospacing="1" w:after="100" w:afterAutospacing="1"/>
              <w:jc w:val="right"/>
            </w:pPr>
            <w:r w:rsidRPr="003D336B">
              <w:rPr>
                <w:color w:val="000000"/>
              </w:rPr>
              <w:t>2025</w:t>
            </w:r>
          </w:p>
        </w:tc>
        <w:tc>
          <w:tcPr>
            <w:tcW w:w="675" w:type="dxa"/>
            <w:tcBorders>
              <w:top w:val="single" w:sz="4" w:space="0" w:color="auto"/>
              <w:left w:val="single" w:sz="4" w:space="0" w:color="auto"/>
              <w:bottom w:val="single" w:sz="4" w:space="0" w:color="auto"/>
              <w:right w:val="single" w:sz="4" w:space="0" w:color="auto"/>
            </w:tcBorders>
          </w:tcPr>
          <w:p w14:paraId="29E2EDB4" w14:textId="77777777" w:rsidR="003D336B" w:rsidRPr="003D336B" w:rsidRDefault="003D336B" w:rsidP="00E53512">
            <w:pPr>
              <w:spacing w:beforeAutospacing="1" w:afterAutospacing="1"/>
              <w:jc w:val="right"/>
            </w:pPr>
            <w:r w:rsidRPr="003D336B">
              <w:rPr>
                <w:color w:val="000000"/>
              </w:rPr>
              <w:t>2029</w:t>
            </w:r>
          </w:p>
        </w:tc>
        <w:tc>
          <w:tcPr>
            <w:tcW w:w="1491" w:type="dxa"/>
            <w:tcBorders>
              <w:top w:val="single" w:sz="4" w:space="0" w:color="auto"/>
              <w:left w:val="single" w:sz="4" w:space="0" w:color="auto"/>
              <w:bottom w:val="single" w:sz="4" w:space="0" w:color="auto"/>
              <w:right w:val="single" w:sz="4" w:space="0" w:color="auto"/>
            </w:tcBorders>
          </w:tcPr>
          <w:p w14:paraId="01C5E318" w14:textId="5E6965B1" w:rsidR="003D336B" w:rsidRPr="003D336B" w:rsidRDefault="003D336B" w:rsidP="787E070B">
            <w:pPr>
              <w:spacing w:beforeAutospacing="1" w:afterAutospacing="1"/>
              <w:rPr>
                <w:color w:val="000000" w:themeColor="text1"/>
              </w:rPr>
            </w:pPr>
            <w:r w:rsidRPr="787E070B">
              <w:rPr>
                <w:color w:val="000000" w:themeColor="text1"/>
              </w:rPr>
              <w:t>Affordable Housing</w:t>
            </w:r>
            <w:r w:rsidR="0D11C5A6" w:rsidRPr="098FA5AC">
              <w:rPr>
                <w:color w:val="000000" w:themeColor="text1"/>
              </w:rPr>
              <w:t>,</w:t>
            </w:r>
            <w:r>
              <w:br/>
            </w:r>
            <w:r w:rsidRPr="787E070B">
              <w:rPr>
                <w:color w:val="000000" w:themeColor="text1"/>
              </w:rPr>
              <w:t>Homeless</w:t>
            </w:r>
            <w:r w:rsidR="47B3A33C" w:rsidRPr="098FA5AC">
              <w:rPr>
                <w:color w:val="000000" w:themeColor="text1"/>
              </w:rPr>
              <w:t>,</w:t>
            </w:r>
            <w:r>
              <w:br/>
            </w:r>
            <w:r w:rsidRPr="787E070B">
              <w:rPr>
                <w:color w:val="000000" w:themeColor="text1"/>
              </w:rPr>
              <w:t>Non-Homeless</w:t>
            </w:r>
            <w:r w:rsidR="2B96B023" w:rsidRPr="098FA5AC">
              <w:rPr>
                <w:color w:val="000000" w:themeColor="text1"/>
              </w:rPr>
              <w:t>,</w:t>
            </w:r>
            <w:r w:rsidRPr="787E070B">
              <w:rPr>
                <w:color w:val="000000" w:themeColor="text1"/>
              </w:rPr>
              <w:t xml:space="preserve"> Special Needs</w:t>
            </w:r>
            <w:r w:rsidR="536D4A6A" w:rsidRPr="098FA5AC">
              <w:rPr>
                <w:color w:val="000000" w:themeColor="text1"/>
              </w:rPr>
              <w:t>,</w:t>
            </w:r>
            <w:r>
              <w:br/>
            </w:r>
            <w:r w:rsidRPr="787E070B">
              <w:rPr>
                <w:color w:val="000000" w:themeColor="text1"/>
              </w:rPr>
              <w:t>Non-Housing Community Development</w:t>
            </w:r>
          </w:p>
        </w:tc>
        <w:tc>
          <w:tcPr>
            <w:tcW w:w="1245" w:type="dxa"/>
            <w:tcBorders>
              <w:top w:val="single" w:sz="4" w:space="0" w:color="auto"/>
              <w:left w:val="single" w:sz="4" w:space="0" w:color="auto"/>
              <w:bottom w:val="single" w:sz="4" w:space="0" w:color="auto"/>
              <w:right w:val="single" w:sz="4" w:space="0" w:color="auto"/>
            </w:tcBorders>
          </w:tcPr>
          <w:p w14:paraId="1FA5B4E3" w14:textId="77777777" w:rsidR="003D336B" w:rsidRPr="003D336B" w:rsidRDefault="003D336B" w:rsidP="00E53512">
            <w:pPr>
              <w:spacing w:beforeAutospacing="1" w:afterAutospacing="1"/>
            </w:pPr>
            <w:r w:rsidRPr="003D336B">
              <w:rPr>
                <w:color w:val="000000"/>
              </w:rPr>
              <w:t xml:space="preserve"> </w:t>
            </w:r>
          </w:p>
        </w:tc>
        <w:tc>
          <w:tcPr>
            <w:tcW w:w="1805" w:type="dxa"/>
            <w:tcBorders>
              <w:top w:val="single" w:sz="4" w:space="0" w:color="auto"/>
              <w:left w:val="single" w:sz="4" w:space="0" w:color="auto"/>
              <w:bottom w:val="single" w:sz="4" w:space="0" w:color="auto"/>
              <w:right w:val="single" w:sz="4" w:space="0" w:color="auto"/>
            </w:tcBorders>
          </w:tcPr>
          <w:p w14:paraId="33191F8A" w14:textId="39705961" w:rsidR="003D336B" w:rsidRPr="003D336B" w:rsidRDefault="003D336B" w:rsidP="787E070B">
            <w:pPr>
              <w:spacing w:beforeAutospacing="1" w:afterAutospacing="1"/>
            </w:pPr>
            <w:r w:rsidRPr="787E070B">
              <w:rPr>
                <w:color w:val="000000" w:themeColor="text1"/>
              </w:rPr>
              <w:t>Housing related activities</w:t>
            </w:r>
            <w:r w:rsidR="230E4452" w:rsidRPr="787E070B">
              <w:rPr>
                <w:color w:val="000000" w:themeColor="text1"/>
              </w:rPr>
              <w:t>,</w:t>
            </w:r>
            <w:r>
              <w:br/>
            </w:r>
            <w:r w:rsidRPr="787E070B">
              <w:rPr>
                <w:color w:val="000000" w:themeColor="text1"/>
              </w:rPr>
              <w:t>Public Facilities</w:t>
            </w:r>
            <w:r w:rsidR="3976AB28" w:rsidRPr="787E070B">
              <w:rPr>
                <w:color w:val="000000" w:themeColor="text1"/>
              </w:rPr>
              <w:t>,</w:t>
            </w:r>
            <w:r>
              <w:br/>
            </w:r>
            <w:r w:rsidRPr="787E070B">
              <w:rPr>
                <w:color w:val="000000" w:themeColor="text1"/>
              </w:rPr>
              <w:t>Public Infrastructure</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5DBCF04" w14:textId="5DE221D1" w:rsidR="003D336B" w:rsidRPr="003D336B" w:rsidRDefault="003D336B" w:rsidP="00E53512">
            <w:pPr>
              <w:spacing w:before="100" w:beforeAutospacing="1" w:after="100" w:afterAutospacing="1"/>
              <w:jc w:val="right"/>
            </w:pPr>
            <w:r w:rsidRPr="003D336B">
              <w:rPr>
                <w:color w:val="000000"/>
              </w:rPr>
              <w:t>CDBG: $</w:t>
            </w:r>
            <w:r w:rsidR="00DD179B">
              <w:rPr>
                <w:color w:val="000000"/>
              </w:rPr>
              <w:t>15,670,225</w:t>
            </w:r>
          </w:p>
        </w:tc>
        <w:tc>
          <w:tcPr>
            <w:tcW w:w="3213" w:type="dxa"/>
            <w:tcBorders>
              <w:top w:val="single" w:sz="4" w:space="0" w:color="auto"/>
              <w:left w:val="single" w:sz="4" w:space="0" w:color="auto"/>
              <w:bottom w:val="single" w:sz="4" w:space="0" w:color="auto"/>
              <w:right w:val="single" w:sz="4" w:space="0" w:color="auto"/>
            </w:tcBorders>
            <w:shd w:val="clear" w:color="auto" w:fill="FFFFFF" w:themeFill="background1"/>
          </w:tcPr>
          <w:p w14:paraId="3CA1BD25" w14:textId="3484C02C" w:rsidR="003D336B" w:rsidRPr="003D336B" w:rsidRDefault="003D336B" w:rsidP="00E53512">
            <w:pPr>
              <w:spacing w:beforeAutospacing="1" w:afterAutospacing="1"/>
            </w:pPr>
            <w:r w:rsidRPr="098FA5AC">
              <w:rPr>
                <w:color w:val="000000" w:themeColor="text1"/>
              </w:rPr>
              <w:t>Public Facility or Infrastructure Activities other than Low/Moderate Income Housing Be</w:t>
            </w:r>
            <w:r w:rsidRPr="00AD228E">
              <w:rPr>
                <w:color w:val="000000" w:themeColor="text1"/>
              </w:rPr>
              <w:t xml:space="preserve">nefit: </w:t>
            </w:r>
            <w:r w:rsidR="45A248EE" w:rsidRPr="00AD228E">
              <w:rPr>
                <w:color w:val="000000" w:themeColor="text1"/>
              </w:rPr>
              <w:t>60</w:t>
            </w:r>
            <w:r w:rsidR="17348018" w:rsidRPr="00AD228E">
              <w:rPr>
                <w:color w:val="000000" w:themeColor="text1"/>
              </w:rPr>
              <w:t>,</w:t>
            </w:r>
            <w:r w:rsidR="35F88D6A" w:rsidRPr="00AD228E">
              <w:rPr>
                <w:color w:val="000000" w:themeColor="text1"/>
              </w:rPr>
              <w:t>000</w:t>
            </w:r>
            <w:r w:rsidRPr="098FA5AC">
              <w:rPr>
                <w:color w:val="000000" w:themeColor="text1"/>
              </w:rPr>
              <w:t xml:space="preserve"> Persons Assisted</w:t>
            </w:r>
            <w:r>
              <w:br/>
            </w:r>
            <w:r w:rsidRPr="098FA5AC">
              <w:rPr>
                <w:color w:val="000000" w:themeColor="text1"/>
              </w:rPr>
              <w:t xml:space="preserve">Public Facility or Infrastructure Activities for Low/Moderate Income Housing Benefit: </w:t>
            </w:r>
            <w:r w:rsidR="005345AC" w:rsidRPr="098FA5AC">
              <w:rPr>
                <w:color w:val="000000" w:themeColor="text1"/>
              </w:rPr>
              <w:t xml:space="preserve">60 </w:t>
            </w:r>
            <w:r w:rsidRPr="098FA5AC">
              <w:rPr>
                <w:color w:val="000000" w:themeColor="text1"/>
              </w:rPr>
              <w:t>Households Assisted</w:t>
            </w:r>
          </w:p>
        </w:tc>
      </w:tr>
      <w:tr w:rsidR="00C83593" w:rsidRPr="003D336B" w14:paraId="4DEADEF5" w14:textId="77777777" w:rsidTr="098FA5AC">
        <w:trPr>
          <w:cantSplit/>
        </w:trPr>
        <w:tc>
          <w:tcPr>
            <w:tcW w:w="765" w:type="dxa"/>
            <w:tcBorders>
              <w:top w:val="single" w:sz="4" w:space="0" w:color="auto"/>
              <w:left w:val="single" w:sz="4" w:space="0" w:color="auto"/>
              <w:bottom w:val="single" w:sz="4" w:space="0" w:color="auto"/>
              <w:right w:val="single" w:sz="4" w:space="0" w:color="auto"/>
            </w:tcBorders>
          </w:tcPr>
          <w:p w14:paraId="335EA56A" w14:textId="77777777" w:rsidR="003D336B" w:rsidRPr="003D336B" w:rsidRDefault="003D336B" w:rsidP="00E53512">
            <w:pPr>
              <w:spacing w:beforeAutospacing="1" w:afterAutospacing="1"/>
            </w:pPr>
            <w:r w:rsidRPr="003D336B">
              <w:rPr>
                <w:b/>
                <w:color w:val="000000"/>
              </w:rPr>
              <w:lastRenderedPageBreak/>
              <w:t>2</w:t>
            </w:r>
          </w:p>
        </w:tc>
        <w:tc>
          <w:tcPr>
            <w:tcW w:w="2462" w:type="dxa"/>
            <w:tcBorders>
              <w:top w:val="single" w:sz="4" w:space="0" w:color="auto"/>
              <w:left w:val="single" w:sz="4" w:space="0" w:color="auto"/>
              <w:bottom w:val="single" w:sz="4" w:space="0" w:color="auto"/>
              <w:right w:val="single" w:sz="4" w:space="0" w:color="auto"/>
            </w:tcBorders>
          </w:tcPr>
          <w:p w14:paraId="50FCA0E8" w14:textId="77777777" w:rsidR="003D336B" w:rsidRPr="003D336B" w:rsidRDefault="003D336B" w:rsidP="00E53512">
            <w:pPr>
              <w:spacing w:beforeAutospacing="1" w:afterAutospacing="1"/>
            </w:pPr>
            <w:r w:rsidRPr="003D336B">
              <w:rPr>
                <w:color w:val="000000"/>
              </w:rPr>
              <w:t>Public Facilities/Infrastructure-Rehabilitation</w:t>
            </w:r>
          </w:p>
        </w:tc>
        <w:tc>
          <w:tcPr>
            <w:tcW w:w="735" w:type="dxa"/>
            <w:tcBorders>
              <w:top w:val="single" w:sz="4" w:space="0" w:color="auto"/>
              <w:left w:val="single" w:sz="4" w:space="0" w:color="auto"/>
              <w:bottom w:val="single" w:sz="4" w:space="0" w:color="auto"/>
              <w:right w:val="single" w:sz="4" w:space="0" w:color="auto"/>
            </w:tcBorders>
          </w:tcPr>
          <w:p w14:paraId="06B5D67A" w14:textId="77777777" w:rsidR="003D336B" w:rsidRPr="003D336B" w:rsidRDefault="003D336B" w:rsidP="00E53512">
            <w:pPr>
              <w:spacing w:beforeAutospacing="1" w:afterAutospacing="1"/>
              <w:jc w:val="right"/>
            </w:pPr>
            <w:r w:rsidRPr="003D336B">
              <w:rPr>
                <w:color w:val="000000"/>
              </w:rPr>
              <w:t>2025</w:t>
            </w:r>
          </w:p>
        </w:tc>
        <w:tc>
          <w:tcPr>
            <w:tcW w:w="675" w:type="dxa"/>
            <w:tcBorders>
              <w:top w:val="single" w:sz="4" w:space="0" w:color="auto"/>
              <w:left w:val="single" w:sz="4" w:space="0" w:color="auto"/>
              <w:bottom w:val="single" w:sz="4" w:space="0" w:color="auto"/>
              <w:right w:val="single" w:sz="4" w:space="0" w:color="auto"/>
            </w:tcBorders>
          </w:tcPr>
          <w:p w14:paraId="08F1B2E8" w14:textId="77777777" w:rsidR="003D336B" w:rsidRPr="003D336B" w:rsidRDefault="003D336B" w:rsidP="00E53512">
            <w:pPr>
              <w:spacing w:beforeAutospacing="1" w:afterAutospacing="1"/>
              <w:jc w:val="right"/>
            </w:pPr>
            <w:r w:rsidRPr="003D336B">
              <w:rPr>
                <w:color w:val="000000"/>
              </w:rPr>
              <w:t>2029</w:t>
            </w:r>
          </w:p>
        </w:tc>
        <w:tc>
          <w:tcPr>
            <w:tcW w:w="1491" w:type="dxa"/>
            <w:tcBorders>
              <w:top w:val="single" w:sz="4" w:space="0" w:color="auto"/>
              <w:left w:val="single" w:sz="4" w:space="0" w:color="auto"/>
              <w:bottom w:val="single" w:sz="4" w:space="0" w:color="auto"/>
              <w:right w:val="single" w:sz="4" w:space="0" w:color="auto"/>
            </w:tcBorders>
          </w:tcPr>
          <w:p w14:paraId="3B6924AE" w14:textId="0537BF47" w:rsidR="003D336B" w:rsidRPr="003D336B" w:rsidRDefault="003D336B" w:rsidP="00E53512">
            <w:pPr>
              <w:spacing w:beforeAutospacing="1" w:afterAutospacing="1"/>
            </w:pPr>
            <w:r w:rsidRPr="098FA5AC">
              <w:rPr>
                <w:color w:val="000000" w:themeColor="text1"/>
              </w:rPr>
              <w:t>Affordable Housing</w:t>
            </w:r>
            <w:r w:rsidR="7E97E374" w:rsidRPr="098FA5AC">
              <w:rPr>
                <w:color w:val="000000" w:themeColor="text1"/>
              </w:rPr>
              <w:t>,</w:t>
            </w:r>
            <w:r>
              <w:br/>
            </w:r>
            <w:r w:rsidRPr="098FA5AC">
              <w:rPr>
                <w:color w:val="000000" w:themeColor="text1"/>
              </w:rPr>
              <w:t>Homeless</w:t>
            </w:r>
            <w:r w:rsidR="15D523F4" w:rsidRPr="098FA5AC">
              <w:rPr>
                <w:color w:val="000000" w:themeColor="text1"/>
              </w:rPr>
              <w:t>,</w:t>
            </w:r>
            <w:r>
              <w:br/>
            </w:r>
            <w:r w:rsidRPr="098FA5AC">
              <w:rPr>
                <w:color w:val="000000" w:themeColor="text1"/>
              </w:rPr>
              <w:t>Non-Homeless</w:t>
            </w:r>
            <w:r w:rsidR="56009404" w:rsidRPr="098FA5AC">
              <w:rPr>
                <w:color w:val="000000" w:themeColor="text1"/>
              </w:rPr>
              <w:t>,</w:t>
            </w:r>
            <w:r w:rsidRPr="098FA5AC">
              <w:rPr>
                <w:color w:val="000000" w:themeColor="text1"/>
              </w:rPr>
              <w:t xml:space="preserve"> Special Needs</w:t>
            </w:r>
            <w:r w:rsidR="3AD5357E" w:rsidRPr="098FA5AC">
              <w:rPr>
                <w:color w:val="000000" w:themeColor="text1"/>
              </w:rPr>
              <w:t>,</w:t>
            </w:r>
            <w:r>
              <w:br/>
            </w:r>
            <w:r w:rsidRPr="098FA5AC">
              <w:rPr>
                <w:color w:val="000000" w:themeColor="text1"/>
              </w:rPr>
              <w:t>Non-Housing Community Development</w:t>
            </w:r>
          </w:p>
        </w:tc>
        <w:tc>
          <w:tcPr>
            <w:tcW w:w="1245" w:type="dxa"/>
            <w:tcBorders>
              <w:top w:val="single" w:sz="4" w:space="0" w:color="auto"/>
              <w:left w:val="single" w:sz="4" w:space="0" w:color="auto"/>
              <w:bottom w:val="single" w:sz="4" w:space="0" w:color="auto"/>
              <w:right w:val="single" w:sz="4" w:space="0" w:color="auto"/>
            </w:tcBorders>
          </w:tcPr>
          <w:p w14:paraId="4BB0FC1B" w14:textId="77777777" w:rsidR="003D336B" w:rsidRPr="003D336B" w:rsidRDefault="003D336B" w:rsidP="00E53512">
            <w:pPr>
              <w:spacing w:beforeAutospacing="1" w:afterAutospacing="1"/>
            </w:pPr>
            <w:r w:rsidRPr="003D336B">
              <w:rPr>
                <w:color w:val="000000"/>
              </w:rPr>
              <w:t xml:space="preserve"> </w:t>
            </w:r>
          </w:p>
        </w:tc>
        <w:tc>
          <w:tcPr>
            <w:tcW w:w="1805" w:type="dxa"/>
            <w:tcBorders>
              <w:top w:val="single" w:sz="4" w:space="0" w:color="auto"/>
              <w:left w:val="single" w:sz="4" w:space="0" w:color="auto"/>
              <w:bottom w:val="single" w:sz="4" w:space="0" w:color="auto"/>
              <w:right w:val="single" w:sz="4" w:space="0" w:color="auto"/>
            </w:tcBorders>
          </w:tcPr>
          <w:p w14:paraId="5FC469EE" w14:textId="31C4734E" w:rsidR="003D336B" w:rsidRPr="003D336B" w:rsidRDefault="003D336B" w:rsidP="787E070B">
            <w:pPr>
              <w:spacing w:beforeAutospacing="1" w:afterAutospacing="1"/>
              <w:rPr>
                <w:color w:val="000000" w:themeColor="text1"/>
              </w:rPr>
            </w:pPr>
            <w:r w:rsidRPr="787E070B">
              <w:rPr>
                <w:color w:val="000000" w:themeColor="text1"/>
              </w:rPr>
              <w:t>Housing</w:t>
            </w:r>
            <w:r w:rsidR="006D1F77">
              <w:rPr>
                <w:color w:val="000000" w:themeColor="text1"/>
              </w:rPr>
              <w:t>-R</w:t>
            </w:r>
            <w:r w:rsidRPr="787E070B">
              <w:rPr>
                <w:color w:val="000000" w:themeColor="text1"/>
              </w:rPr>
              <w:t xml:space="preserve">elated </w:t>
            </w:r>
            <w:r w:rsidR="006D1F77">
              <w:rPr>
                <w:color w:val="000000" w:themeColor="text1"/>
              </w:rPr>
              <w:t>A</w:t>
            </w:r>
            <w:r w:rsidRPr="787E070B">
              <w:rPr>
                <w:color w:val="000000" w:themeColor="text1"/>
              </w:rPr>
              <w:t>ctivities</w:t>
            </w:r>
            <w:r w:rsidR="33547372" w:rsidRPr="098FA5AC">
              <w:rPr>
                <w:color w:val="000000" w:themeColor="text1"/>
              </w:rPr>
              <w:t>,</w:t>
            </w:r>
            <w:r>
              <w:br/>
            </w:r>
            <w:r w:rsidRPr="787E070B">
              <w:rPr>
                <w:color w:val="000000" w:themeColor="text1"/>
              </w:rPr>
              <w:t>Public Facilities</w:t>
            </w:r>
            <w:r w:rsidR="4DD1B085" w:rsidRPr="098FA5AC">
              <w:rPr>
                <w:color w:val="000000" w:themeColor="text1"/>
              </w:rPr>
              <w:t>,</w:t>
            </w:r>
            <w:r>
              <w:br/>
            </w:r>
            <w:r w:rsidRPr="787E070B">
              <w:rPr>
                <w:color w:val="000000" w:themeColor="text1"/>
              </w:rPr>
              <w:t>Public Infrastructure</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D20AC4D" w14:textId="7EBAC696" w:rsidR="003D336B" w:rsidRPr="003D336B" w:rsidRDefault="003D336B" w:rsidP="00E53512">
            <w:pPr>
              <w:spacing w:beforeAutospacing="1" w:afterAutospacing="1"/>
              <w:jc w:val="right"/>
            </w:pPr>
            <w:r w:rsidRPr="003D336B">
              <w:rPr>
                <w:color w:val="000000"/>
              </w:rPr>
              <w:t>CDBG: $</w:t>
            </w:r>
            <w:r w:rsidR="00DD179B">
              <w:rPr>
                <w:color w:val="000000"/>
              </w:rPr>
              <w:t>18,804,270</w:t>
            </w:r>
          </w:p>
        </w:tc>
        <w:tc>
          <w:tcPr>
            <w:tcW w:w="3213" w:type="dxa"/>
            <w:tcBorders>
              <w:top w:val="single" w:sz="4" w:space="0" w:color="auto"/>
              <w:left w:val="single" w:sz="4" w:space="0" w:color="auto"/>
              <w:bottom w:val="single" w:sz="4" w:space="0" w:color="auto"/>
              <w:right w:val="single" w:sz="4" w:space="0" w:color="auto"/>
            </w:tcBorders>
            <w:shd w:val="clear" w:color="auto" w:fill="FFFFFF" w:themeFill="background1"/>
          </w:tcPr>
          <w:p w14:paraId="397EBB79" w14:textId="5213EB20" w:rsidR="003D336B" w:rsidRPr="003D336B" w:rsidRDefault="003D336B" w:rsidP="00E53512">
            <w:pPr>
              <w:spacing w:beforeAutospacing="1" w:afterAutospacing="1"/>
            </w:pPr>
            <w:r w:rsidRPr="098FA5AC">
              <w:rPr>
                <w:color w:val="000000" w:themeColor="text1"/>
              </w:rPr>
              <w:t xml:space="preserve">Public Facility or Infrastructure Activities other than Low/Moderate Income Housing Benefit: </w:t>
            </w:r>
            <w:r w:rsidR="45A248EE" w:rsidRPr="098FA5AC">
              <w:rPr>
                <w:color w:val="000000" w:themeColor="text1"/>
              </w:rPr>
              <w:t>85</w:t>
            </w:r>
            <w:r w:rsidR="6936D73E" w:rsidRPr="098FA5AC">
              <w:rPr>
                <w:color w:val="000000" w:themeColor="text1"/>
              </w:rPr>
              <w:t>,</w:t>
            </w:r>
            <w:r w:rsidR="35F88D6A" w:rsidRPr="098FA5AC">
              <w:rPr>
                <w:color w:val="000000" w:themeColor="text1"/>
              </w:rPr>
              <w:t>000</w:t>
            </w:r>
            <w:r w:rsidRPr="098FA5AC">
              <w:rPr>
                <w:color w:val="000000" w:themeColor="text1"/>
              </w:rPr>
              <w:t xml:space="preserve"> Persons Assisted</w:t>
            </w:r>
            <w:r>
              <w:br/>
            </w:r>
            <w:r w:rsidRPr="098FA5AC">
              <w:rPr>
                <w:color w:val="000000" w:themeColor="text1"/>
              </w:rPr>
              <w:t xml:space="preserve">Public Facility or Infrastructure Activities for Low/Moderate Income Housing Benefit: </w:t>
            </w:r>
            <w:r w:rsidR="005345AC" w:rsidRPr="098FA5AC">
              <w:rPr>
                <w:color w:val="000000" w:themeColor="text1"/>
              </w:rPr>
              <w:t>120</w:t>
            </w:r>
            <w:r w:rsidRPr="098FA5AC">
              <w:rPr>
                <w:color w:val="000000" w:themeColor="text1"/>
              </w:rPr>
              <w:t xml:space="preserve"> Households Assisted</w:t>
            </w:r>
          </w:p>
        </w:tc>
      </w:tr>
      <w:tr w:rsidR="00C83593" w:rsidRPr="003D336B" w14:paraId="22B29086" w14:textId="77777777" w:rsidTr="098FA5AC">
        <w:trPr>
          <w:cantSplit/>
        </w:trPr>
        <w:tc>
          <w:tcPr>
            <w:tcW w:w="765" w:type="dxa"/>
            <w:tcBorders>
              <w:top w:val="single" w:sz="4" w:space="0" w:color="auto"/>
              <w:left w:val="single" w:sz="4" w:space="0" w:color="auto"/>
              <w:bottom w:val="single" w:sz="4" w:space="0" w:color="auto"/>
              <w:right w:val="single" w:sz="4" w:space="0" w:color="auto"/>
            </w:tcBorders>
          </w:tcPr>
          <w:p w14:paraId="46783A37" w14:textId="77777777" w:rsidR="003D336B" w:rsidRPr="003D336B" w:rsidRDefault="003D336B" w:rsidP="00E53512">
            <w:pPr>
              <w:spacing w:beforeAutospacing="1" w:afterAutospacing="1"/>
            </w:pPr>
            <w:r w:rsidRPr="003D336B">
              <w:rPr>
                <w:b/>
                <w:color w:val="000000"/>
              </w:rPr>
              <w:t>3</w:t>
            </w:r>
          </w:p>
        </w:tc>
        <w:tc>
          <w:tcPr>
            <w:tcW w:w="2462" w:type="dxa"/>
            <w:tcBorders>
              <w:top w:val="single" w:sz="4" w:space="0" w:color="auto"/>
              <w:left w:val="single" w:sz="4" w:space="0" w:color="auto"/>
              <w:bottom w:val="single" w:sz="4" w:space="0" w:color="auto"/>
              <w:right w:val="single" w:sz="4" w:space="0" w:color="auto"/>
            </w:tcBorders>
          </w:tcPr>
          <w:p w14:paraId="0D5E2853" w14:textId="7507A699" w:rsidR="003D336B" w:rsidRPr="003D336B" w:rsidRDefault="008972B1" w:rsidP="008972B1">
            <w:pPr>
              <w:spacing w:beforeAutospacing="1" w:afterAutospacing="1"/>
            </w:pPr>
            <w:r w:rsidRPr="008972B1">
              <w:rPr>
                <w:color w:val="000000"/>
              </w:rPr>
              <w:t>Public Facilities/Infrastructure/Public Service New Construction or Purchasing</w:t>
            </w:r>
          </w:p>
        </w:tc>
        <w:tc>
          <w:tcPr>
            <w:tcW w:w="735" w:type="dxa"/>
            <w:tcBorders>
              <w:top w:val="single" w:sz="4" w:space="0" w:color="auto"/>
              <w:left w:val="single" w:sz="4" w:space="0" w:color="auto"/>
              <w:bottom w:val="single" w:sz="4" w:space="0" w:color="auto"/>
              <w:right w:val="single" w:sz="4" w:space="0" w:color="auto"/>
            </w:tcBorders>
          </w:tcPr>
          <w:p w14:paraId="703DB18B" w14:textId="77777777" w:rsidR="003D336B" w:rsidRPr="003D336B" w:rsidRDefault="003D336B" w:rsidP="00E53512">
            <w:pPr>
              <w:spacing w:beforeAutospacing="1" w:afterAutospacing="1"/>
              <w:jc w:val="right"/>
            </w:pPr>
            <w:r w:rsidRPr="003D336B">
              <w:rPr>
                <w:color w:val="000000"/>
              </w:rPr>
              <w:t>2025</w:t>
            </w:r>
          </w:p>
        </w:tc>
        <w:tc>
          <w:tcPr>
            <w:tcW w:w="675" w:type="dxa"/>
            <w:tcBorders>
              <w:top w:val="single" w:sz="4" w:space="0" w:color="auto"/>
              <w:left w:val="single" w:sz="4" w:space="0" w:color="auto"/>
              <w:bottom w:val="single" w:sz="4" w:space="0" w:color="auto"/>
              <w:right w:val="single" w:sz="4" w:space="0" w:color="auto"/>
            </w:tcBorders>
          </w:tcPr>
          <w:p w14:paraId="09D126F2" w14:textId="77777777" w:rsidR="003D336B" w:rsidRPr="003D336B" w:rsidRDefault="003D336B" w:rsidP="00E53512">
            <w:pPr>
              <w:spacing w:beforeAutospacing="1" w:afterAutospacing="1"/>
              <w:jc w:val="right"/>
            </w:pPr>
            <w:r w:rsidRPr="003D336B">
              <w:rPr>
                <w:color w:val="000000"/>
              </w:rPr>
              <w:t>2029</w:t>
            </w:r>
          </w:p>
        </w:tc>
        <w:tc>
          <w:tcPr>
            <w:tcW w:w="1491" w:type="dxa"/>
            <w:tcBorders>
              <w:top w:val="single" w:sz="4" w:space="0" w:color="auto"/>
              <w:left w:val="single" w:sz="4" w:space="0" w:color="auto"/>
              <w:bottom w:val="single" w:sz="4" w:space="0" w:color="auto"/>
              <w:right w:val="single" w:sz="4" w:space="0" w:color="auto"/>
            </w:tcBorders>
          </w:tcPr>
          <w:p w14:paraId="37CFD8B9" w14:textId="650EDE08" w:rsidR="003D336B" w:rsidRPr="003D336B" w:rsidRDefault="003D336B" w:rsidP="00E53512">
            <w:pPr>
              <w:spacing w:beforeAutospacing="1" w:afterAutospacing="1"/>
            </w:pPr>
            <w:r w:rsidRPr="098FA5AC">
              <w:rPr>
                <w:color w:val="000000" w:themeColor="text1"/>
              </w:rPr>
              <w:t>Affordable Housing</w:t>
            </w:r>
            <w:r w:rsidR="26E579A5" w:rsidRPr="098FA5AC">
              <w:rPr>
                <w:color w:val="000000" w:themeColor="text1"/>
              </w:rPr>
              <w:t>,</w:t>
            </w:r>
            <w:r>
              <w:br/>
            </w:r>
            <w:r w:rsidRPr="098FA5AC">
              <w:rPr>
                <w:color w:val="000000" w:themeColor="text1"/>
              </w:rPr>
              <w:t>Non-Homeless</w:t>
            </w:r>
            <w:r w:rsidR="76B2DA7A" w:rsidRPr="098FA5AC">
              <w:rPr>
                <w:color w:val="000000" w:themeColor="text1"/>
              </w:rPr>
              <w:t>,</w:t>
            </w:r>
            <w:r w:rsidRPr="098FA5AC">
              <w:rPr>
                <w:color w:val="000000" w:themeColor="text1"/>
              </w:rPr>
              <w:t xml:space="preserve"> Special Needs</w:t>
            </w:r>
            <w:r w:rsidR="6D4D6044" w:rsidRPr="098FA5AC">
              <w:rPr>
                <w:color w:val="000000" w:themeColor="text1"/>
              </w:rPr>
              <w:t>,</w:t>
            </w:r>
            <w:r>
              <w:br/>
            </w:r>
            <w:r w:rsidRPr="098FA5AC">
              <w:rPr>
                <w:color w:val="000000" w:themeColor="text1"/>
              </w:rPr>
              <w:t>Non-Housing Community Development</w:t>
            </w:r>
          </w:p>
        </w:tc>
        <w:tc>
          <w:tcPr>
            <w:tcW w:w="1245" w:type="dxa"/>
            <w:tcBorders>
              <w:top w:val="single" w:sz="4" w:space="0" w:color="auto"/>
              <w:left w:val="single" w:sz="4" w:space="0" w:color="auto"/>
              <w:bottom w:val="single" w:sz="4" w:space="0" w:color="auto"/>
              <w:right w:val="single" w:sz="4" w:space="0" w:color="auto"/>
            </w:tcBorders>
          </w:tcPr>
          <w:p w14:paraId="3BB9FDA2" w14:textId="77777777" w:rsidR="003D336B" w:rsidRPr="003D336B" w:rsidRDefault="003D336B" w:rsidP="00E53512">
            <w:pPr>
              <w:spacing w:beforeAutospacing="1" w:afterAutospacing="1"/>
            </w:pPr>
            <w:r w:rsidRPr="003D336B">
              <w:rPr>
                <w:color w:val="000000"/>
              </w:rPr>
              <w:t xml:space="preserve"> </w:t>
            </w:r>
          </w:p>
        </w:tc>
        <w:tc>
          <w:tcPr>
            <w:tcW w:w="1805" w:type="dxa"/>
            <w:tcBorders>
              <w:top w:val="single" w:sz="4" w:space="0" w:color="auto"/>
              <w:left w:val="single" w:sz="4" w:space="0" w:color="auto"/>
              <w:bottom w:val="single" w:sz="4" w:space="0" w:color="auto"/>
              <w:right w:val="single" w:sz="4" w:space="0" w:color="auto"/>
            </w:tcBorders>
          </w:tcPr>
          <w:p w14:paraId="6944142E" w14:textId="1EC6D9B3" w:rsidR="003D336B" w:rsidRPr="003D336B" w:rsidRDefault="003D336B" w:rsidP="00E53512">
            <w:pPr>
              <w:spacing w:beforeAutospacing="1" w:afterAutospacing="1"/>
              <w:rPr>
                <w:color w:val="000000" w:themeColor="text1"/>
              </w:rPr>
            </w:pPr>
            <w:r w:rsidRPr="098FA5AC">
              <w:rPr>
                <w:color w:val="000000" w:themeColor="text1"/>
              </w:rPr>
              <w:t>Public Facilities</w:t>
            </w:r>
            <w:r w:rsidR="715E555E" w:rsidRPr="098FA5AC">
              <w:rPr>
                <w:color w:val="000000" w:themeColor="text1"/>
              </w:rPr>
              <w:t>,</w:t>
            </w:r>
            <w:r>
              <w:br/>
            </w:r>
            <w:r w:rsidRPr="098FA5AC">
              <w:rPr>
                <w:color w:val="000000" w:themeColor="text1"/>
              </w:rPr>
              <w:t>Public Infrastructure</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3C70ADD" w14:textId="364AD4D0" w:rsidR="003D336B" w:rsidRPr="003D336B" w:rsidRDefault="003D336B" w:rsidP="00E53512">
            <w:pPr>
              <w:spacing w:beforeAutospacing="1" w:afterAutospacing="1"/>
              <w:jc w:val="right"/>
            </w:pPr>
            <w:r w:rsidRPr="003D336B">
              <w:rPr>
                <w:color w:val="000000"/>
              </w:rPr>
              <w:t>CDBG: $</w:t>
            </w:r>
            <w:r w:rsidR="00DD179B">
              <w:rPr>
                <w:color w:val="000000"/>
              </w:rPr>
              <w:t>15,670,225</w:t>
            </w:r>
          </w:p>
        </w:tc>
        <w:tc>
          <w:tcPr>
            <w:tcW w:w="3213" w:type="dxa"/>
            <w:tcBorders>
              <w:top w:val="single" w:sz="4" w:space="0" w:color="auto"/>
              <w:left w:val="single" w:sz="4" w:space="0" w:color="auto"/>
              <w:bottom w:val="single" w:sz="4" w:space="0" w:color="auto"/>
              <w:right w:val="single" w:sz="4" w:space="0" w:color="auto"/>
            </w:tcBorders>
            <w:shd w:val="clear" w:color="auto" w:fill="FFFFFF" w:themeFill="background1"/>
          </w:tcPr>
          <w:p w14:paraId="35F8BE8A" w14:textId="0255468C" w:rsidR="003D336B" w:rsidRPr="003D336B" w:rsidRDefault="003D336B" w:rsidP="00E53512">
            <w:pPr>
              <w:spacing w:beforeAutospacing="1" w:afterAutospacing="1"/>
            </w:pPr>
            <w:r w:rsidRPr="003D336B">
              <w:rPr>
                <w:color w:val="000000"/>
              </w:rPr>
              <w:t xml:space="preserve">Public Facility or Infrastructure Activities other than Low/Moderate Income Housing Benefit: </w:t>
            </w:r>
            <w:r w:rsidR="005345AC">
              <w:rPr>
                <w:color w:val="000000"/>
              </w:rPr>
              <w:t>60000</w:t>
            </w:r>
            <w:r w:rsidRPr="003D336B">
              <w:rPr>
                <w:color w:val="000000"/>
              </w:rPr>
              <w:t xml:space="preserve"> Persons Assisted</w:t>
            </w:r>
            <w:r w:rsidRPr="003D336B">
              <w:rPr>
                <w:color w:val="000000"/>
              </w:rPr>
              <w:br/>
              <w:t xml:space="preserve">Public Facility or Infrastructure Activities for Low/Moderate Income Housing Benefit: </w:t>
            </w:r>
            <w:r w:rsidR="005345AC">
              <w:rPr>
                <w:color w:val="000000"/>
              </w:rPr>
              <w:t>60</w:t>
            </w:r>
            <w:r w:rsidRPr="003D336B">
              <w:rPr>
                <w:color w:val="000000"/>
              </w:rPr>
              <w:t xml:space="preserve"> Households Assisted</w:t>
            </w:r>
          </w:p>
        </w:tc>
      </w:tr>
      <w:tr w:rsidR="00C83593" w:rsidRPr="003D336B" w14:paraId="17990361" w14:textId="77777777" w:rsidTr="098FA5AC">
        <w:trPr>
          <w:cantSplit/>
        </w:trPr>
        <w:tc>
          <w:tcPr>
            <w:tcW w:w="765" w:type="dxa"/>
            <w:tcBorders>
              <w:top w:val="single" w:sz="4" w:space="0" w:color="auto"/>
              <w:left w:val="single" w:sz="4" w:space="0" w:color="auto"/>
              <w:bottom w:val="single" w:sz="4" w:space="0" w:color="auto"/>
              <w:right w:val="single" w:sz="4" w:space="0" w:color="auto"/>
            </w:tcBorders>
          </w:tcPr>
          <w:p w14:paraId="375F16BC" w14:textId="77777777" w:rsidR="003D336B" w:rsidRPr="003D336B" w:rsidRDefault="003D336B" w:rsidP="00E53512">
            <w:pPr>
              <w:spacing w:beforeAutospacing="1" w:afterAutospacing="1"/>
            </w:pPr>
            <w:r w:rsidRPr="003D336B">
              <w:rPr>
                <w:b/>
                <w:color w:val="000000"/>
              </w:rPr>
              <w:t>4</w:t>
            </w:r>
          </w:p>
        </w:tc>
        <w:tc>
          <w:tcPr>
            <w:tcW w:w="2462" w:type="dxa"/>
            <w:tcBorders>
              <w:top w:val="single" w:sz="4" w:space="0" w:color="auto"/>
              <w:left w:val="single" w:sz="4" w:space="0" w:color="auto"/>
              <w:bottom w:val="single" w:sz="4" w:space="0" w:color="auto"/>
              <w:right w:val="single" w:sz="4" w:space="0" w:color="auto"/>
            </w:tcBorders>
          </w:tcPr>
          <w:p w14:paraId="55F7EAA9" w14:textId="77777777" w:rsidR="003D336B" w:rsidRPr="003D336B" w:rsidRDefault="003D336B" w:rsidP="00E53512">
            <w:pPr>
              <w:spacing w:beforeAutospacing="1" w:afterAutospacing="1"/>
            </w:pPr>
            <w:r w:rsidRPr="003D336B">
              <w:rPr>
                <w:color w:val="000000"/>
              </w:rPr>
              <w:t>Economic Development-Job Creation</w:t>
            </w:r>
          </w:p>
        </w:tc>
        <w:tc>
          <w:tcPr>
            <w:tcW w:w="735" w:type="dxa"/>
            <w:tcBorders>
              <w:top w:val="single" w:sz="4" w:space="0" w:color="auto"/>
              <w:left w:val="single" w:sz="4" w:space="0" w:color="auto"/>
              <w:bottom w:val="single" w:sz="4" w:space="0" w:color="auto"/>
              <w:right w:val="single" w:sz="4" w:space="0" w:color="auto"/>
            </w:tcBorders>
          </w:tcPr>
          <w:p w14:paraId="22F2305C" w14:textId="77777777" w:rsidR="003D336B" w:rsidRPr="003D336B" w:rsidRDefault="003D336B" w:rsidP="00E53512">
            <w:pPr>
              <w:spacing w:beforeAutospacing="1" w:afterAutospacing="1"/>
              <w:jc w:val="right"/>
            </w:pPr>
            <w:r w:rsidRPr="003D336B">
              <w:rPr>
                <w:color w:val="000000"/>
              </w:rPr>
              <w:t>2025</w:t>
            </w:r>
          </w:p>
        </w:tc>
        <w:tc>
          <w:tcPr>
            <w:tcW w:w="675" w:type="dxa"/>
            <w:tcBorders>
              <w:top w:val="single" w:sz="4" w:space="0" w:color="auto"/>
              <w:left w:val="single" w:sz="4" w:space="0" w:color="auto"/>
              <w:bottom w:val="single" w:sz="4" w:space="0" w:color="auto"/>
              <w:right w:val="single" w:sz="4" w:space="0" w:color="auto"/>
            </w:tcBorders>
          </w:tcPr>
          <w:p w14:paraId="40360087" w14:textId="77777777" w:rsidR="003D336B" w:rsidRPr="003D336B" w:rsidRDefault="003D336B" w:rsidP="00E53512">
            <w:pPr>
              <w:spacing w:beforeAutospacing="1" w:afterAutospacing="1"/>
              <w:jc w:val="right"/>
            </w:pPr>
            <w:r w:rsidRPr="003D336B">
              <w:rPr>
                <w:color w:val="000000"/>
              </w:rPr>
              <w:t>2029</w:t>
            </w:r>
          </w:p>
        </w:tc>
        <w:tc>
          <w:tcPr>
            <w:tcW w:w="1491" w:type="dxa"/>
            <w:tcBorders>
              <w:top w:val="single" w:sz="4" w:space="0" w:color="auto"/>
              <w:left w:val="single" w:sz="4" w:space="0" w:color="auto"/>
              <w:bottom w:val="single" w:sz="4" w:space="0" w:color="auto"/>
              <w:right w:val="single" w:sz="4" w:space="0" w:color="auto"/>
            </w:tcBorders>
          </w:tcPr>
          <w:p w14:paraId="72BF2357" w14:textId="77777777" w:rsidR="003D336B" w:rsidRPr="003D336B" w:rsidRDefault="003D336B" w:rsidP="00E53512">
            <w:pPr>
              <w:spacing w:beforeAutospacing="1" w:afterAutospacing="1"/>
            </w:pPr>
            <w:r w:rsidRPr="003D336B">
              <w:rPr>
                <w:color w:val="000000"/>
              </w:rPr>
              <w:t>Non-Housing Community Development</w:t>
            </w:r>
          </w:p>
        </w:tc>
        <w:tc>
          <w:tcPr>
            <w:tcW w:w="1245" w:type="dxa"/>
            <w:tcBorders>
              <w:top w:val="single" w:sz="4" w:space="0" w:color="auto"/>
              <w:left w:val="single" w:sz="4" w:space="0" w:color="auto"/>
              <w:bottom w:val="single" w:sz="4" w:space="0" w:color="auto"/>
              <w:right w:val="single" w:sz="4" w:space="0" w:color="auto"/>
            </w:tcBorders>
          </w:tcPr>
          <w:p w14:paraId="29BBBAD1" w14:textId="77777777" w:rsidR="003D336B" w:rsidRPr="003D336B" w:rsidRDefault="003D336B" w:rsidP="00E53512">
            <w:pPr>
              <w:spacing w:beforeAutospacing="1" w:afterAutospacing="1"/>
            </w:pPr>
            <w:r w:rsidRPr="003D336B">
              <w:rPr>
                <w:color w:val="000000"/>
              </w:rPr>
              <w:t xml:space="preserve"> </w:t>
            </w:r>
          </w:p>
        </w:tc>
        <w:tc>
          <w:tcPr>
            <w:tcW w:w="1805" w:type="dxa"/>
            <w:tcBorders>
              <w:top w:val="single" w:sz="4" w:space="0" w:color="auto"/>
              <w:left w:val="single" w:sz="4" w:space="0" w:color="auto"/>
              <w:bottom w:val="single" w:sz="4" w:space="0" w:color="auto"/>
              <w:right w:val="single" w:sz="4" w:space="0" w:color="auto"/>
            </w:tcBorders>
          </w:tcPr>
          <w:p w14:paraId="21FAA14B" w14:textId="77777777" w:rsidR="003D336B" w:rsidRPr="003D336B" w:rsidRDefault="003D336B" w:rsidP="00E53512">
            <w:pPr>
              <w:spacing w:beforeAutospacing="1" w:afterAutospacing="1"/>
            </w:pPr>
            <w:r w:rsidRPr="003D336B">
              <w:rPr>
                <w:color w:val="000000"/>
              </w:rPr>
              <w:t>Economic Development</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270A8B05" w14:textId="06F4C958" w:rsidR="003D336B" w:rsidRPr="003D336B" w:rsidRDefault="003D336B" w:rsidP="00E53512">
            <w:pPr>
              <w:spacing w:beforeAutospacing="1" w:afterAutospacing="1"/>
              <w:jc w:val="right"/>
            </w:pPr>
            <w:r w:rsidRPr="003D336B">
              <w:rPr>
                <w:color w:val="000000"/>
              </w:rPr>
              <w:t>CDBG: $</w:t>
            </w:r>
            <w:r w:rsidR="005345AC">
              <w:rPr>
                <w:color w:val="000000"/>
              </w:rPr>
              <w:t>6,268,090</w:t>
            </w:r>
          </w:p>
        </w:tc>
        <w:tc>
          <w:tcPr>
            <w:tcW w:w="3213" w:type="dxa"/>
            <w:tcBorders>
              <w:top w:val="single" w:sz="4" w:space="0" w:color="auto"/>
              <w:left w:val="single" w:sz="4" w:space="0" w:color="auto"/>
              <w:bottom w:val="single" w:sz="4" w:space="0" w:color="auto"/>
              <w:right w:val="single" w:sz="4" w:space="0" w:color="auto"/>
            </w:tcBorders>
            <w:shd w:val="clear" w:color="auto" w:fill="FFFFFF" w:themeFill="background1"/>
          </w:tcPr>
          <w:p w14:paraId="5A841150" w14:textId="139EA13B" w:rsidR="003D336B" w:rsidRPr="003D336B" w:rsidRDefault="003D336B" w:rsidP="00E53512">
            <w:pPr>
              <w:spacing w:beforeAutospacing="1" w:afterAutospacing="1"/>
            </w:pPr>
            <w:r w:rsidRPr="003D336B">
              <w:rPr>
                <w:color w:val="000000"/>
              </w:rPr>
              <w:t xml:space="preserve">Jobs created/retained: </w:t>
            </w:r>
            <w:r w:rsidR="005345AC">
              <w:rPr>
                <w:color w:val="000000"/>
              </w:rPr>
              <w:t>250</w:t>
            </w:r>
            <w:r w:rsidRPr="003D336B">
              <w:rPr>
                <w:color w:val="000000"/>
              </w:rPr>
              <w:t xml:space="preserve"> Jobs</w:t>
            </w:r>
            <w:r w:rsidRPr="003D336B">
              <w:rPr>
                <w:color w:val="000000"/>
              </w:rPr>
              <w:br/>
              <w:t xml:space="preserve">Businesses assisted: </w:t>
            </w:r>
            <w:r w:rsidR="005345AC">
              <w:rPr>
                <w:color w:val="000000"/>
              </w:rPr>
              <w:t>5</w:t>
            </w:r>
            <w:r w:rsidRPr="003D336B">
              <w:rPr>
                <w:color w:val="000000"/>
              </w:rPr>
              <w:t xml:space="preserve"> Businesses Assisted</w:t>
            </w:r>
          </w:p>
        </w:tc>
      </w:tr>
      <w:tr w:rsidR="00C83593" w:rsidRPr="003D336B" w14:paraId="28DABA8B" w14:textId="77777777" w:rsidTr="098FA5AC">
        <w:trPr>
          <w:cantSplit/>
          <w:trHeight w:val="998"/>
        </w:trPr>
        <w:tc>
          <w:tcPr>
            <w:tcW w:w="765" w:type="dxa"/>
            <w:tcBorders>
              <w:top w:val="single" w:sz="4" w:space="0" w:color="auto"/>
              <w:left w:val="single" w:sz="4" w:space="0" w:color="auto"/>
              <w:bottom w:val="single" w:sz="4" w:space="0" w:color="auto"/>
              <w:right w:val="single" w:sz="4" w:space="0" w:color="auto"/>
            </w:tcBorders>
          </w:tcPr>
          <w:p w14:paraId="6423677E" w14:textId="77777777" w:rsidR="003D336B" w:rsidRPr="003D336B" w:rsidRDefault="003D336B" w:rsidP="00E53512">
            <w:pPr>
              <w:spacing w:beforeAutospacing="1" w:afterAutospacing="1"/>
            </w:pPr>
            <w:r w:rsidRPr="003D336B">
              <w:rPr>
                <w:b/>
                <w:color w:val="000000"/>
              </w:rPr>
              <w:t>5</w:t>
            </w:r>
          </w:p>
        </w:tc>
        <w:tc>
          <w:tcPr>
            <w:tcW w:w="2462" w:type="dxa"/>
            <w:tcBorders>
              <w:top w:val="single" w:sz="4" w:space="0" w:color="auto"/>
              <w:left w:val="single" w:sz="4" w:space="0" w:color="auto"/>
              <w:bottom w:val="single" w:sz="4" w:space="0" w:color="auto"/>
              <w:right w:val="single" w:sz="4" w:space="0" w:color="auto"/>
            </w:tcBorders>
          </w:tcPr>
          <w:p w14:paraId="3D464303" w14:textId="77777777" w:rsidR="003D336B" w:rsidRPr="003D336B" w:rsidRDefault="003D336B" w:rsidP="00E53512">
            <w:pPr>
              <w:spacing w:beforeAutospacing="1" w:afterAutospacing="1"/>
            </w:pPr>
            <w:r w:rsidRPr="003D336B">
              <w:rPr>
                <w:color w:val="000000"/>
              </w:rPr>
              <w:t>Economic Development-Downtown Revitalization</w:t>
            </w:r>
          </w:p>
        </w:tc>
        <w:tc>
          <w:tcPr>
            <w:tcW w:w="735" w:type="dxa"/>
            <w:tcBorders>
              <w:top w:val="single" w:sz="4" w:space="0" w:color="auto"/>
              <w:left w:val="single" w:sz="4" w:space="0" w:color="auto"/>
              <w:bottom w:val="single" w:sz="4" w:space="0" w:color="auto"/>
              <w:right w:val="single" w:sz="4" w:space="0" w:color="auto"/>
            </w:tcBorders>
          </w:tcPr>
          <w:p w14:paraId="4B8595B1" w14:textId="77777777" w:rsidR="003D336B" w:rsidRPr="003D336B" w:rsidRDefault="003D336B" w:rsidP="00E53512">
            <w:pPr>
              <w:spacing w:beforeAutospacing="1" w:afterAutospacing="1"/>
              <w:jc w:val="right"/>
            </w:pPr>
            <w:r w:rsidRPr="003D336B">
              <w:rPr>
                <w:color w:val="000000"/>
              </w:rPr>
              <w:t>2025</w:t>
            </w:r>
          </w:p>
        </w:tc>
        <w:tc>
          <w:tcPr>
            <w:tcW w:w="675" w:type="dxa"/>
            <w:tcBorders>
              <w:top w:val="single" w:sz="4" w:space="0" w:color="auto"/>
              <w:left w:val="single" w:sz="4" w:space="0" w:color="auto"/>
              <w:bottom w:val="single" w:sz="4" w:space="0" w:color="auto"/>
              <w:right w:val="single" w:sz="4" w:space="0" w:color="auto"/>
            </w:tcBorders>
          </w:tcPr>
          <w:p w14:paraId="5ECC8BB4" w14:textId="77777777" w:rsidR="003D336B" w:rsidRPr="003D336B" w:rsidRDefault="003D336B" w:rsidP="00E53512">
            <w:pPr>
              <w:spacing w:beforeAutospacing="1" w:afterAutospacing="1"/>
              <w:jc w:val="right"/>
            </w:pPr>
            <w:r w:rsidRPr="003D336B">
              <w:rPr>
                <w:color w:val="000000"/>
              </w:rPr>
              <w:t>2029</w:t>
            </w:r>
          </w:p>
        </w:tc>
        <w:tc>
          <w:tcPr>
            <w:tcW w:w="1491" w:type="dxa"/>
            <w:tcBorders>
              <w:top w:val="single" w:sz="4" w:space="0" w:color="auto"/>
              <w:left w:val="single" w:sz="4" w:space="0" w:color="auto"/>
              <w:bottom w:val="single" w:sz="4" w:space="0" w:color="auto"/>
              <w:right w:val="single" w:sz="4" w:space="0" w:color="auto"/>
            </w:tcBorders>
          </w:tcPr>
          <w:p w14:paraId="68186183" w14:textId="77777777" w:rsidR="003D336B" w:rsidRPr="003D336B" w:rsidRDefault="003D336B" w:rsidP="00E53512">
            <w:pPr>
              <w:spacing w:beforeAutospacing="1" w:afterAutospacing="1"/>
            </w:pPr>
            <w:r w:rsidRPr="003D336B">
              <w:rPr>
                <w:color w:val="000000"/>
              </w:rPr>
              <w:t>Non-Housing Community Development</w:t>
            </w:r>
          </w:p>
        </w:tc>
        <w:tc>
          <w:tcPr>
            <w:tcW w:w="1245" w:type="dxa"/>
            <w:tcBorders>
              <w:top w:val="single" w:sz="4" w:space="0" w:color="auto"/>
              <w:left w:val="single" w:sz="4" w:space="0" w:color="auto"/>
              <w:bottom w:val="single" w:sz="4" w:space="0" w:color="auto"/>
              <w:right w:val="single" w:sz="4" w:space="0" w:color="auto"/>
            </w:tcBorders>
          </w:tcPr>
          <w:p w14:paraId="0A61D8BA" w14:textId="77777777" w:rsidR="003D336B" w:rsidRPr="003D336B" w:rsidRDefault="003D336B" w:rsidP="00E53512">
            <w:pPr>
              <w:spacing w:beforeAutospacing="1" w:afterAutospacing="1"/>
            </w:pPr>
            <w:r w:rsidRPr="003D336B">
              <w:rPr>
                <w:color w:val="000000"/>
              </w:rPr>
              <w:t xml:space="preserve"> </w:t>
            </w:r>
          </w:p>
        </w:tc>
        <w:tc>
          <w:tcPr>
            <w:tcW w:w="1805" w:type="dxa"/>
            <w:tcBorders>
              <w:top w:val="single" w:sz="4" w:space="0" w:color="auto"/>
              <w:left w:val="single" w:sz="4" w:space="0" w:color="auto"/>
              <w:bottom w:val="single" w:sz="4" w:space="0" w:color="auto"/>
              <w:right w:val="single" w:sz="4" w:space="0" w:color="auto"/>
            </w:tcBorders>
          </w:tcPr>
          <w:p w14:paraId="66C40DE4" w14:textId="77777777" w:rsidR="003D336B" w:rsidRPr="003D336B" w:rsidRDefault="003D336B" w:rsidP="00E53512">
            <w:pPr>
              <w:spacing w:beforeAutospacing="1" w:afterAutospacing="1"/>
            </w:pPr>
            <w:r w:rsidRPr="003D336B">
              <w:rPr>
                <w:color w:val="000000"/>
              </w:rPr>
              <w:t>Cleanup of blighted properties</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A55D81F" w14:textId="107E4161" w:rsidR="003D336B" w:rsidRPr="003D336B" w:rsidRDefault="003D336B" w:rsidP="00E53512">
            <w:pPr>
              <w:spacing w:beforeAutospacing="1" w:afterAutospacing="1"/>
              <w:jc w:val="right"/>
            </w:pPr>
            <w:r w:rsidRPr="003D336B">
              <w:rPr>
                <w:color w:val="000000"/>
              </w:rPr>
              <w:t xml:space="preserve">CDBG: </w:t>
            </w:r>
            <w:r w:rsidR="00DD179B" w:rsidRPr="003D336B">
              <w:rPr>
                <w:color w:val="000000"/>
              </w:rPr>
              <w:t>$</w:t>
            </w:r>
            <w:r w:rsidR="00DD179B">
              <w:rPr>
                <w:color w:val="000000"/>
              </w:rPr>
              <w:t>6,268,090</w:t>
            </w:r>
          </w:p>
        </w:tc>
        <w:tc>
          <w:tcPr>
            <w:tcW w:w="3213" w:type="dxa"/>
            <w:tcBorders>
              <w:top w:val="single" w:sz="4" w:space="0" w:color="auto"/>
              <w:left w:val="single" w:sz="4" w:space="0" w:color="auto"/>
              <w:bottom w:val="single" w:sz="4" w:space="0" w:color="auto"/>
              <w:right w:val="single" w:sz="4" w:space="0" w:color="auto"/>
            </w:tcBorders>
            <w:shd w:val="clear" w:color="auto" w:fill="FFFFFF" w:themeFill="background1"/>
          </w:tcPr>
          <w:p w14:paraId="1A50CD25" w14:textId="27786A8D" w:rsidR="003D336B" w:rsidRPr="003D336B" w:rsidRDefault="003D336B" w:rsidP="787E070B">
            <w:pPr>
              <w:spacing w:beforeAutospacing="1" w:afterAutospacing="1"/>
              <w:rPr>
                <w:color w:val="000000" w:themeColor="text1"/>
              </w:rPr>
            </w:pPr>
            <w:r w:rsidRPr="787E070B">
              <w:rPr>
                <w:color w:val="000000" w:themeColor="text1"/>
              </w:rPr>
              <w:t xml:space="preserve">Other: </w:t>
            </w:r>
            <w:r w:rsidR="005345AC" w:rsidRPr="787E070B">
              <w:rPr>
                <w:color w:val="000000" w:themeColor="text1"/>
              </w:rPr>
              <w:t>10</w:t>
            </w:r>
            <w:r w:rsidRPr="787E070B">
              <w:rPr>
                <w:color w:val="000000" w:themeColor="text1"/>
              </w:rPr>
              <w:t xml:space="preserve"> Other</w:t>
            </w:r>
            <w:r w:rsidR="00D145DA">
              <w:rPr>
                <w:color w:val="000000" w:themeColor="text1"/>
              </w:rPr>
              <w:t xml:space="preserve"> Properties</w:t>
            </w:r>
          </w:p>
        </w:tc>
      </w:tr>
      <w:tr w:rsidR="00C83593" w:rsidRPr="003D336B" w14:paraId="2CF0076C" w14:textId="77777777" w:rsidTr="098FA5AC">
        <w:trPr>
          <w:cantSplit/>
        </w:trPr>
        <w:tc>
          <w:tcPr>
            <w:tcW w:w="765" w:type="dxa"/>
            <w:tcBorders>
              <w:top w:val="single" w:sz="4" w:space="0" w:color="auto"/>
              <w:left w:val="single" w:sz="4" w:space="0" w:color="auto"/>
              <w:bottom w:val="single" w:sz="4" w:space="0" w:color="auto"/>
              <w:right w:val="single" w:sz="4" w:space="0" w:color="auto"/>
            </w:tcBorders>
          </w:tcPr>
          <w:p w14:paraId="6A331F84" w14:textId="77777777" w:rsidR="003D336B" w:rsidRPr="003D336B" w:rsidRDefault="003D336B" w:rsidP="00E53512">
            <w:pPr>
              <w:spacing w:beforeAutospacing="1" w:afterAutospacing="1"/>
            </w:pPr>
            <w:r w:rsidRPr="003D336B">
              <w:rPr>
                <w:b/>
                <w:color w:val="000000"/>
              </w:rPr>
              <w:lastRenderedPageBreak/>
              <w:t>6</w:t>
            </w:r>
          </w:p>
        </w:tc>
        <w:tc>
          <w:tcPr>
            <w:tcW w:w="2462" w:type="dxa"/>
            <w:tcBorders>
              <w:top w:val="single" w:sz="4" w:space="0" w:color="auto"/>
              <w:left w:val="single" w:sz="4" w:space="0" w:color="auto"/>
              <w:bottom w:val="single" w:sz="4" w:space="0" w:color="auto"/>
              <w:right w:val="single" w:sz="4" w:space="0" w:color="auto"/>
            </w:tcBorders>
          </w:tcPr>
          <w:p w14:paraId="464CED8F" w14:textId="77777777" w:rsidR="003D336B" w:rsidRPr="003D336B" w:rsidRDefault="003D336B" w:rsidP="00E53512">
            <w:pPr>
              <w:spacing w:beforeAutospacing="1" w:afterAutospacing="1"/>
              <w:rPr>
                <w:color w:val="000000"/>
              </w:rPr>
            </w:pPr>
            <w:r w:rsidRPr="003D336B">
              <w:rPr>
                <w:color w:val="000000"/>
              </w:rPr>
              <w:t>Provide Suitable Living Environment</w:t>
            </w:r>
          </w:p>
          <w:p w14:paraId="1042624A" w14:textId="77777777" w:rsidR="003D336B" w:rsidRPr="003D336B" w:rsidRDefault="003D336B" w:rsidP="00E53512">
            <w:pPr>
              <w:spacing w:before="100" w:beforeAutospacing="1" w:after="100" w:afterAutospacing="1"/>
              <w:rPr>
                <w:i/>
                <w:iCs/>
              </w:rPr>
            </w:pPr>
          </w:p>
        </w:tc>
        <w:tc>
          <w:tcPr>
            <w:tcW w:w="735" w:type="dxa"/>
            <w:tcBorders>
              <w:top w:val="single" w:sz="4" w:space="0" w:color="auto"/>
              <w:left w:val="single" w:sz="4" w:space="0" w:color="auto"/>
              <w:bottom w:val="single" w:sz="4" w:space="0" w:color="auto"/>
              <w:right w:val="single" w:sz="4" w:space="0" w:color="auto"/>
            </w:tcBorders>
          </w:tcPr>
          <w:p w14:paraId="5DC17477" w14:textId="77777777" w:rsidR="003D336B" w:rsidRPr="003D336B" w:rsidRDefault="003D336B" w:rsidP="00E53512">
            <w:pPr>
              <w:spacing w:beforeAutospacing="1" w:afterAutospacing="1"/>
              <w:jc w:val="right"/>
            </w:pPr>
            <w:r w:rsidRPr="003D336B">
              <w:rPr>
                <w:color w:val="000000"/>
              </w:rPr>
              <w:t>2025</w:t>
            </w:r>
          </w:p>
        </w:tc>
        <w:tc>
          <w:tcPr>
            <w:tcW w:w="675" w:type="dxa"/>
            <w:tcBorders>
              <w:top w:val="single" w:sz="4" w:space="0" w:color="auto"/>
              <w:left w:val="single" w:sz="4" w:space="0" w:color="auto"/>
              <w:bottom w:val="single" w:sz="4" w:space="0" w:color="auto"/>
              <w:right w:val="single" w:sz="4" w:space="0" w:color="auto"/>
            </w:tcBorders>
          </w:tcPr>
          <w:p w14:paraId="619DF349" w14:textId="77777777" w:rsidR="003D336B" w:rsidRPr="003D336B" w:rsidRDefault="003D336B" w:rsidP="00E53512">
            <w:pPr>
              <w:spacing w:beforeAutospacing="1" w:afterAutospacing="1"/>
              <w:jc w:val="right"/>
            </w:pPr>
            <w:r w:rsidRPr="003D336B">
              <w:rPr>
                <w:color w:val="000000"/>
              </w:rPr>
              <w:t>2029</w:t>
            </w:r>
          </w:p>
        </w:tc>
        <w:tc>
          <w:tcPr>
            <w:tcW w:w="1491" w:type="dxa"/>
            <w:tcBorders>
              <w:top w:val="single" w:sz="4" w:space="0" w:color="auto"/>
              <w:left w:val="single" w:sz="4" w:space="0" w:color="auto"/>
              <w:bottom w:val="single" w:sz="4" w:space="0" w:color="auto"/>
              <w:right w:val="single" w:sz="4" w:space="0" w:color="auto"/>
            </w:tcBorders>
          </w:tcPr>
          <w:p w14:paraId="038B339B" w14:textId="77777777" w:rsidR="003D336B" w:rsidRPr="003D336B" w:rsidRDefault="003D336B" w:rsidP="00E53512">
            <w:pPr>
              <w:spacing w:beforeAutospacing="1" w:afterAutospacing="1"/>
            </w:pPr>
            <w:r w:rsidRPr="003D336B">
              <w:rPr>
                <w:color w:val="000000"/>
              </w:rPr>
              <w:t>Homeless</w:t>
            </w:r>
          </w:p>
        </w:tc>
        <w:tc>
          <w:tcPr>
            <w:tcW w:w="1245" w:type="dxa"/>
            <w:tcBorders>
              <w:top w:val="single" w:sz="4" w:space="0" w:color="auto"/>
              <w:left w:val="single" w:sz="4" w:space="0" w:color="auto"/>
              <w:bottom w:val="single" w:sz="4" w:space="0" w:color="auto"/>
              <w:right w:val="single" w:sz="4" w:space="0" w:color="auto"/>
            </w:tcBorders>
          </w:tcPr>
          <w:p w14:paraId="0E476CFF" w14:textId="77777777" w:rsidR="003D336B" w:rsidRPr="003D336B" w:rsidRDefault="003D336B" w:rsidP="00E53512">
            <w:pPr>
              <w:spacing w:beforeAutospacing="1" w:afterAutospacing="1"/>
            </w:pPr>
            <w:r w:rsidRPr="003D336B">
              <w:rPr>
                <w:color w:val="000000"/>
              </w:rPr>
              <w:t xml:space="preserve"> </w:t>
            </w:r>
          </w:p>
        </w:tc>
        <w:tc>
          <w:tcPr>
            <w:tcW w:w="1805" w:type="dxa"/>
            <w:tcBorders>
              <w:top w:val="single" w:sz="4" w:space="0" w:color="auto"/>
              <w:left w:val="single" w:sz="4" w:space="0" w:color="auto"/>
              <w:bottom w:val="single" w:sz="4" w:space="0" w:color="auto"/>
              <w:right w:val="single" w:sz="4" w:space="0" w:color="auto"/>
            </w:tcBorders>
          </w:tcPr>
          <w:p w14:paraId="652D2224" w14:textId="45BBC791" w:rsidR="003D336B" w:rsidRPr="003D336B" w:rsidRDefault="003D336B" w:rsidP="00E53512">
            <w:pPr>
              <w:spacing w:beforeAutospacing="1" w:afterAutospacing="1"/>
            </w:pPr>
            <w:r w:rsidRPr="098FA5AC">
              <w:rPr>
                <w:color w:val="000000" w:themeColor="text1"/>
              </w:rPr>
              <w:t>Homeless Shelter Operations &amp; Prevention</w:t>
            </w:r>
            <w:r w:rsidR="026956AB" w:rsidRPr="098FA5AC">
              <w:rPr>
                <w:color w:val="000000" w:themeColor="text1"/>
              </w:rPr>
              <w:t>,</w:t>
            </w:r>
            <w:r>
              <w:br/>
            </w:r>
            <w:r w:rsidRPr="098FA5AC">
              <w:rPr>
                <w:color w:val="000000" w:themeColor="text1"/>
              </w:rPr>
              <w:t>Housing related activities</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0F839F11" w14:textId="6212A6BD" w:rsidR="003D336B" w:rsidRPr="003D336B" w:rsidRDefault="003D336B" w:rsidP="00E53512">
            <w:pPr>
              <w:spacing w:beforeAutospacing="1" w:afterAutospacing="1"/>
              <w:jc w:val="right"/>
            </w:pPr>
            <w:r w:rsidRPr="003D336B">
              <w:rPr>
                <w:color w:val="000000"/>
              </w:rPr>
              <w:t>ESG: $</w:t>
            </w:r>
            <w:r w:rsidR="005345AC">
              <w:rPr>
                <w:color w:val="000000"/>
              </w:rPr>
              <w:t>5,585,330</w:t>
            </w:r>
            <w:r w:rsidRPr="003D336B">
              <w:rPr>
                <w:color w:val="000000"/>
              </w:rPr>
              <w:br/>
              <w:t>Continuum of Care: $</w:t>
            </w:r>
            <w:r w:rsidR="005345AC">
              <w:rPr>
                <w:color w:val="000000"/>
              </w:rPr>
              <w:t>20,254,660</w:t>
            </w:r>
            <w:r w:rsidRPr="003D336B">
              <w:rPr>
                <w:color w:val="000000"/>
              </w:rPr>
              <w:br/>
              <w:t>ESG Match: $</w:t>
            </w:r>
            <w:r w:rsidR="005345AC">
              <w:rPr>
                <w:color w:val="000000"/>
              </w:rPr>
              <w:t>5,585,330</w:t>
            </w:r>
            <w:r w:rsidRPr="003D336B">
              <w:rPr>
                <w:color w:val="000000"/>
              </w:rPr>
              <w:br/>
            </w:r>
          </w:p>
        </w:tc>
        <w:tc>
          <w:tcPr>
            <w:tcW w:w="3213" w:type="dxa"/>
            <w:tcBorders>
              <w:top w:val="single" w:sz="4" w:space="0" w:color="auto"/>
              <w:left w:val="single" w:sz="4" w:space="0" w:color="auto"/>
              <w:bottom w:val="single" w:sz="4" w:space="0" w:color="auto"/>
              <w:right w:val="single" w:sz="4" w:space="0" w:color="auto"/>
            </w:tcBorders>
            <w:shd w:val="clear" w:color="auto" w:fill="FFFFFF" w:themeFill="background1"/>
          </w:tcPr>
          <w:p w14:paraId="4779F670" w14:textId="0F7F60B1" w:rsidR="003D336B" w:rsidRPr="003D336B" w:rsidRDefault="003D336B" w:rsidP="00E53512">
            <w:pPr>
              <w:spacing w:beforeAutospacing="1" w:afterAutospacing="1"/>
            </w:pPr>
            <w:r w:rsidRPr="003D336B">
              <w:rPr>
                <w:color w:val="000000"/>
              </w:rPr>
              <w:t xml:space="preserve">Tenant-based rental assistance / Rapid Rehousing: </w:t>
            </w:r>
            <w:r w:rsidR="005345AC">
              <w:rPr>
                <w:color w:val="000000"/>
              </w:rPr>
              <w:t xml:space="preserve">1100 </w:t>
            </w:r>
            <w:r w:rsidRPr="003D336B">
              <w:rPr>
                <w:color w:val="000000"/>
              </w:rPr>
              <w:t xml:space="preserve">Households Assisted Overnight/Emergency Shelter/Transitional Housing Beds added: </w:t>
            </w:r>
            <w:r w:rsidR="005345AC">
              <w:rPr>
                <w:color w:val="000000"/>
              </w:rPr>
              <w:t>6525</w:t>
            </w:r>
            <w:r w:rsidRPr="003D336B">
              <w:rPr>
                <w:color w:val="000000"/>
              </w:rPr>
              <w:t xml:space="preserve"> Beds Homelessness Prevention: </w:t>
            </w:r>
            <w:r w:rsidR="005345AC">
              <w:rPr>
                <w:color w:val="000000"/>
              </w:rPr>
              <w:t xml:space="preserve">2500 </w:t>
            </w:r>
            <w:r w:rsidRPr="003D336B">
              <w:rPr>
                <w:color w:val="000000"/>
              </w:rPr>
              <w:t>Persons Assisted</w:t>
            </w:r>
          </w:p>
        </w:tc>
      </w:tr>
      <w:tr w:rsidR="00C83593" w14:paraId="43F3FEE3" w14:textId="77777777" w:rsidTr="098FA5AC">
        <w:trPr>
          <w:cantSplit/>
        </w:trPr>
        <w:tc>
          <w:tcPr>
            <w:tcW w:w="765" w:type="dxa"/>
            <w:tcBorders>
              <w:top w:val="single" w:sz="4" w:space="0" w:color="auto"/>
              <w:left w:val="single" w:sz="4" w:space="0" w:color="auto"/>
              <w:bottom w:val="single" w:sz="4" w:space="0" w:color="auto"/>
              <w:right w:val="single" w:sz="4" w:space="0" w:color="auto"/>
            </w:tcBorders>
          </w:tcPr>
          <w:p w14:paraId="0F5980D2" w14:textId="77777777" w:rsidR="003D336B" w:rsidRPr="003D336B" w:rsidRDefault="003D336B" w:rsidP="00E53512">
            <w:pPr>
              <w:spacing w:beforeAutospacing="1" w:afterAutospacing="1"/>
            </w:pPr>
            <w:r w:rsidRPr="003D336B">
              <w:rPr>
                <w:b/>
                <w:color w:val="000000"/>
              </w:rPr>
              <w:t>7</w:t>
            </w:r>
          </w:p>
        </w:tc>
        <w:tc>
          <w:tcPr>
            <w:tcW w:w="2462" w:type="dxa"/>
            <w:tcBorders>
              <w:top w:val="single" w:sz="4" w:space="0" w:color="auto"/>
              <w:left w:val="single" w:sz="4" w:space="0" w:color="auto"/>
              <w:bottom w:val="single" w:sz="4" w:space="0" w:color="auto"/>
              <w:right w:val="single" w:sz="4" w:space="0" w:color="auto"/>
            </w:tcBorders>
          </w:tcPr>
          <w:p w14:paraId="77AFAFCF" w14:textId="77777777" w:rsidR="003D336B" w:rsidRPr="003D336B" w:rsidRDefault="003D336B" w:rsidP="00E53512">
            <w:pPr>
              <w:spacing w:beforeAutospacing="1" w:afterAutospacing="1"/>
              <w:rPr>
                <w:color w:val="000000"/>
              </w:rPr>
            </w:pPr>
            <w:r w:rsidRPr="003D336B">
              <w:rPr>
                <w:color w:val="000000"/>
              </w:rPr>
              <w:t>Provide Decent Affordable Housing</w:t>
            </w:r>
          </w:p>
          <w:p w14:paraId="29F888E5" w14:textId="77777777" w:rsidR="003D336B" w:rsidRPr="003D336B" w:rsidRDefault="003D336B" w:rsidP="00E53512">
            <w:pPr>
              <w:spacing w:beforeAutospacing="1" w:afterAutospacing="1"/>
              <w:rPr>
                <w:i/>
                <w:iCs/>
              </w:rPr>
            </w:pPr>
          </w:p>
        </w:tc>
        <w:tc>
          <w:tcPr>
            <w:tcW w:w="735" w:type="dxa"/>
            <w:tcBorders>
              <w:top w:val="single" w:sz="4" w:space="0" w:color="auto"/>
              <w:left w:val="single" w:sz="4" w:space="0" w:color="auto"/>
              <w:bottom w:val="single" w:sz="4" w:space="0" w:color="auto"/>
              <w:right w:val="single" w:sz="4" w:space="0" w:color="auto"/>
            </w:tcBorders>
          </w:tcPr>
          <w:p w14:paraId="3EA873DC" w14:textId="77777777" w:rsidR="003D336B" w:rsidRPr="003D336B" w:rsidRDefault="003D336B" w:rsidP="00E53512">
            <w:pPr>
              <w:spacing w:beforeAutospacing="1" w:afterAutospacing="1"/>
              <w:jc w:val="right"/>
            </w:pPr>
            <w:r w:rsidRPr="003D336B">
              <w:rPr>
                <w:color w:val="000000"/>
              </w:rPr>
              <w:t>2025</w:t>
            </w:r>
          </w:p>
        </w:tc>
        <w:tc>
          <w:tcPr>
            <w:tcW w:w="675" w:type="dxa"/>
            <w:tcBorders>
              <w:top w:val="single" w:sz="4" w:space="0" w:color="auto"/>
              <w:left w:val="single" w:sz="4" w:space="0" w:color="auto"/>
              <w:bottom w:val="single" w:sz="4" w:space="0" w:color="auto"/>
              <w:right w:val="single" w:sz="4" w:space="0" w:color="auto"/>
            </w:tcBorders>
          </w:tcPr>
          <w:p w14:paraId="5F71A160" w14:textId="77777777" w:rsidR="003D336B" w:rsidRPr="003D336B" w:rsidRDefault="003D336B" w:rsidP="00E53512">
            <w:pPr>
              <w:spacing w:beforeAutospacing="1" w:afterAutospacing="1"/>
              <w:jc w:val="right"/>
            </w:pPr>
            <w:r w:rsidRPr="003D336B">
              <w:rPr>
                <w:color w:val="000000"/>
              </w:rPr>
              <w:t>2029</w:t>
            </w:r>
          </w:p>
        </w:tc>
        <w:tc>
          <w:tcPr>
            <w:tcW w:w="1491" w:type="dxa"/>
            <w:tcBorders>
              <w:top w:val="single" w:sz="4" w:space="0" w:color="auto"/>
              <w:left w:val="single" w:sz="4" w:space="0" w:color="auto"/>
              <w:bottom w:val="single" w:sz="4" w:space="0" w:color="auto"/>
              <w:right w:val="single" w:sz="4" w:space="0" w:color="auto"/>
            </w:tcBorders>
          </w:tcPr>
          <w:p w14:paraId="2548D3A4" w14:textId="77777777" w:rsidR="003D336B" w:rsidRPr="003D336B" w:rsidRDefault="003D336B" w:rsidP="00E53512">
            <w:pPr>
              <w:spacing w:beforeAutospacing="1" w:afterAutospacing="1"/>
            </w:pPr>
            <w:r w:rsidRPr="003D336B">
              <w:rPr>
                <w:color w:val="000000"/>
              </w:rPr>
              <w:t>Affordable Housing</w:t>
            </w:r>
          </w:p>
        </w:tc>
        <w:tc>
          <w:tcPr>
            <w:tcW w:w="1245" w:type="dxa"/>
            <w:tcBorders>
              <w:top w:val="single" w:sz="4" w:space="0" w:color="auto"/>
              <w:left w:val="single" w:sz="4" w:space="0" w:color="auto"/>
              <w:bottom w:val="single" w:sz="4" w:space="0" w:color="auto"/>
              <w:right w:val="single" w:sz="4" w:space="0" w:color="auto"/>
            </w:tcBorders>
          </w:tcPr>
          <w:p w14:paraId="75EC0667" w14:textId="77777777" w:rsidR="003D336B" w:rsidRPr="003D336B" w:rsidRDefault="003D336B" w:rsidP="00E53512">
            <w:pPr>
              <w:spacing w:beforeAutospacing="1" w:afterAutospacing="1"/>
            </w:pPr>
            <w:r w:rsidRPr="003D336B">
              <w:rPr>
                <w:color w:val="000000"/>
              </w:rPr>
              <w:t xml:space="preserve"> </w:t>
            </w:r>
          </w:p>
        </w:tc>
        <w:tc>
          <w:tcPr>
            <w:tcW w:w="1805" w:type="dxa"/>
            <w:tcBorders>
              <w:top w:val="single" w:sz="4" w:space="0" w:color="auto"/>
              <w:left w:val="single" w:sz="4" w:space="0" w:color="auto"/>
              <w:bottom w:val="single" w:sz="4" w:space="0" w:color="auto"/>
              <w:right w:val="single" w:sz="4" w:space="0" w:color="auto"/>
            </w:tcBorders>
          </w:tcPr>
          <w:p w14:paraId="7ABE96B9" w14:textId="41BBBF1C" w:rsidR="003D336B" w:rsidRPr="003D336B" w:rsidRDefault="003D336B" w:rsidP="00E53512">
            <w:pPr>
              <w:spacing w:beforeAutospacing="1" w:afterAutospacing="1"/>
            </w:pPr>
            <w:r w:rsidRPr="098FA5AC">
              <w:rPr>
                <w:color w:val="000000" w:themeColor="text1"/>
              </w:rPr>
              <w:t>Create Affordable Homeownership</w:t>
            </w:r>
            <w:r w:rsidR="00C77057" w:rsidRPr="098FA5AC">
              <w:rPr>
                <w:color w:val="000000" w:themeColor="text1"/>
              </w:rPr>
              <w:t xml:space="preserve"> Opportunities</w:t>
            </w:r>
            <w:r w:rsidR="2306DAA6" w:rsidRPr="098FA5AC">
              <w:rPr>
                <w:color w:val="000000" w:themeColor="text1"/>
              </w:rPr>
              <w:t>,</w:t>
            </w:r>
            <w:r>
              <w:br/>
            </w:r>
            <w:r w:rsidRPr="098FA5AC">
              <w:rPr>
                <w:color w:val="000000" w:themeColor="text1"/>
              </w:rPr>
              <w:t>Create and Preserve Affordable Rental Housing</w:t>
            </w:r>
          </w:p>
        </w:tc>
        <w:tc>
          <w:tcPr>
            <w:tcW w:w="1445" w:type="dxa"/>
            <w:tcBorders>
              <w:top w:val="single" w:sz="4" w:space="0" w:color="auto"/>
              <w:left w:val="single" w:sz="4" w:space="0" w:color="auto"/>
              <w:bottom w:val="single" w:sz="4" w:space="0" w:color="auto"/>
              <w:right w:val="single" w:sz="4" w:space="0" w:color="auto"/>
            </w:tcBorders>
            <w:shd w:val="clear" w:color="auto" w:fill="FFFFFF" w:themeFill="background1"/>
          </w:tcPr>
          <w:p w14:paraId="7CA93A67" w14:textId="6E104D19" w:rsidR="003D336B" w:rsidRPr="001B26A1" w:rsidRDefault="003D336B" w:rsidP="001B26A1">
            <w:pPr>
              <w:spacing w:before="100" w:beforeAutospacing="1" w:after="100" w:afterAutospacing="1" w:line="240" w:lineRule="auto"/>
              <w:jc w:val="right"/>
              <w:rPr>
                <w:color w:val="000000"/>
              </w:rPr>
            </w:pPr>
            <w:r w:rsidRPr="003D336B">
              <w:rPr>
                <w:color w:val="000000"/>
              </w:rPr>
              <w:t>HOME:</w:t>
            </w:r>
            <w:r w:rsidR="001B26A1">
              <w:rPr>
                <w:color w:val="000000"/>
              </w:rPr>
              <w:br/>
            </w:r>
            <w:r w:rsidR="001B26A1" w:rsidRPr="001B26A1">
              <w:rPr>
                <w:color w:val="000000"/>
              </w:rPr>
              <w:t xml:space="preserve">$44,708,337 </w:t>
            </w:r>
            <w:r w:rsidRPr="003D336B">
              <w:rPr>
                <w:color w:val="000000"/>
              </w:rPr>
              <w:t>HTF: $</w:t>
            </w:r>
            <w:r w:rsidR="005345AC">
              <w:rPr>
                <w:color w:val="000000"/>
              </w:rPr>
              <w:t>15,</w:t>
            </w:r>
            <w:r w:rsidR="003409DC">
              <w:rPr>
                <w:color w:val="000000"/>
              </w:rPr>
              <w:t>000,000</w:t>
            </w:r>
          </w:p>
        </w:tc>
        <w:tc>
          <w:tcPr>
            <w:tcW w:w="3213"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3985" w14:textId="52E95224" w:rsidR="003D336B" w:rsidRDefault="003D336B" w:rsidP="787E070B">
            <w:pPr>
              <w:spacing w:beforeAutospacing="1" w:afterAutospacing="1"/>
              <w:rPr>
                <w:color w:val="000000"/>
              </w:rPr>
            </w:pPr>
            <w:r w:rsidRPr="787E070B">
              <w:rPr>
                <w:color w:val="000000" w:themeColor="text1"/>
              </w:rPr>
              <w:t xml:space="preserve">Rental units </w:t>
            </w:r>
            <w:r w:rsidR="001B304F" w:rsidRPr="787E070B">
              <w:rPr>
                <w:color w:val="000000" w:themeColor="text1"/>
              </w:rPr>
              <w:t>financed</w:t>
            </w:r>
            <w:r w:rsidRPr="787E070B">
              <w:rPr>
                <w:color w:val="000000" w:themeColor="text1"/>
              </w:rPr>
              <w:t xml:space="preserve">: </w:t>
            </w:r>
            <w:r w:rsidR="005345AC" w:rsidRPr="787E070B">
              <w:rPr>
                <w:color w:val="000000" w:themeColor="text1"/>
              </w:rPr>
              <w:t>150</w:t>
            </w:r>
            <w:r w:rsidRPr="787E070B">
              <w:rPr>
                <w:color w:val="000000" w:themeColor="text1"/>
              </w:rPr>
              <w:t xml:space="preserve"> Household Housing Unit</w:t>
            </w:r>
            <w:r>
              <w:br/>
            </w:r>
            <w:r w:rsidRPr="787E070B">
              <w:rPr>
                <w:color w:val="000000" w:themeColor="text1"/>
              </w:rPr>
              <w:t xml:space="preserve">Direct Financial Assistance to Homebuyers: </w:t>
            </w:r>
            <w:r w:rsidR="005345AC" w:rsidRPr="787E070B">
              <w:rPr>
                <w:color w:val="000000" w:themeColor="text1"/>
              </w:rPr>
              <w:t>125</w:t>
            </w:r>
            <w:r w:rsidRPr="787E070B">
              <w:rPr>
                <w:color w:val="000000" w:themeColor="text1"/>
              </w:rPr>
              <w:t xml:space="preserve"> Households Assisted</w:t>
            </w:r>
            <w:r>
              <w:br/>
            </w:r>
            <w:r w:rsidR="2385DE0D" w:rsidRPr="787E070B">
              <w:rPr>
                <w:color w:val="000000" w:themeColor="text1"/>
              </w:rPr>
              <w:t xml:space="preserve">TBRA: </w:t>
            </w:r>
            <w:r w:rsidR="001B304F" w:rsidRPr="787E070B">
              <w:rPr>
                <w:color w:val="000000" w:themeColor="text1"/>
              </w:rPr>
              <w:t>100</w:t>
            </w:r>
            <w:r w:rsidR="2385DE0D" w:rsidRPr="787E070B">
              <w:rPr>
                <w:color w:val="000000" w:themeColor="text1"/>
              </w:rPr>
              <w:t xml:space="preserve"> Households Assisted</w:t>
            </w:r>
          </w:p>
          <w:p w14:paraId="033283B9" w14:textId="77777777" w:rsidR="005311C6" w:rsidRDefault="005311C6" w:rsidP="00E53512">
            <w:pPr>
              <w:spacing w:beforeAutospacing="1" w:afterAutospacing="1"/>
            </w:pPr>
          </w:p>
        </w:tc>
      </w:tr>
    </w:tbl>
    <w:p w14:paraId="02862A88" w14:textId="77777777" w:rsidR="003D336B" w:rsidRDefault="003D336B" w:rsidP="003D336B"/>
    <w:p w14:paraId="701A4246" w14:textId="77777777" w:rsidR="003D336B" w:rsidRDefault="003D336B" w:rsidP="003D336B">
      <w:pPr>
        <w:pStyle w:val="Caption"/>
        <w:jc w:val="center"/>
        <w:rPr>
          <w:rFonts w:asciiTheme="minorHAnsi" w:hAnsiTheme="minorHAnsi"/>
        </w:rPr>
      </w:pPr>
    </w:p>
    <w:p w14:paraId="3A6D7157" w14:textId="77777777" w:rsidR="003D336B" w:rsidRDefault="003D336B" w:rsidP="003D336B">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14:paraId="13A1F565" w14:textId="77777777" w:rsidR="003D336B" w:rsidRDefault="003D336B" w:rsidP="003D336B">
      <w:pPr>
        <w:rPr>
          <w:b/>
          <w:sz w:val="24"/>
          <w:szCs w:val="24"/>
        </w:rPr>
      </w:pPr>
    </w:p>
    <w:p w14:paraId="0359B6C0" w14:textId="77777777" w:rsidR="005345AC" w:rsidRDefault="005345AC">
      <w:pPr>
        <w:spacing w:after="160" w:line="259" w:lineRule="auto"/>
        <w:rPr>
          <w:b/>
          <w:sz w:val="24"/>
          <w:szCs w:val="24"/>
        </w:rPr>
      </w:pPr>
      <w:r>
        <w:rPr>
          <w:b/>
          <w:sz w:val="24"/>
          <w:szCs w:val="24"/>
        </w:rPr>
        <w:br w:type="page"/>
      </w:r>
    </w:p>
    <w:p w14:paraId="4CD22D0D" w14:textId="77777777" w:rsidR="005345AC" w:rsidRDefault="005345AC" w:rsidP="005345AC">
      <w:pPr>
        <w:rPr>
          <w:b/>
          <w:sz w:val="24"/>
          <w:szCs w:val="24"/>
        </w:rPr>
        <w:sectPr w:rsidR="005345AC" w:rsidSect="003D336B">
          <w:pgSz w:w="15840" w:h="12240" w:orient="landscape" w:code="1"/>
          <w:pgMar w:top="1440" w:right="1440" w:bottom="1440" w:left="1440" w:header="720" w:footer="720" w:gutter="0"/>
          <w:cols w:space="720"/>
          <w:docGrid w:linePitch="360"/>
        </w:sectPr>
      </w:pPr>
    </w:p>
    <w:p w14:paraId="261C0716" w14:textId="3E9F5959" w:rsidR="003D336B" w:rsidRDefault="003D336B" w:rsidP="005345AC">
      <w:pPr>
        <w:rPr>
          <w:b/>
          <w:color w:val="000000"/>
        </w:rPr>
        <w:sectPr w:rsidR="003D336B" w:rsidSect="005345AC">
          <w:pgSz w:w="12240" w:h="15840" w:code="1"/>
          <w:pgMar w:top="1440" w:right="1440" w:bottom="1440" w:left="1440" w:header="720" w:footer="720" w:gutter="0"/>
          <w:cols w:space="720"/>
          <w:docGrid w:linePitch="360"/>
        </w:sectPr>
      </w:pPr>
      <w:r>
        <w:rPr>
          <w:b/>
          <w:sz w:val="24"/>
          <w:szCs w:val="24"/>
        </w:rPr>
        <w:lastRenderedPageBreak/>
        <w:t>Goal Description</w:t>
      </w:r>
      <w:r w:rsidR="005345AC">
        <w:rPr>
          <w:b/>
          <w:sz w:val="24"/>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340"/>
        <w:gridCol w:w="7682"/>
      </w:tblGrid>
      <w:tr w:rsidR="003D336B" w14:paraId="2893AD93" w14:textId="77777777" w:rsidTr="787E070B">
        <w:trPr>
          <w:cantSplit/>
        </w:trPr>
        <w:tc>
          <w:tcPr>
            <w:tcW w:w="0" w:type="auto"/>
            <w:vMerge w:val="restart"/>
          </w:tcPr>
          <w:p w14:paraId="1BD2AB36" w14:textId="77777777" w:rsidR="003D336B" w:rsidRDefault="003D336B" w:rsidP="00E53512">
            <w:pPr>
              <w:keepNext/>
              <w:spacing w:before="100" w:after="0"/>
            </w:pPr>
            <w:r>
              <w:rPr>
                <w:b/>
                <w:color w:val="000000"/>
              </w:rPr>
              <w:lastRenderedPageBreak/>
              <w:t>1</w:t>
            </w:r>
          </w:p>
        </w:tc>
        <w:tc>
          <w:tcPr>
            <w:tcW w:w="0" w:type="auto"/>
          </w:tcPr>
          <w:p w14:paraId="7BFF001E" w14:textId="77777777" w:rsidR="003D336B" w:rsidRPr="005345AC" w:rsidRDefault="003D336B" w:rsidP="00E53512">
            <w:pPr>
              <w:keepNext/>
              <w:spacing w:before="100" w:after="0"/>
              <w:rPr>
                <w:b/>
              </w:rPr>
            </w:pPr>
            <w:r w:rsidRPr="005345AC">
              <w:rPr>
                <w:b/>
              </w:rPr>
              <w:t>Goal Name</w:t>
            </w:r>
          </w:p>
        </w:tc>
        <w:tc>
          <w:tcPr>
            <w:tcW w:w="0" w:type="auto"/>
          </w:tcPr>
          <w:p w14:paraId="00B4865F" w14:textId="77777777" w:rsidR="003D336B" w:rsidRPr="005345AC" w:rsidRDefault="003D336B" w:rsidP="00E53512">
            <w:pPr>
              <w:spacing w:before="100" w:after="0"/>
              <w:rPr>
                <w:b/>
              </w:rPr>
            </w:pPr>
            <w:r w:rsidRPr="005345AC">
              <w:rPr>
                <w:b/>
                <w:color w:val="000000"/>
              </w:rPr>
              <w:t>Public Facilities/Infrastructure-Compliance</w:t>
            </w:r>
          </w:p>
        </w:tc>
      </w:tr>
      <w:tr w:rsidR="003D336B" w14:paraId="4CC2A7A6" w14:textId="77777777" w:rsidTr="787E070B">
        <w:trPr>
          <w:cantSplit/>
        </w:trPr>
        <w:tc>
          <w:tcPr>
            <w:tcW w:w="0" w:type="auto"/>
            <w:vMerge/>
          </w:tcPr>
          <w:p w14:paraId="4476A9AF" w14:textId="77777777" w:rsidR="003D336B" w:rsidRDefault="003D336B" w:rsidP="00E53512"/>
        </w:tc>
        <w:tc>
          <w:tcPr>
            <w:tcW w:w="0" w:type="auto"/>
          </w:tcPr>
          <w:p w14:paraId="17587648" w14:textId="77777777" w:rsidR="003D336B" w:rsidRDefault="003D336B" w:rsidP="00E53512">
            <w:pPr>
              <w:keepNext/>
              <w:spacing w:before="100" w:after="0"/>
              <w:rPr>
                <w:b/>
              </w:rPr>
            </w:pPr>
            <w:r>
              <w:rPr>
                <w:b/>
              </w:rPr>
              <w:t>Goal Description</w:t>
            </w:r>
          </w:p>
        </w:tc>
        <w:tc>
          <w:tcPr>
            <w:tcW w:w="0" w:type="auto"/>
            <w:shd w:val="clear" w:color="auto" w:fill="FFFFFF" w:themeFill="background1"/>
          </w:tcPr>
          <w:p w14:paraId="37BE5FE7" w14:textId="77777777" w:rsidR="003D336B" w:rsidRPr="003D336B" w:rsidRDefault="003D336B" w:rsidP="787E070B">
            <w:pPr>
              <w:spacing w:before="100" w:after="0"/>
              <w:rPr>
                <w:color w:val="000000" w:themeColor="text1"/>
              </w:rPr>
            </w:pPr>
            <w:r w:rsidRPr="787E070B">
              <w:rPr>
                <w:color w:val="000000" w:themeColor="text1"/>
              </w:rPr>
              <w:t>Activities include bringing public facilities systems (infrastructure, community facilities, public utilities) into compliance with environmental laws, federal and state standards, industry standards, building codes, or best management practices. </w:t>
            </w:r>
          </w:p>
          <w:p w14:paraId="1D720027" w14:textId="5F43F3B9" w:rsidR="003D336B" w:rsidRPr="003D336B" w:rsidRDefault="35F88D6A" w:rsidP="00E53512">
            <w:pPr>
              <w:spacing w:before="100" w:after="0"/>
            </w:pPr>
            <w:r w:rsidRPr="098FA5AC">
              <w:rPr>
                <w:color w:val="000000" w:themeColor="text1"/>
              </w:rPr>
              <w:t>F</w:t>
            </w:r>
            <w:r w:rsidR="73006E45" w:rsidRPr="098FA5AC">
              <w:rPr>
                <w:color w:val="000000" w:themeColor="text1"/>
              </w:rPr>
              <w:t>irst, f</w:t>
            </w:r>
            <w:r w:rsidRPr="098FA5AC">
              <w:rPr>
                <w:color w:val="000000" w:themeColor="text1"/>
              </w:rPr>
              <w:t>or</w:t>
            </w:r>
            <w:r w:rsidR="003D336B" w:rsidRPr="098FA5AC">
              <w:rPr>
                <w:color w:val="000000" w:themeColor="text1"/>
              </w:rPr>
              <w:t xml:space="preserve"> the state </w:t>
            </w:r>
            <w:r w:rsidR="00F5712A">
              <w:rPr>
                <w:color w:val="000000" w:themeColor="text1"/>
              </w:rPr>
              <w:t>Community Development Block Grant (</w:t>
            </w:r>
            <w:r w:rsidR="003D336B" w:rsidRPr="098FA5AC">
              <w:rPr>
                <w:color w:val="000000" w:themeColor="text1"/>
              </w:rPr>
              <w:t>CDBG</w:t>
            </w:r>
            <w:r w:rsidR="00F5712A">
              <w:rPr>
                <w:color w:val="000000" w:themeColor="text1"/>
              </w:rPr>
              <w:t>)</w:t>
            </w:r>
            <w:r w:rsidR="003D336B" w:rsidRPr="098FA5AC">
              <w:rPr>
                <w:color w:val="000000" w:themeColor="text1"/>
              </w:rPr>
              <w:t xml:space="preserve"> program, the Public Facilities/ Infrastructure- Compliance goal consists of a large diverse number of activities, therefore, by going with 25% it gives local governments a fair amount of flexibility to </w:t>
            </w:r>
            <w:proofErr w:type="gramStart"/>
            <w:r w:rsidR="003D336B" w:rsidRPr="098FA5AC">
              <w:rPr>
                <w:color w:val="000000" w:themeColor="text1"/>
              </w:rPr>
              <w:t>submit an application</w:t>
            </w:r>
            <w:proofErr w:type="gramEnd"/>
            <w:r w:rsidR="003D336B" w:rsidRPr="098FA5AC">
              <w:rPr>
                <w:color w:val="000000" w:themeColor="text1"/>
              </w:rPr>
              <w:t xml:space="preserve"> based on their Public Facilities/Infrastructure-Compliance needs.  </w:t>
            </w:r>
          </w:p>
          <w:p w14:paraId="7EFF7152" w14:textId="3D6FA1F1" w:rsidR="003D336B" w:rsidRPr="008355B9" w:rsidRDefault="2CA379BB" w:rsidP="00E53512">
            <w:pPr>
              <w:spacing w:before="100" w:after="0"/>
              <w:rPr>
                <w:strike/>
              </w:rPr>
            </w:pPr>
            <w:r w:rsidRPr="098FA5AC">
              <w:rPr>
                <w:color w:val="000000" w:themeColor="text1"/>
              </w:rPr>
              <w:t>Second, f</w:t>
            </w:r>
            <w:r w:rsidR="35F88D6A" w:rsidRPr="098FA5AC">
              <w:rPr>
                <w:color w:val="000000" w:themeColor="text1"/>
              </w:rPr>
              <w:t>urther</w:t>
            </w:r>
            <w:r w:rsidR="003D336B" w:rsidRPr="098FA5AC">
              <w:rPr>
                <w:color w:val="000000" w:themeColor="text1"/>
              </w:rPr>
              <w:t xml:space="preserve"> rationale for 25% is based on the results of the needs survey.  Some of the activities identified with the highest needs were parks and recreation facilities, community centers, fire/EMT stations, water and sewer system, see survey results.  These activities could fall within the compliance goal.   Although streets and sidewalk were identified as high needs it would be difficult for these activities to meet a required low-to-moderate income national objective and subsequently the compliance goal.  Supportive infrastructure activities for affordable housing could fall within this goal.   </w:t>
            </w:r>
            <w:r w:rsidR="003D336B" w:rsidRPr="008355B9">
              <w:rPr>
                <w:strike/>
                <w:color w:val="000000" w:themeColor="text1"/>
              </w:rPr>
              <w:t xml:space="preserve">Another reason for the 25% is that the </w:t>
            </w:r>
            <w:r w:rsidR="6930E20E" w:rsidRPr="008355B9">
              <w:rPr>
                <w:strike/>
                <w:color w:val="000000" w:themeColor="text1"/>
              </w:rPr>
              <w:t>N</w:t>
            </w:r>
            <w:r w:rsidR="35F88D6A" w:rsidRPr="008355B9">
              <w:rPr>
                <w:strike/>
                <w:color w:val="000000" w:themeColor="text1"/>
              </w:rPr>
              <w:t xml:space="preserve">eeds </w:t>
            </w:r>
            <w:r w:rsidR="13A23739" w:rsidRPr="008355B9">
              <w:rPr>
                <w:strike/>
                <w:color w:val="000000" w:themeColor="text1"/>
              </w:rPr>
              <w:t>S</w:t>
            </w:r>
            <w:r w:rsidR="35F88D6A" w:rsidRPr="008355B9">
              <w:rPr>
                <w:strike/>
                <w:color w:val="000000" w:themeColor="text1"/>
              </w:rPr>
              <w:t>urvey</w:t>
            </w:r>
            <w:r w:rsidR="003D336B" w:rsidRPr="008355B9">
              <w:rPr>
                <w:strike/>
                <w:color w:val="000000" w:themeColor="text1"/>
              </w:rPr>
              <w:t xml:space="preserve"> under planning studies indicated a high need for funding for facilities plan.  Based on these results Commerce will look to create </w:t>
            </w:r>
            <w:proofErr w:type="gramStart"/>
            <w:r w:rsidR="003D336B" w:rsidRPr="008355B9">
              <w:rPr>
                <w:strike/>
                <w:color w:val="000000" w:themeColor="text1"/>
              </w:rPr>
              <w:t>a separate</w:t>
            </w:r>
            <w:proofErr w:type="gramEnd"/>
            <w:r w:rsidR="003D336B" w:rsidRPr="008355B9">
              <w:rPr>
                <w:strike/>
                <w:color w:val="000000" w:themeColor="text1"/>
              </w:rPr>
              <w:t xml:space="preserve"> facilities planning study set-aside, which could fall within the public facilities/infrastructure compliance goal. </w:t>
            </w:r>
          </w:p>
          <w:p w14:paraId="28AB3FFD" w14:textId="22169487" w:rsidR="003D336B" w:rsidRPr="003D336B" w:rsidRDefault="003D336B" w:rsidP="787E070B">
            <w:pPr>
              <w:spacing w:before="100" w:after="0"/>
              <w:rPr>
                <w:color w:val="000000" w:themeColor="text1"/>
              </w:rPr>
            </w:pPr>
            <w:r w:rsidRPr="787E070B">
              <w:rPr>
                <w:color w:val="000000" w:themeColor="text1"/>
              </w:rPr>
              <w:t>Third, projects funding from this allocation priority will help to ensure Idaho Department of Commerce meets its 70% of funding to benefit low-to-moderate income requirement. </w:t>
            </w:r>
          </w:p>
        </w:tc>
      </w:tr>
      <w:tr w:rsidR="003D336B" w14:paraId="23DFC9E1" w14:textId="77777777" w:rsidTr="787E070B">
        <w:trPr>
          <w:cantSplit/>
        </w:trPr>
        <w:tc>
          <w:tcPr>
            <w:tcW w:w="0" w:type="auto"/>
            <w:vMerge w:val="restart"/>
          </w:tcPr>
          <w:p w14:paraId="62A663DE" w14:textId="77777777" w:rsidR="003D336B" w:rsidRDefault="003D336B" w:rsidP="00E53512">
            <w:pPr>
              <w:keepNext/>
              <w:spacing w:before="100" w:after="0"/>
            </w:pPr>
            <w:r>
              <w:rPr>
                <w:b/>
                <w:color w:val="000000"/>
              </w:rPr>
              <w:lastRenderedPageBreak/>
              <w:t>2</w:t>
            </w:r>
          </w:p>
        </w:tc>
        <w:tc>
          <w:tcPr>
            <w:tcW w:w="0" w:type="auto"/>
          </w:tcPr>
          <w:p w14:paraId="24523050" w14:textId="77777777" w:rsidR="003D336B" w:rsidRDefault="003D336B" w:rsidP="00E53512">
            <w:pPr>
              <w:keepNext/>
              <w:spacing w:before="100" w:after="0"/>
              <w:rPr>
                <w:b/>
              </w:rPr>
            </w:pPr>
            <w:r>
              <w:rPr>
                <w:b/>
              </w:rPr>
              <w:t>Goal Name</w:t>
            </w:r>
          </w:p>
        </w:tc>
        <w:tc>
          <w:tcPr>
            <w:tcW w:w="0" w:type="auto"/>
            <w:shd w:val="clear" w:color="auto" w:fill="FFFFFF" w:themeFill="background1"/>
          </w:tcPr>
          <w:p w14:paraId="00143FCA" w14:textId="77777777" w:rsidR="003D336B" w:rsidRPr="007B7B72" w:rsidRDefault="003D336B" w:rsidP="00E53512">
            <w:pPr>
              <w:spacing w:before="100" w:after="0"/>
              <w:rPr>
                <w:b/>
                <w:bCs/>
              </w:rPr>
            </w:pPr>
            <w:r w:rsidRPr="007B7B72">
              <w:rPr>
                <w:b/>
                <w:bCs/>
                <w:color w:val="000000"/>
              </w:rPr>
              <w:t>Public Facilities/Infrastructure-Rehabilitation</w:t>
            </w:r>
          </w:p>
        </w:tc>
      </w:tr>
      <w:tr w:rsidR="003D336B" w14:paraId="4E3B0D95" w14:textId="77777777" w:rsidTr="787E070B">
        <w:trPr>
          <w:cantSplit/>
        </w:trPr>
        <w:tc>
          <w:tcPr>
            <w:tcW w:w="0" w:type="auto"/>
            <w:vMerge/>
          </w:tcPr>
          <w:p w14:paraId="5B5077A2" w14:textId="77777777" w:rsidR="003D336B" w:rsidRDefault="003D336B" w:rsidP="00E53512"/>
        </w:tc>
        <w:tc>
          <w:tcPr>
            <w:tcW w:w="0" w:type="auto"/>
          </w:tcPr>
          <w:p w14:paraId="390A607D" w14:textId="77777777" w:rsidR="003D336B" w:rsidRDefault="003D336B" w:rsidP="00E53512">
            <w:pPr>
              <w:keepNext/>
              <w:spacing w:before="100" w:after="0"/>
              <w:rPr>
                <w:b/>
              </w:rPr>
            </w:pPr>
            <w:r>
              <w:rPr>
                <w:b/>
              </w:rPr>
              <w:t>Goal Description</w:t>
            </w:r>
          </w:p>
        </w:tc>
        <w:tc>
          <w:tcPr>
            <w:tcW w:w="0" w:type="auto"/>
            <w:shd w:val="clear" w:color="auto" w:fill="FFFFFF" w:themeFill="background1"/>
          </w:tcPr>
          <w:p w14:paraId="5E245EB2" w14:textId="77777777" w:rsidR="003D336B" w:rsidRPr="003D336B" w:rsidRDefault="003D336B" w:rsidP="787E070B">
            <w:pPr>
              <w:spacing w:before="100" w:after="0"/>
              <w:rPr>
                <w:color w:val="000000" w:themeColor="text1"/>
              </w:rPr>
            </w:pPr>
            <w:r w:rsidRPr="787E070B">
              <w:rPr>
                <w:color w:val="000000" w:themeColor="text1"/>
              </w:rPr>
              <w:t>Activities include rehabilitation, replacement or remodeling of a public facilities (infrastructure, community facilities, public utilities and affordable housing) systems. </w:t>
            </w:r>
          </w:p>
          <w:p w14:paraId="3451B0DA" w14:textId="77777777" w:rsidR="003D336B" w:rsidRPr="003D336B" w:rsidRDefault="003D336B" w:rsidP="00E53512">
            <w:pPr>
              <w:spacing w:before="100" w:after="0"/>
            </w:pPr>
            <w:r w:rsidRPr="003D336B">
              <w:rPr>
                <w:color w:val="000000"/>
              </w:rPr>
              <w:t>30% - Public Facility / Infrastructure – Rehabilitation</w:t>
            </w:r>
          </w:p>
          <w:p w14:paraId="6B8338D1" w14:textId="544C58F5" w:rsidR="003D336B" w:rsidRPr="003D336B" w:rsidRDefault="003D336B" w:rsidP="00E53512">
            <w:pPr>
              <w:spacing w:before="100" w:after="0"/>
            </w:pPr>
            <w:r w:rsidRPr="003D336B">
              <w:rPr>
                <w:color w:val="000000"/>
              </w:rPr>
              <w:t xml:space="preserve">First, for the state </w:t>
            </w:r>
            <w:r w:rsidR="008108D5">
              <w:rPr>
                <w:color w:val="000000" w:themeColor="text1"/>
              </w:rPr>
              <w:t>Community Development Block Grant (</w:t>
            </w:r>
            <w:proofErr w:type="gramStart"/>
            <w:r w:rsidR="008108D5" w:rsidRPr="098FA5AC">
              <w:rPr>
                <w:color w:val="000000" w:themeColor="text1"/>
              </w:rPr>
              <w:t>CDBG</w:t>
            </w:r>
            <w:r w:rsidR="008108D5">
              <w:rPr>
                <w:color w:val="000000" w:themeColor="text1"/>
              </w:rPr>
              <w:t>)</w:t>
            </w:r>
            <w:r w:rsidR="008108D5" w:rsidRPr="098FA5AC">
              <w:rPr>
                <w:color w:val="000000" w:themeColor="text1"/>
              </w:rPr>
              <w:t xml:space="preserve"> </w:t>
            </w:r>
            <w:r w:rsidRPr="003D336B">
              <w:rPr>
                <w:color w:val="000000"/>
              </w:rPr>
              <w:t xml:space="preserve"> program</w:t>
            </w:r>
            <w:proofErr w:type="gramEnd"/>
            <w:r w:rsidRPr="003D336B">
              <w:rPr>
                <w:color w:val="000000"/>
              </w:rPr>
              <w:t xml:space="preserve">, the Public Facilities/Infrastructure- Rehabilitation. Consists of a large diverse number of activities, therefore, by allocating 30% to this goal it gives local governments a fair amount of flexibility to </w:t>
            </w:r>
            <w:proofErr w:type="gramStart"/>
            <w:r w:rsidRPr="003D336B">
              <w:rPr>
                <w:color w:val="000000"/>
              </w:rPr>
              <w:t>submit an application</w:t>
            </w:r>
            <w:proofErr w:type="gramEnd"/>
            <w:r w:rsidRPr="003D336B">
              <w:rPr>
                <w:color w:val="000000"/>
              </w:rPr>
              <w:t xml:space="preserve"> based on their Public Facility/Infrastructure- Rehab needs.  </w:t>
            </w:r>
          </w:p>
          <w:p w14:paraId="2A9FFDCE" w14:textId="77777777" w:rsidR="008972B1" w:rsidRPr="008355B9" w:rsidRDefault="1ABDD97B" w:rsidP="008972B1">
            <w:pPr>
              <w:spacing w:before="100" w:after="0"/>
              <w:rPr>
                <w:strike/>
                <w:color w:val="000000" w:themeColor="text1"/>
              </w:rPr>
            </w:pPr>
            <w:r w:rsidRPr="098FA5AC">
              <w:rPr>
                <w:color w:val="000000" w:themeColor="text1"/>
              </w:rPr>
              <w:t>Second, f</w:t>
            </w:r>
            <w:r w:rsidR="35F88D6A" w:rsidRPr="098FA5AC">
              <w:rPr>
                <w:color w:val="000000" w:themeColor="text1"/>
              </w:rPr>
              <w:t>urther</w:t>
            </w:r>
            <w:r w:rsidR="003D336B" w:rsidRPr="098FA5AC">
              <w:rPr>
                <w:color w:val="000000" w:themeColor="text1"/>
              </w:rPr>
              <w:t xml:space="preserve"> rationale for </w:t>
            </w:r>
            <w:r w:rsidR="003D336B" w:rsidRPr="00AD228E">
              <w:rPr>
                <w:color w:val="000000" w:themeColor="text1"/>
              </w:rPr>
              <w:t>30%</w:t>
            </w:r>
            <w:r w:rsidR="00392752" w:rsidRPr="00AD228E">
              <w:rPr>
                <w:color w:val="000000" w:themeColor="text1"/>
              </w:rPr>
              <w:t xml:space="preserve"> </w:t>
            </w:r>
            <w:r w:rsidR="003D336B" w:rsidRPr="00AD228E">
              <w:rPr>
                <w:color w:val="000000" w:themeColor="text1"/>
              </w:rPr>
              <w:t xml:space="preserve">is based on the results of the </w:t>
            </w:r>
            <w:r w:rsidR="053BEA4B" w:rsidRPr="00AD228E">
              <w:rPr>
                <w:color w:val="000000" w:themeColor="text1"/>
              </w:rPr>
              <w:t>N</w:t>
            </w:r>
            <w:r w:rsidR="35F88D6A" w:rsidRPr="00AD228E">
              <w:rPr>
                <w:color w:val="000000" w:themeColor="text1"/>
              </w:rPr>
              <w:t xml:space="preserve">eeds </w:t>
            </w:r>
            <w:r w:rsidR="4F851591" w:rsidRPr="00AD228E">
              <w:rPr>
                <w:color w:val="000000" w:themeColor="text1"/>
              </w:rPr>
              <w:t>S</w:t>
            </w:r>
            <w:r w:rsidR="35F88D6A" w:rsidRPr="00AD228E">
              <w:rPr>
                <w:color w:val="000000" w:themeColor="text1"/>
              </w:rPr>
              <w:t>urvey.</w:t>
            </w:r>
            <w:r w:rsidR="003D336B" w:rsidRPr="00AD228E">
              <w:rPr>
                <w:color w:val="000000" w:themeColor="text1"/>
              </w:rPr>
              <w:t>  Some of the activities identified with the highest needs were parks and recreation facilities, community centers, fire/EMT stations, water and sewer systems, see survey results.  These activities could fall within the rehabilitation goal.  Although streets and sidewalks were identified as high needs it would be difficult for these activities to meet a required low-to-moderate income national objective and subsequently the rehabilitation goal.   </w:t>
            </w:r>
            <w:r w:rsidR="008972B1" w:rsidRPr="00AD228E">
              <w:rPr>
                <w:color w:val="000000" w:themeColor="text1"/>
              </w:rPr>
              <w:t xml:space="preserve">Supportive infrastructure activities for affordable housing could fall within this goal.  </w:t>
            </w:r>
            <w:r w:rsidR="008972B1" w:rsidRPr="008355B9">
              <w:rPr>
                <w:strike/>
                <w:color w:val="000000" w:themeColor="text1"/>
              </w:rPr>
              <w:t>Another reason for the 30% is that the needs survey under planning studies indicated a high need for funding for facilities plan ore, Commerce may look to create a separate planning / study grant set-aside which would include facilities planning studies and broadband feasibility studies.  It is likely the activities under the planning / study grant set-aside could fall within the public facilities / infrastructure rehabilitation goal.   </w:t>
            </w:r>
          </w:p>
          <w:p w14:paraId="2F864CBF" w14:textId="56D886B3" w:rsidR="003D336B" w:rsidRPr="003D336B" w:rsidRDefault="75E88446" w:rsidP="787E070B">
            <w:pPr>
              <w:spacing w:before="100" w:after="0"/>
              <w:rPr>
                <w:color w:val="000000" w:themeColor="text1"/>
              </w:rPr>
            </w:pPr>
            <w:r w:rsidRPr="098FA5AC">
              <w:rPr>
                <w:color w:val="000000" w:themeColor="text1"/>
              </w:rPr>
              <w:t>Third</w:t>
            </w:r>
            <w:r w:rsidR="003D336B" w:rsidRPr="787E070B">
              <w:rPr>
                <w:color w:val="000000" w:themeColor="text1"/>
              </w:rPr>
              <w:t>, projects funding from this allocation priority will help to ensure Idaho Department of Commerce meets its 70% of funding to benefit low-to-moderate income requirement.</w:t>
            </w:r>
          </w:p>
        </w:tc>
      </w:tr>
      <w:tr w:rsidR="003D336B" w14:paraId="54452969" w14:textId="77777777" w:rsidTr="787E070B">
        <w:trPr>
          <w:cantSplit/>
        </w:trPr>
        <w:tc>
          <w:tcPr>
            <w:tcW w:w="0" w:type="auto"/>
            <w:vMerge w:val="restart"/>
          </w:tcPr>
          <w:p w14:paraId="4A84F0EF" w14:textId="77777777" w:rsidR="003D336B" w:rsidRDefault="003D336B" w:rsidP="00E53512">
            <w:pPr>
              <w:keepNext/>
              <w:spacing w:before="100" w:after="0"/>
            </w:pPr>
            <w:r>
              <w:rPr>
                <w:b/>
                <w:color w:val="000000"/>
              </w:rPr>
              <w:lastRenderedPageBreak/>
              <w:t>3</w:t>
            </w:r>
          </w:p>
        </w:tc>
        <w:tc>
          <w:tcPr>
            <w:tcW w:w="0" w:type="auto"/>
          </w:tcPr>
          <w:p w14:paraId="691BD890" w14:textId="77777777" w:rsidR="003D336B" w:rsidRDefault="003D336B" w:rsidP="00E53512">
            <w:pPr>
              <w:keepNext/>
              <w:spacing w:before="100" w:after="0"/>
              <w:rPr>
                <w:b/>
              </w:rPr>
            </w:pPr>
            <w:r>
              <w:rPr>
                <w:b/>
              </w:rPr>
              <w:t>Goal Name</w:t>
            </w:r>
          </w:p>
        </w:tc>
        <w:tc>
          <w:tcPr>
            <w:tcW w:w="0" w:type="auto"/>
            <w:shd w:val="clear" w:color="auto" w:fill="FFFFFF" w:themeFill="background1"/>
          </w:tcPr>
          <w:p w14:paraId="6C50010C" w14:textId="50BEEC66" w:rsidR="003D336B" w:rsidRPr="00C84914" w:rsidRDefault="00C84914" w:rsidP="00E53512">
            <w:pPr>
              <w:spacing w:before="100" w:after="0"/>
              <w:rPr>
                <w:b/>
                <w:bCs/>
              </w:rPr>
            </w:pPr>
            <w:r w:rsidRPr="008972B1">
              <w:rPr>
                <w:b/>
                <w:bCs/>
                <w:color w:val="000000"/>
              </w:rPr>
              <w:t xml:space="preserve">Public Facilities/Infrastructure/Public Service New Construction or </w:t>
            </w:r>
            <w:r w:rsidRPr="00C84914">
              <w:rPr>
                <w:b/>
                <w:bCs/>
                <w:color w:val="000000"/>
              </w:rPr>
              <w:t>Purchasing</w:t>
            </w:r>
          </w:p>
        </w:tc>
      </w:tr>
      <w:tr w:rsidR="003D336B" w14:paraId="34F24075" w14:textId="77777777" w:rsidTr="787E070B">
        <w:trPr>
          <w:cantSplit/>
        </w:trPr>
        <w:tc>
          <w:tcPr>
            <w:tcW w:w="0" w:type="auto"/>
            <w:vMerge/>
          </w:tcPr>
          <w:p w14:paraId="7C528B51" w14:textId="77777777" w:rsidR="003D336B" w:rsidRDefault="003D336B" w:rsidP="00E53512"/>
        </w:tc>
        <w:tc>
          <w:tcPr>
            <w:tcW w:w="0" w:type="auto"/>
          </w:tcPr>
          <w:p w14:paraId="05B78B08" w14:textId="77777777" w:rsidR="003D336B" w:rsidRDefault="003D336B" w:rsidP="00E53512">
            <w:pPr>
              <w:keepNext/>
              <w:spacing w:before="100" w:after="0"/>
              <w:rPr>
                <w:b/>
              </w:rPr>
            </w:pPr>
            <w:r>
              <w:rPr>
                <w:b/>
              </w:rPr>
              <w:t>Goal Description</w:t>
            </w:r>
          </w:p>
        </w:tc>
        <w:tc>
          <w:tcPr>
            <w:tcW w:w="0" w:type="auto"/>
            <w:shd w:val="clear" w:color="auto" w:fill="FFFFFF" w:themeFill="background1"/>
          </w:tcPr>
          <w:p w14:paraId="6D5D54E5" w14:textId="77777777" w:rsidR="003D336B" w:rsidRPr="003D336B" w:rsidRDefault="003D336B" w:rsidP="00E53512">
            <w:pPr>
              <w:spacing w:before="100" w:after="0"/>
            </w:pPr>
            <w:r w:rsidRPr="003D336B">
              <w:rPr>
                <w:color w:val="000000"/>
              </w:rPr>
              <w:t>Activities include installing new public facilities systems (infrastructure, community facilities, and public utilities) or extending a system to an eligible service area.  This includes new infrastructure to support housing related activities and affordable housing.</w:t>
            </w:r>
          </w:p>
          <w:p w14:paraId="7CC87C42" w14:textId="77777777" w:rsidR="008972B1" w:rsidRDefault="003D336B" w:rsidP="00E53512">
            <w:pPr>
              <w:spacing w:before="100" w:after="0"/>
              <w:rPr>
                <w:color w:val="000000" w:themeColor="text1"/>
              </w:rPr>
            </w:pPr>
            <w:r w:rsidRPr="098FA5AC">
              <w:rPr>
                <w:color w:val="000000" w:themeColor="text1"/>
              </w:rPr>
              <w:t xml:space="preserve">For the state </w:t>
            </w:r>
            <w:r w:rsidR="008108D5">
              <w:rPr>
                <w:color w:val="000000" w:themeColor="text1"/>
              </w:rPr>
              <w:t>Community Development Block Grant (</w:t>
            </w:r>
            <w:proofErr w:type="gramStart"/>
            <w:r w:rsidR="008108D5" w:rsidRPr="098FA5AC">
              <w:rPr>
                <w:color w:val="000000" w:themeColor="text1"/>
              </w:rPr>
              <w:t>CDBG</w:t>
            </w:r>
            <w:r w:rsidR="008108D5">
              <w:rPr>
                <w:color w:val="000000" w:themeColor="text1"/>
              </w:rPr>
              <w:t>)</w:t>
            </w:r>
            <w:r w:rsidR="008108D5" w:rsidRPr="098FA5AC">
              <w:rPr>
                <w:color w:val="000000" w:themeColor="text1"/>
              </w:rPr>
              <w:t xml:space="preserve"> </w:t>
            </w:r>
            <w:r w:rsidRPr="098FA5AC">
              <w:rPr>
                <w:color w:val="000000" w:themeColor="text1"/>
              </w:rPr>
              <w:t xml:space="preserve"> program</w:t>
            </w:r>
            <w:proofErr w:type="gramEnd"/>
            <w:r w:rsidRPr="098FA5AC">
              <w:rPr>
                <w:color w:val="000000" w:themeColor="text1"/>
              </w:rPr>
              <w:t xml:space="preserve">, the Public Facilities/Infrastructure-New Construction goal consists of a large diverse number of activities, therefore, by allocating 25% of funding to this goal it gives local governments a fair amount of flexibility to submit an application based on their Public Facility/Infrastructure-New Construction needs.  </w:t>
            </w:r>
          </w:p>
          <w:p w14:paraId="426B99A6" w14:textId="6D695400" w:rsidR="003D336B" w:rsidRPr="003D336B" w:rsidRDefault="00011E5E" w:rsidP="00E53512">
            <w:pPr>
              <w:spacing w:before="100" w:after="0"/>
            </w:pPr>
            <w:r>
              <w:rPr>
                <w:color w:val="000000"/>
              </w:rPr>
              <w:t>P</w:t>
            </w:r>
            <w:r w:rsidR="003D336B" w:rsidRPr="003D336B">
              <w:rPr>
                <w:color w:val="000000"/>
              </w:rPr>
              <w:t>rojects funding from this allocation priority will help to ensure Idaho Department of Commerce meets its 70% of funding to benefit low-to-moderate income requirement.</w:t>
            </w:r>
          </w:p>
        </w:tc>
      </w:tr>
      <w:tr w:rsidR="003D336B" w14:paraId="33F9EA95" w14:textId="77777777" w:rsidTr="787E070B">
        <w:trPr>
          <w:cantSplit/>
        </w:trPr>
        <w:tc>
          <w:tcPr>
            <w:tcW w:w="0" w:type="auto"/>
            <w:vMerge w:val="restart"/>
          </w:tcPr>
          <w:p w14:paraId="4C9FA976" w14:textId="77777777" w:rsidR="003D336B" w:rsidRDefault="003D336B" w:rsidP="00E53512">
            <w:pPr>
              <w:keepNext/>
              <w:spacing w:before="100" w:after="0"/>
            </w:pPr>
            <w:r>
              <w:rPr>
                <w:b/>
                <w:color w:val="000000"/>
              </w:rPr>
              <w:t>4</w:t>
            </w:r>
          </w:p>
        </w:tc>
        <w:tc>
          <w:tcPr>
            <w:tcW w:w="0" w:type="auto"/>
          </w:tcPr>
          <w:p w14:paraId="2434EF5B" w14:textId="77777777" w:rsidR="003D336B" w:rsidRDefault="003D336B" w:rsidP="00E53512">
            <w:pPr>
              <w:keepNext/>
              <w:spacing w:before="100" w:after="0"/>
              <w:rPr>
                <w:b/>
              </w:rPr>
            </w:pPr>
            <w:r>
              <w:rPr>
                <w:b/>
              </w:rPr>
              <w:t>Goal Name</w:t>
            </w:r>
          </w:p>
        </w:tc>
        <w:tc>
          <w:tcPr>
            <w:tcW w:w="0" w:type="auto"/>
          </w:tcPr>
          <w:p w14:paraId="1DCF4795" w14:textId="77777777" w:rsidR="003D336B" w:rsidRPr="007B7B72" w:rsidRDefault="003D336B" w:rsidP="00E53512">
            <w:pPr>
              <w:spacing w:before="100" w:after="0"/>
              <w:rPr>
                <w:b/>
                <w:bCs/>
              </w:rPr>
            </w:pPr>
            <w:r w:rsidRPr="007B7B72">
              <w:rPr>
                <w:b/>
                <w:bCs/>
                <w:color w:val="000000"/>
              </w:rPr>
              <w:t>Economic Development-Job Creation</w:t>
            </w:r>
          </w:p>
        </w:tc>
      </w:tr>
      <w:tr w:rsidR="003D336B" w14:paraId="5C2F4F28" w14:textId="77777777" w:rsidTr="787E070B">
        <w:trPr>
          <w:cantSplit/>
        </w:trPr>
        <w:tc>
          <w:tcPr>
            <w:tcW w:w="0" w:type="auto"/>
            <w:vMerge/>
          </w:tcPr>
          <w:p w14:paraId="15A92C99" w14:textId="77777777" w:rsidR="003D336B" w:rsidRDefault="003D336B" w:rsidP="00E53512"/>
        </w:tc>
        <w:tc>
          <w:tcPr>
            <w:tcW w:w="0" w:type="auto"/>
          </w:tcPr>
          <w:p w14:paraId="1620B497" w14:textId="77777777" w:rsidR="003D336B" w:rsidRDefault="003D336B" w:rsidP="00E53512">
            <w:pPr>
              <w:keepNext/>
              <w:spacing w:before="100" w:after="0"/>
              <w:rPr>
                <w:b/>
              </w:rPr>
            </w:pPr>
            <w:r>
              <w:rPr>
                <w:b/>
              </w:rPr>
              <w:t>Goal Description</w:t>
            </w:r>
          </w:p>
        </w:tc>
        <w:tc>
          <w:tcPr>
            <w:tcW w:w="0" w:type="auto"/>
          </w:tcPr>
          <w:p w14:paraId="7FBCB182" w14:textId="738CEA33" w:rsidR="003D336B" w:rsidRDefault="002C748D" w:rsidP="787E070B">
            <w:pPr>
              <w:spacing w:before="100" w:after="0"/>
              <w:rPr>
                <w:color w:val="000000" w:themeColor="text1"/>
              </w:rPr>
            </w:pPr>
            <w:r>
              <w:rPr>
                <w:color w:val="000000" w:themeColor="text1"/>
              </w:rPr>
              <w:t>This goal addresses p</w:t>
            </w:r>
            <w:r w:rsidR="003D336B" w:rsidRPr="787E070B">
              <w:rPr>
                <w:color w:val="000000" w:themeColor="text1"/>
              </w:rPr>
              <w:t>ublic infrastructure improvements for business expansion and subsequent job creation for low-to-moderate income persons.</w:t>
            </w:r>
          </w:p>
          <w:p w14:paraId="17CADA8F" w14:textId="2DDEFC11" w:rsidR="003D336B" w:rsidRDefault="279A4013" w:rsidP="787E070B">
            <w:pPr>
              <w:spacing w:before="100" w:after="0"/>
              <w:rPr>
                <w:color w:val="000000" w:themeColor="text1"/>
              </w:rPr>
            </w:pPr>
            <w:r w:rsidRPr="098FA5AC">
              <w:rPr>
                <w:color w:val="000000" w:themeColor="text1"/>
              </w:rPr>
              <w:t>Idaho needs j</w:t>
            </w:r>
            <w:r w:rsidR="35F88D6A" w:rsidRPr="098FA5AC">
              <w:rPr>
                <w:color w:val="000000" w:themeColor="text1"/>
              </w:rPr>
              <w:t>ob</w:t>
            </w:r>
            <w:r w:rsidR="003D336B" w:rsidRPr="787E070B">
              <w:rPr>
                <w:color w:val="000000" w:themeColor="text1"/>
              </w:rPr>
              <w:t xml:space="preserve"> creation, especially higher paying jobs, </w:t>
            </w:r>
            <w:r w:rsidR="001AB95B" w:rsidRPr="098FA5AC">
              <w:rPr>
                <w:color w:val="000000" w:themeColor="text1"/>
              </w:rPr>
              <w:t>to</w:t>
            </w:r>
            <w:r w:rsidR="003D336B" w:rsidRPr="787E070B">
              <w:rPr>
                <w:color w:val="000000" w:themeColor="text1"/>
              </w:rPr>
              <w:t xml:space="preserve"> address the overall housing affordability challenges</w:t>
            </w:r>
            <w:r w:rsidR="35F88D6A" w:rsidRPr="098FA5AC">
              <w:rPr>
                <w:color w:val="000000" w:themeColor="text1"/>
              </w:rPr>
              <w:t>.</w:t>
            </w:r>
            <w:r w:rsidR="003D336B" w:rsidRPr="787E070B">
              <w:rPr>
                <w:color w:val="000000" w:themeColor="text1"/>
              </w:rPr>
              <w:t>  However, utilizing CDBG for job creation is not always user friendly for local governments and their partnering business due to environment review timelines, property acquisition standards, and job creation/retention requirements.  Therefore, only a limited number of eligible job creation projects that are not in a fast-tracking mode nor obligating a large percentage of private funds to the public infrastructure expansion, are an effective and efficient use of CDBG.   </w:t>
            </w:r>
          </w:p>
        </w:tc>
      </w:tr>
      <w:tr w:rsidR="003D336B" w14:paraId="445C800D" w14:textId="77777777" w:rsidTr="787E070B">
        <w:trPr>
          <w:cantSplit/>
        </w:trPr>
        <w:tc>
          <w:tcPr>
            <w:tcW w:w="0" w:type="auto"/>
            <w:vMerge w:val="restart"/>
          </w:tcPr>
          <w:p w14:paraId="1DFC8CA5" w14:textId="77777777" w:rsidR="003D336B" w:rsidRDefault="003D336B" w:rsidP="00E53512">
            <w:pPr>
              <w:keepNext/>
              <w:spacing w:before="100" w:after="0"/>
            </w:pPr>
            <w:r>
              <w:rPr>
                <w:b/>
                <w:color w:val="000000"/>
              </w:rPr>
              <w:t>5</w:t>
            </w:r>
          </w:p>
        </w:tc>
        <w:tc>
          <w:tcPr>
            <w:tcW w:w="0" w:type="auto"/>
          </w:tcPr>
          <w:p w14:paraId="7CAC6AFB" w14:textId="77777777" w:rsidR="003D336B" w:rsidRDefault="003D336B" w:rsidP="00E53512">
            <w:pPr>
              <w:keepNext/>
              <w:spacing w:before="100" w:after="0"/>
              <w:rPr>
                <w:b/>
              </w:rPr>
            </w:pPr>
            <w:r>
              <w:rPr>
                <w:b/>
              </w:rPr>
              <w:t>Goal Name</w:t>
            </w:r>
          </w:p>
        </w:tc>
        <w:tc>
          <w:tcPr>
            <w:tcW w:w="0" w:type="auto"/>
          </w:tcPr>
          <w:p w14:paraId="7D91259A" w14:textId="77777777" w:rsidR="003D336B" w:rsidRPr="007B7B72" w:rsidRDefault="003D336B" w:rsidP="00E53512">
            <w:pPr>
              <w:spacing w:before="100" w:after="0"/>
              <w:rPr>
                <w:b/>
                <w:bCs/>
              </w:rPr>
            </w:pPr>
            <w:r w:rsidRPr="007B7B72">
              <w:rPr>
                <w:b/>
                <w:bCs/>
                <w:color w:val="000000"/>
              </w:rPr>
              <w:t>Economic Development-Downtown Revitalization</w:t>
            </w:r>
          </w:p>
        </w:tc>
      </w:tr>
      <w:tr w:rsidR="003D336B" w14:paraId="3688A4E8" w14:textId="77777777" w:rsidTr="787E070B">
        <w:trPr>
          <w:cantSplit/>
        </w:trPr>
        <w:tc>
          <w:tcPr>
            <w:tcW w:w="0" w:type="auto"/>
            <w:vMerge/>
          </w:tcPr>
          <w:p w14:paraId="2BA95D59" w14:textId="77777777" w:rsidR="003D336B" w:rsidRDefault="003D336B" w:rsidP="00E53512"/>
        </w:tc>
        <w:tc>
          <w:tcPr>
            <w:tcW w:w="0" w:type="auto"/>
          </w:tcPr>
          <w:p w14:paraId="1B6EE505" w14:textId="77777777" w:rsidR="003D336B" w:rsidRDefault="003D336B" w:rsidP="00E53512">
            <w:pPr>
              <w:keepNext/>
              <w:spacing w:before="100" w:after="0"/>
              <w:rPr>
                <w:b/>
              </w:rPr>
            </w:pPr>
            <w:r>
              <w:rPr>
                <w:b/>
              </w:rPr>
              <w:t>Goal Description</w:t>
            </w:r>
          </w:p>
        </w:tc>
        <w:tc>
          <w:tcPr>
            <w:tcW w:w="0" w:type="auto"/>
          </w:tcPr>
          <w:p w14:paraId="0854A173" w14:textId="77777777" w:rsidR="003D336B" w:rsidRDefault="003D336B" w:rsidP="787E070B">
            <w:pPr>
              <w:spacing w:before="100" w:after="0"/>
              <w:rPr>
                <w:color w:val="000000" w:themeColor="text1"/>
              </w:rPr>
            </w:pPr>
            <w:r w:rsidRPr="787E070B">
              <w:rPr>
                <w:color w:val="000000" w:themeColor="text1"/>
              </w:rPr>
              <w:t>Public improvements to downtown blighted areas.</w:t>
            </w:r>
          </w:p>
          <w:p w14:paraId="10AC215D" w14:textId="63132226" w:rsidR="003D336B" w:rsidRDefault="003D336B" w:rsidP="787E070B">
            <w:pPr>
              <w:spacing w:before="100" w:after="0"/>
              <w:rPr>
                <w:color w:val="000000" w:themeColor="text1"/>
              </w:rPr>
            </w:pPr>
            <w:r w:rsidRPr="787E070B">
              <w:rPr>
                <w:color w:val="000000" w:themeColor="text1"/>
              </w:rPr>
              <w:t xml:space="preserve">Many smaller cities that are served by the CDBG program have seen retail box type businesses establish outside their downtown area which have pulled business and jobs out of their downtown core or have experienced a general lack of sustainable investment in the existing private buildings.   </w:t>
            </w:r>
            <w:proofErr w:type="gramStart"/>
            <w:r w:rsidRPr="787E070B">
              <w:rPr>
                <w:color w:val="000000" w:themeColor="text1"/>
              </w:rPr>
              <w:t>In an effort to</w:t>
            </w:r>
            <w:proofErr w:type="gramEnd"/>
            <w:r w:rsidRPr="787E070B">
              <w:rPr>
                <w:color w:val="000000" w:themeColor="text1"/>
              </w:rPr>
              <w:t xml:space="preserve"> mitigate these elements and help keep small businesses downtown, some cities are looking to reinvest back into their downtowns.  In part because it’s a significant part of the community's sense of place, has existing infrastructure, and can also be a draw for tourism.  Therefore, a demand exists to improve their downtown infrastructure, which typically includes ADA improvements. </w:t>
            </w:r>
          </w:p>
        </w:tc>
      </w:tr>
      <w:tr w:rsidR="003D336B" w14:paraId="2B2E4347" w14:textId="77777777" w:rsidTr="787E070B">
        <w:trPr>
          <w:cantSplit/>
        </w:trPr>
        <w:tc>
          <w:tcPr>
            <w:tcW w:w="0" w:type="auto"/>
            <w:vMerge w:val="restart"/>
          </w:tcPr>
          <w:p w14:paraId="332B33FF" w14:textId="77777777" w:rsidR="003D336B" w:rsidRDefault="003D336B" w:rsidP="00E53512">
            <w:pPr>
              <w:keepNext/>
              <w:spacing w:before="100" w:after="0"/>
            </w:pPr>
            <w:r>
              <w:rPr>
                <w:b/>
                <w:color w:val="000000"/>
              </w:rPr>
              <w:lastRenderedPageBreak/>
              <w:t>6</w:t>
            </w:r>
          </w:p>
        </w:tc>
        <w:tc>
          <w:tcPr>
            <w:tcW w:w="0" w:type="auto"/>
          </w:tcPr>
          <w:p w14:paraId="1B767DB4" w14:textId="77777777" w:rsidR="003D336B" w:rsidRDefault="003D336B" w:rsidP="00E53512">
            <w:pPr>
              <w:keepNext/>
              <w:spacing w:before="100" w:after="0"/>
              <w:rPr>
                <w:b/>
              </w:rPr>
            </w:pPr>
            <w:r>
              <w:rPr>
                <w:b/>
              </w:rPr>
              <w:t>Goal Name</w:t>
            </w:r>
          </w:p>
        </w:tc>
        <w:tc>
          <w:tcPr>
            <w:tcW w:w="0" w:type="auto"/>
          </w:tcPr>
          <w:p w14:paraId="2BC1217B" w14:textId="77777777" w:rsidR="003D336B" w:rsidRPr="007B7B72" w:rsidRDefault="003D336B" w:rsidP="00E53512">
            <w:pPr>
              <w:spacing w:before="100" w:after="0"/>
              <w:rPr>
                <w:b/>
                <w:bCs/>
              </w:rPr>
            </w:pPr>
            <w:r w:rsidRPr="007B7B72">
              <w:rPr>
                <w:b/>
                <w:bCs/>
                <w:color w:val="000000"/>
              </w:rPr>
              <w:t>Provide Suitable Living Environment</w:t>
            </w:r>
          </w:p>
        </w:tc>
      </w:tr>
      <w:tr w:rsidR="003D336B" w14:paraId="3BFABE2D" w14:textId="77777777" w:rsidTr="787E070B">
        <w:trPr>
          <w:cantSplit/>
        </w:trPr>
        <w:tc>
          <w:tcPr>
            <w:tcW w:w="0" w:type="auto"/>
            <w:vMerge/>
          </w:tcPr>
          <w:p w14:paraId="28D7BB3C" w14:textId="77777777" w:rsidR="003D336B" w:rsidRDefault="003D336B" w:rsidP="003D336B"/>
        </w:tc>
        <w:tc>
          <w:tcPr>
            <w:tcW w:w="0" w:type="auto"/>
          </w:tcPr>
          <w:p w14:paraId="7736A85D" w14:textId="77777777" w:rsidR="003D336B" w:rsidRDefault="003D336B" w:rsidP="003D336B">
            <w:pPr>
              <w:keepNext/>
              <w:spacing w:before="100" w:after="0"/>
              <w:rPr>
                <w:b/>
              </w:rPr>
            </w:pPr>
            <w:r>
              <w:rPr>
                <w:b/>
              </w:rPr>
              <w:t>Goal Description</w:t>
            </w:r>
          </w:p>
        </w:tc>
        <w:tc>
          <w:tcPr>
            <w:tcW w:w="0" w:type="auto"/>
          </w:tcPr>
          <w:p w14:paraId="06E5E123" w14:textId="18F27514" w:rsidR="003D336B" w:rsidRDefault="003D336B" w:rsidP="003D336B">
            <w:pPr>
              <w:spacing w:before="100" w:after="0"/>
            </w:pPr>
            <w:r>
              <w:rPr>
                <w:color w:val="000000"/>
              </w:rPr>
              <w:t>This program will support individuals experiencing homelessness through the provision of t</w:t>
            </w:r>
            <w:r w:rsidRPr="00BF01AF">
              <w:rPr>
                <w:color w:val="000000"/>
              </w:rPr>
              <w:t>enant-based rental assistanc</w:t>
            </w:r>
            <w:r>
              <w:rPr>
                <w:color w:val="000000"/>
              </w:rPr>
              <w:t>e, emergency shelter, and h</w:t>
            </w:r>
            <w:r w:rsidRPr="00BF01AF">
              <w:rPr>
                <w:color w:val="000000"/>
              </w:rPr>
              <w:t xml:space="preserve">omelessness </w:t>
            </w:r>
            <w:r>
              <w:rPr>
                <w:color w:val="000000"/>
              </w:rPr>
              <w:t xml:space="preserve">prevention. </w:t>
            </w:r>
          </w:p>
        </w:tc>
      </w:tr>
      <w:tr w:rsidR="003D336B" w14:paraId="38C24E80" w14:textId="77777777" w:rsidTr="787E070B">
        <w:trPr>
          <w:cantSplit/>
        </w:trPr>
        <w:tc>
          <w:tcPr>
            <w:tcW w:w="0" w:type="auto"/>
            <w:vMerge w:val="restart"/>
          </w:tcPr>
          <w:p w14:paraId="1D5EA29C" w14:textId="77777777" w:rsidR="003D336B" w:rsidRDefault="003D336B" w:rsidP="003D336B">
            <w:pPr>
              <w:keepNext/>
              <w:spacing w:before="100" w:after="0"/>
            </w:pPr>
            <w:r>
              <w:rPr>
                <w:b/>
                <w:color w:val="000000"/>
              </w:rPr>
              <w:t>7</w:t>
            </w:r>
          </w:p>
        </w:tc>
        <w:tc>
          <w:tcPr>
            <w:tcW w:w="0" w:type="auto"/>
          </w:tcPr>
          <w:p w14:paraId="5291017A" w14:textId="77777777" w:rsidR="003D336B" w:rsidRDefault="003D336B" w:rsidP="003D336B">
            <w:pPr>
              <w:keepNext/>
              <w:spacing w:before="100" w:after="0"/>
              <w:rPr>
                <w:b/>
              </w:rPr>
            </w:pPr>
            <w:r>
              <w:rPr>
                <w:b/>
              </w:rPr>
              <w:t>Goal Name</w:t>
            </w:r>
          </w:p>
        </w:tc>
        <w:tc>
          <w:tcPr>
            <w:tcW w:w="0" w:type="auto"/>
          </w:tcPr>
          <w:p w14:paraId="1FF2981D" w14:textId="77777777" w:rsidR="003D336B" w:rsidRPr="007B7B72" w:rsidRDefault="003D336B" w:rsidP="003D336B">
            <w:pPr>
              <w:spacing w:before="100" w:after="0"/>
              <w:rPr>
                <w:b/>
                <w:bCs/>
              </w:rPr>
            </w:pPr>
            <w:r w:rsidRPr="007B7B72">
              <w:rPr>
                <w:b/>
                <w:bCs/>
                <w:color w:val="000000"/>
              </w:rPr>
              <w:t>Provide Decent Affordable Housing</w:t>
            </w:r>
          </w:p>
        </w:tc>
      </w:tr>
      <w:tr w:rsidR="003D336B" w14:paraId="0A20D1CF" w14:textId="77777777" w:rsidTr="787E070B">
        <w:trPr>
          <w:cantSplit/>
        </w:trPr>
        <w:tc>
          <w:tcPr>
            <w:tcW w:w="0" w:type="auto"/>
            <w:vMerge/>
          </w:tcPr>
          <w:p w14:paraId="114A66A9" w14:textId="77777777" w:rsidR="003D336B" w:rsidRDefault="003D336B" w:rsidP="003D336B"/>
        </w:tc>
        <w:tc>
          <w:tcPr>
            <w:tcW w:w="0" w:type="auto"/>
          </w:tcPr>
          <w:p w14:paraId="6E5112EB" w14:textId="77777777" w:rsidR="003D336B" w:rsidRDefault="003D336B" w:rsidP="003D336B">
            <w:pPr>
              <w:keepNext/>
              <w:spacing w:before="100" w:after="0"/>
              <w:rPr>
                <w:b/>
              </w:rPr>
            </w:pPr>
            <w:r>
              <w:rPr>
                <w:b/>
              </w:rPr>
              <w:t>Goal Description</w:t>
            </w:r>
          </w:p>
        </w:tc>
        <w:tc>
          <w:tcPr>
            <w:tcW w:w="0" w:type="auto"/>
          </w:tcPr>
          <w:p w14:paraId="374FC40C" w14:textId="52913D5A" w:rsidR="003D336B" w:rsidRDefault="003D336B" w:rsidP="787E070B">
            <w:pPr>
              <w:spacing w:before="100" w:after="0"/>
              <w:rPr>
                <w:color w:val="000000" w:themeColor="text1"/>
              </w:rPr>
            </w:pPr>
            <w:r w:rsidRPr="787E070B">
              <w:rPr>
                <w:color w:val="000000" w:themeColor="text1"/>
              </w:rPr>
              <w:t xml:space="preserve">The HOME Program will award funds to approved eligible affordable rental housing and homebuyer activities during the 2025 Program Year. </w:t>
            </w:r>
            <w:r w:rsidR="2385DE0D" w:rsidRPr="787E070B">
              <w:rPr>
                <w:color w:val="000000" w:themeColor="text1"/>
              </w:rPr>
              <w:t xml:space="preserve">For future years, IHFA is exploring the development of a Tenant Based Rental Assistance Program. </w:t>
            </w:r>
            <w:r w:rsidRPr="787E070B">
              <w:rPr>
                <w:color w:val="000000" w:themeColor="text1"/>
              </w:rPr>
              <w:t xml:space="preserve">IHFA anticipates all activities approved in the </w:t>
            </w:r>
            <w:r w:rsidR="0713F005" w:rsidRPr="098FA5AC">
              <w:rPr>
                <w:color w:val="000000" w:themeColor="text1"/>
              </w:rPr>
              <w:t>P</w:t>
            </w:r>
            <w:r w:rsidR="35F88D6A" w:rsidRPr="098FA5AC">
              <w:rPr>
                <w:color w:val="000000" w:themeColor="text1"/>
              </w:rPr>
              <w:t xml:space="preserve">rogram </w:t>
            </w:r>
            <w:r w:rsidR="59D0C79F" w:rsidRPr="098FA5AC">
              <w:rPr>
                <w:color w:val="000000" w:themeColor="text1"/>
              </w:rPr>
              <w:t>Y</w:t>
            </w:r>
            <w:r w:rsidR="35F88D6A" w:rsidRPr="098FA5AC">
              <w:rPr>
                <w:color w:val="000000" w:themeColor="text1"/>
              </w:rPr>
              <w:t>ear</w:t>
            </w:r>
            <w:r w:rsidRPr="787E070B">
              <w:rPr>
                <w:color w:val="000000" w:themeColor="text1"/>
              </w:rPr>
              <w:t xml:space="preserve"> 202</w:t>
            </w:r>
            <w:r w:rsidR="6ADE7762" w:rsidRPr="787E070B">
              <w:rPr>
                <w:color w:val="000000" w:themeColor="text1"/>
              </w:rPr>
              <w:t>5</w:t>
            </w:r>
            <w:r w:rsidRPr="787E070B">
              <w:rPr>
                <w:color w:val="000000" w:themeColor="text1"/>
              </w:rPr>
              <w:t xml:space="preserve"> should be completed by the end of Program year 2028.</w:t>
            </w:r>
          </w:p>
        </w:tc>
      </w:tr>
    </w:tbl>
    <w:p w14:paraId="281DB6AF" w14:textId="77777777" w:rsidR="003D336B" w:rsidRDefault="003D336B" w:rsidP="003D336B">
      <w:pPr>
        <w:rPr>
          <w:b/>
          <w:sz w:val="24"/>
          <w:szCs w:val="24"/>
        </w:rPr>
      </w:pPr>
    </w:p>
    <w:p w14:paraId="16F6322A" w14:textId="77777777" w:rsidR="003D336B" w:rsidRDefault="003D336B" w:rsidP="003D336B">
      <w:pPr>
        <w:rPr>
          <w:b/>
          <w:sz w:val="24"/>
          <w:szCs w:val="24"/>
        </w:rPr>
      </w:pPr>
    </w:p>
    <w:p w14:paraId="7DEF3FE2" w14:textId="77777777" w:rsidR="003D336B" w:rsidRDefault="003D336B" w:rsidP="003D336B">
      <w:pPr>
        <w:rPr>
          <w:b/>
          <w:sz w:val="24"/>
          <w:szCs w:val="24"/>
        </w:rPr>
      </w:pPr>
    </w:p>
    <w:p w14:paraId="158D1117" w14:textId="77777777" w:rsidR="003D336B" w:rsidRDefault="003D336B" w:rsidP="009A2C2E">
      <w:pPr>
        <w:sectPr w:rsidR="003D336B" w:rsidSect="003D336B">
          <w:pgSz w:w="12240" w:h="15840" w:code="1"/>
          <w:pgMar w:top="1440" w:right="1440" w:bottom="1440" w:left="1440" w:header="720" w:footer="720" w:gutter="0"/>
          <w:cols w:space="720"/>
          <w:docGrid w:linePitch="360"/>
        </w:sectPr>
      </w:pPr>
    </w:p>
    <w:p w14:paraId="587F7989" w14:textId="77777777" w:rsidR="009A2C2E" w:rsidRDefault="009A2C2E" w:rsidP="009A2C2E"/>
    <w:p w14:paraId="2B4310ED" w14:textId="77777777" w:rsidR="009A2C2E" w:rsidRDefault="009A2C2E" w:rsidP="009A2C2E">
      <w:pPr>
        <w:pStyle w:val="Heading2"/>
        <w:pageBreakBefore/>
        <w:rPr>
          <w:rFonts w:ascii="Calibri" w:hAnsi="Calibri"/>
          <w:i/>
        </w:rPr>
      </w:pPr>
      <w:bookmarkStart w:id="70" w:name="_Toc191358742"/>
      <w:bookmarkStart w:id="71" w:name="_Toc194673865"/>
      <w:r>
        <w:rPr>
          <w:rFonts w:ascii="Calibri" w:hAnsi="Calibri"/>
        </w:rPr>
        <w:lastRenderedPageBreak/>
        <w:t>SP-50 Public Housing Accessibility and Involvement – 91.315(c)</w:t>
      </w:r>
      <w:bookmarkEnd w:id="70"/>
      <w:bookmarkEnd w:id="71"/>
    </w:p>
    <w:p w14:paraId="46ED19A2" w14:textId="19D7DBD2" w:rsidR="009A2C2E" w:rsidRDefault="009A2C2E" w:rsidP="009A2C2E">
      <w:pPr>
        <w:rPr>
          <w:b/>
          <w:sz w:val="24"/>
          <w:szCs w:val="24"/>
        </w:rPr>
      </w:pPr>
      <w:r>
        <w:rPr>
          <w:b/>
          <w:sz w:val="24"/>
          <w:szCs w:val="24"/>
        </w:rPr>
        <w:t xml:space="preserve">Need to Increase the Number of Accessible Units (if Required by a Section 504 Voluntary Compliance Agreement) </w:t>
      </w:r>
    </w:p>
    <w:p w14:paraId="10FD24E9" w14:textId="365432F9" w:rsidR="009A2C2E" w:rsidRPr="002C748D" w:rsidRDefault="68B7D81D" w:rsidP="002C748D">
      <w:pPr>
        <w:spacing w:beforeAutospacing="1" w:afterAutospacing="1"/>
        <w:jc w:val="both"/>
        <w:rPr>
          <w:rFonts w:cs="Arial"/>
          <w:sz w:val="24"/>
          <w:szCs w:val="24"/>
        </w:rPr>
      </w:pPr>
      <w:r w:rsidRPr="002C748D">
        <w:rPr>
          <w:rFonts w:cs="Arial"/>
          <w:sz w:val="24"/>
          <w:szCs w:val="24"/>
        </w:rPr>
        <w:t>Idaho Housing and Finance Association (</w:t>
      </w:r>
      <w:r w:rsidR="009A2C2E" w:rsidRPr="002C748D">
        <w:rPr>
          <w:rFonts w:cs="Arial"/>
          <w:sz w:val="24"/>
          <w:szCs w:val="24"/>
        </w:rPr>
        <w:t>IHFA</w:t>
      </w:r>
      <w:r w:rsidR="250FCF79" w:rsidRPr="002C748D">
        <w:rPr>
          <w:rFonts w:cs="Arial"/>
          <w:sz w:val="24"/>
          <w:szCs w:val="24"/>
        </w:rPr>
        <w:t>)</w:t>
      </w:r>
      <w:r w:rsidR="009A2C2E" w:rsidRPr="002C748D">
        <w:rPr>
          <w:rFonts w:cs="Arial"/>
          <w:sz w:val="24"/>
          <w:szCs w:val="24"/>
        </w:rPr>
        <w:t xml:space="preserve"> administers the State of Idaho's Section 8 Housing Choice Voucher program in 34 of 44 counties. IHFA is only one of a statewide network of public housing providers.  IHFA does not oversee any citywide or countywide Participating Jurisdictions (PJs) for public housing. These PJs have a local governing board responsible for appointing the governing structure of the local Public Housing Authority (PHA) and direct PHA activities.</w:t>
      </w:r>
    </w:p>
    <w:p w14:paraId="5A7DB5F1" w14:textId="71D926E1" w:rsidR="009A2C2E" w:rsidRPr="002C748D" w:rsidRDefault="009A2C2E" w:rsidP="002C748D">
      <w:pPr>
        <w:spacing w:beforeAutospacing="1" w:afterAutospacing="1"/>
        <w:jc w:val="both"/>
        <w:rPr>
          <w:rFonts w:cs="Arial"/>
          <w:sz w:val="24"/>
          <w:szCs w:val="24"/>
        </w:rPr>
      </w:pPr>
      <w:r w:rsidRPr="002C748D">
        <w:rPr>
          <w:rFonts w:cs="Arial"/>
          <w:sz w:val="24"/>
          <w:szCs w:val="24"/>
        </w:rPr>
        <w:t xml:space="preserve">IHFA administers the Veterans Affairs Supportive Housing </w:t>
      </w:r>
      <w:r w:rsidR="03E5DBA9" w:rsidRPr="002C748D">
        <w:rPr>
          <w:rFonts w:cs="Arial"/>
          <w:sz w:val="24"/>
          <w:szCs w:val="24"/>
        </w:rPr>
        <w:t xml:space="preserve">(VASH) voucher </w:t>
      </w:r>
      <w:r w:rsidRPr="002C748D">
        <w:rPr>
          <w:rFonts w:cs="Arial"/>
          <w:sz w:val="24"/>
          <w:szCs w:val="24"/>
        </w:rPr>
        <w:t>program for homeless veterans</w:t>
      </w:r>
      <w:r w:rsidR="48EF94DB" w:rsidRPr="002C748D">
        <w:rPr>
          <w:rFonts w:cs="Arial"/>
          <w:sz w:val="24"/>
          <w:szCs w:val="24"/>
        </w:rPr>
        <w:t>. O</w:t>
      </w:r>
      <w:r w:rsidR="7B270814" w:rsidRPr="002C748D">
        <w:rPr>
          <w:rFonts w:cs="Arial"/>
          <w:sz w:val="24"/>
          <w:szCs w:val="24"/>
        </w:rPr>
        <w:t>ne</w:t>
      </w:r>
      <w:r w:rsidRPr="002C748D">
        <w:rPr>
          <w:rFonts w:cs="Arial"/>
          <w:sz w:val="24"/>
          <w:szCs w:val="24"/>
        </w:rPr>
        <w:t xml:space="preserve"> of the barriers identified when the program was first implemented, was that security deposits were frequently a barrier for participants under this program. IHFA successfully applied for funding from the Home Partnership Foundation to provide security deposits, when needed for these clients.</w:t>
      </w:r>
    </w:p>
    <w:p w14:paraId="23B9BA57" w14:textId="3C2C9327" w:rsidR="009A2C2E" w:rsidRPr="002C748D" w:rsidRDefault="009A2C2E" w:rsidP="002C748D">
      <w:pPr>
        <w:spacing w:beforeAutospacing="1" w:afterAutospacing="1"/>
        <w:jc w:val="both"/>
        <w:rPr>
          <w:rFonts w:cs="Arial"/>
          <w:sz w:val="24"/>
          <w:szCs w:val="24"/>
        </w:rPr>
      </w:pPr>
      <w:r w:rsidRPr="002C748D">
        <w:rPr>
          <w:rFonts w:cs="Arial"/>
          <w:sz w:val="24"/>
          <w:szCs w:val="24"/>
        </w:rPr>
        <w:t xml:space="preserve">IHFA also administers the Mainstream </w:t>
      </w:r>
      <w:r w:rsidR="158A42B7" w:rsidRPr="002C748D">
        <w:rPr>
          <w:rFonts w:cs="Arial"/>
          <w:sz w:val="24"/>
          <w:szCs w:val="24"/>
        </w:rPr>
        <w:t xml:space="preserve">voucher </w:t>
      </w:r>
      <w:r w:rsidRPr="002C748D">
        <w:rPr>
          <w:rFonts w:cs="Arial"/>
          <w:sz w:val="24"/>
          <w:szCs w:val="24"/>
        </w:rPr>
        <w:t xml:space="preserve">program that assists non-elderly persons with disabilities who are transitioning out of institutions or </w:t>
      </w:r>
      <w:r w:rsidR="3560FA44" w:rsidRPr="002C748D">
        <w:rPr>
          <w:rFonts w:cs="Arial"/>
          <w:sz w:val="24"/>
          <w:szCs w:val="24"/>
        </w:rPr>
        <w:t xml:space="preserve">who are </w:t>
      </w:r>
      <w:r w:rsidRPr="002C748D">
        <w:rPr>
          <w:rFonts w:cs="Arial"/>
          <w:sz w:val="24"/>
          <w:szCs w:val="24"/>
        </w:rPr>
        <w:t xml:space="preserve">homeless for whom security deposits and unit modifications for accessibility would be a barrier to successful leasing. IHFA will continue to apply for </w:t>
      </w:r>
      <w:r w:rsidR="7B270814" w:rsidRPr="002C748D">
        <w:rPr>
          <w:rFonts w:cs="Arial"/>
          <w:sz w:val="24"/>
          <w:szCs w:val="24"/>
        </w:rPr>
        <w:t>th</w:t>
      </w:r>
      <w:r w:rsidR="34242681" w:rsidRPr="002C748D">
        <w:rPr>
          <w:rFonts w:cs="Arial"/>
          <w:sz w:val="24"/>
          <w:szCs w:val="24"/>
        </w:rPr>
        <w:t>ese</w:t>
      </w:r>
      <w:r w:rsidRPr="002C748D">
        <w:rPr>
          <w:rFonts w:cs="Arial"/>
          <w:sz w:val="24"/>
          <w:szCs w:val="24"/>
        </w:rPr>
        <w:t xml:space="preserve"> funding</w:t>
      </w:r>
      <w:r w:rsidR="292EEAE5" w:rsidRPr="002C748D">
        <w:rPr>
          <w:rFonts w:cs="Arial"/>
          <w:sz w:val="24"/>
          <w:szCs w:val="24"/>
        </w:rPr>
        <w:t xml:space="preserve"> types</w:t>
      </w:r>
      <w:r w:rsidRPr="002C748D">
        <w:rPr>
          <w:rFonts w:cs="Arial"/>
          <w:sz w:val="24"/>
          <w:szCs w:val="24"/>
        </w:rPr>
        <w:t>.</w:t>
      </w:r>
    </w:p>
    <w:p w14:paraId="272E62A4" w14:textId="77777777" w:rsidR="009A2C2E" w:rsidRPr="002C748D" w:rsidRDefault="009A2C2E" w:rsidP="002C748D">
      <w:pPr>
        <w:jc w:val="both"/>
        <w:rPr>
          <w:b/>
          <w:sz w:val="24"/>
          <w:szCs w:val="24"/>
        </w:rPr>
      </w:pPr>
      <w:r w:rsidRPr="002C748D">
        <w:rPr>
          <w:b/>
          <w:sz w:val="24"/>
          <w:szCs w:val="24"/>
        </w:rPr>
        <w:t>Activities to Increase Resident Involvements</w:t>
      </w:r>
    </w:p>
    <w:p w14:paraId="21A5953B" w14:textId="396E2A73" w:rsidR="00E56E38" w:rsidRDefault="00E56E38" w:rsidP="00E56E38">
      <w:pPr>
        <w:spacing w:before="100" w:beforeAutospacing="1" w:after="100" w:afterAutospacing="1"/>
        <w:rPr>
          <w:rFonts w:cs="Arial"/>
        </w:rPr>
      </w:pPr>
      <w:r>
        <w:rPr>
          <w:rFonts w:cs="Arial"/>
        </w:rPr>
        <w:t xml:space="preserve">IHFA will continue to make available a Housing Choice Voucher Homeownership program, currently available only to disabled households and those voucher households currently participating in the voucher Family Self Sufficiency program. </w:t>
      </w:r>
    </w:p>
    <w:p w14:paraId="685AAB28" w14:textId="77777777" w:rsidR="00E56E38" w:rsidRDefault="00E56E38" w:rsidP="00E56E38">
      <w:pPr>
        <w:spacing w:beforeAutospacing="1" w:afterAutospacing="1"/>
        <w:rPr>
          <w:rFonts w:cs="Arial"/>
        </w:rPr>
      </w:pPr>
      <w:r>
        <w:rPr>
          <w:rFonts w:cs="Arial"/>
        </w:rPr>
        <w:t>IHFA holds annual HUD PHA Plan public hearings and performs outreach in each area that IHFA has a branch office administering Section 8 vouchers to encourage participation in a Resident Advisory Board.</w:t>
      </w:r>
    </w:p>
    <w:p w14:paraId="4EF9F3EF" w14:textId="77777777" w:rsidR="009A2C2E" w:rsidRPr="002C748D" w:rsidRDefault="009A2C2E" w:rsidP="002C748D">
      <w:pPr>
        <w:jc w:val="both"/>
        <w:rPr>
          <w:rFonts w:cs="Arial"/>
          <w:b/>
          <w:sz w:val="24"/>
          <w:szCs w:val="24"/>
        </w:rPr>
      </w:pPr>
      <w:r w:rsidRPr="002C748D">
        <w:rPr>
          <w:rFonts w:cs="Arial"/>
          <w:b/>
          <w:sz w:val="24"/>
          <w:szCs w:val="24"/>
        </w:rPr>
        <w:t>Is the public housing agency designated as troubled under 24 CFR part 902?</w:t>
      </w:r>
    </w:p>
    <w:p w14:paraId="660FE526" w14:textId="77777777" w:rsidR="009A2C2E" w:rsidRPr="002C748D" w:rsidRDefault="009A2C2E" w:rsidP="002C748D">
      <w:pPr>
        <w:spacing w:beforeAutospacing="1" w:afterAutospacing="1"/>
        <w:jc w:val="both"/>
        <w:rPr>
          <w:rFonts w:cs="Arial"/>
          <w:sz w:val="24"/>
          <w:szCs w:val="24"/>
        </w:rPr>
      </w:pPr>
      <w:r w:rsidRPr="002C748D">
        <w:rPr>
          <w:rFonts w:cs="Arial"/>
          <w:sz w:val="24"/>
          <w:szCs w:val="24"/>
        </w:rPr>
        <w:t>No</w:t>
      </w:r>
    </w:p>
    <w:p w14:paraId="0AD6CE08" w14:textId="77777777" w:rsidR="009A2C2E" w:rsidRPr="002C748D" w:rsidRDefault="009A2C2E" w:rsidP="002C748D">
      <w:pPr>
        <w:jc w:val="both"/>
        <w:rPr>
          <w:b/>
          <w:sz w:val="24"/>
          <w:szCs w:val="24"/>
        </w:rPr>
      </w:pPr>
      <w:r w:rsidRPr="002C748D">
        <w:rPr>
          <w:b/>
          <w:sz w:val="24"/>
          <w:szCs w:val="24"/>
        </w:rPr>
        <w:t xml:space="preserve">Plan to remove the ‘troubled’ designation </w:t>
      </w:r>
    </w:p>
    <w:p w14:paraId="6DAAB99B" w14:textId="77777777" w:rsidR="009A2C2E" w:rsidRPr="002C748D" w:rsidRDefault="009A2C2E" w:rsidP="002C748D">
      <w:pPr>
        <w:spacing w:beforeAutospacing="1" w:afterAutospacing="1"/>
        <w:jc w:val="both"/>
        <w:rPr>
          <w:rFonts w:cs="Arial"/>
          <w:sz w:val="24"/>
          <w:szCs w:val="24"/>
        </w:rPr>
      </w:pPr>
      <w:r w:rsidRPr="002C748D">
        <w:rPr>
          <w:rFonts w:cs="Arial"/>
          <w:sz w:val="24"/>
          <w:szCs w:val="24"/>
        </w:rPr>
        <w:t>N/A</w:t>
      </w:r>
    </w:p>
    <w:p w14:paraId="499F720F" w14:textId="77777777" w:rsidR="009A2C2E" w:rsidRDefault="009A2C2E" w:rsidP="009A2C2E">
      <w:pPr>
        <w:spacing w:after="160" w:line="259" w:lineRule="auto"/>
        <w:rPr>
          <w:rFonts w:cs="Arial"/>
        </w:rPr>
      </w:pPr>
      <w:r>
        <w:rPr>
          <w:rFonts w:cs="Arial"/>
        </w:rPr>
        <w:br w:type="page"/>
      </w:r>
    </w:p>
    <w:p w14:paraId="04E781F2" w14:textId="77777777" w:rsidR="009A2C2E" w:rsidRDefault="009A2C2E" w:rsidP="009A2C2E">
      <w:pPr>
        <w:pStyle w:val="Heading2"/>
        <w:pageBreakBefore/>
        <w:rPr>
          <w:rFonts w:ascii="Calibri" w:hAnsi="Calibri"/>
          <w:i/>
        </w:rPr>
      </w:pPr>
      <w:bookmarkStart w:id="72" w:name="_Toc191358743"/>
      <w:bookmarkStart w:id="73" w:name="_Toc194673866"/>
      <w:r>
        <w:rPr>
          <w:rFonts w:ascii="Calibri" w:hAnsi="Calibri"/>
        </w:rPr>
        <w:lastRenderedPageBreak/>
        <w:t>SP-55 Barriers to affordable housing – 91.315(h)</w:t>
      </w:r>
      <w:bookmarkEnd w:id="72"/>
      <w:bookmarkEnd w:id="73"/>
    </w:p>
    <w:p w14:paraId="4070C1E2" w14:textId="2FDC5CB9" w:rsidR="009A2C2E" w:rsidRDefault="009A2C2E" w:rsidP="009A2C2E">
      <w:pPr>
        <w:rPr>
          <w:b/>
          <w:sz w:val="24"/>
          <w:szCs w:val="24"/>
        </w:rPr>
      </w:pPr>
      <w:r>
        <w:rPr>
          <w:b/>
          <w:sz w:val="24"/>
          <w:szCs w:val="24"/>
        </w:rPr>
        <w:t>Barriers to Affordable Housing</w:t>
      </w:r>
    </w:p>
    <w:p w14:paraId="40CAD1F2" w14:textId="11316AD6" w:rsidR="009A2C2E" w:rsidRDefault="003D336B" w:rsidP="002C748D">
      <w:pPr>
        <w:spacing w:beforeAutospacing="1" w:afterAutospacing="1"/>
        <w:jc w:val="both"/>
        <w:rPr>
          <w:rFonts w:cs="Arial"/>
          <w:sz w:val="24"/>
          <w:szCs w:val="24"/>
        </w:rPr>
      </w:pPr>
      <w:r w:rsidRPr="098FA5AC">
        <w:rPr>
          <w:rFonts w:cs="Arial"/>
          <w:sz w:val="24"/>
          <w:szCs w:val="24"/>
        </w:rPr>
        <w:t xml:space="preserve">A barrier to affordable housing in an action, omission, or decision (1) taken because of race, color, religion, sex, disability, familial status, or national origin (referred to as protected classes) that restrict housing choices or the availability of housing choices, (2) that have the effect of restricting housing choices or the availability of housing choices based on a protected class, or (3) that constitutes or contributes to a denial of housing. Beyond basic education and outreach, any recipient of federal funds from the U.S. Department of Housing and Urban Development must document actions that ‘affirmatively further fair housing.’ The State’s 2022-2027 Analysis of Impediments to Fair Housing (AI) provides an overview of impediments to housing access and fair housing compliance.  The AI also sets forth action steps to address these impediments over the next five years.  These impediments and actions are summarized below.  </w:t>
      </w:r>
    </w:p>
    <w:p w14:paraId="3FE4F865" w14:textId="77777777" w:rsidR="009A2C2E" w:rsidRDefault="009A2C2E" w:rsidP="009A2C2E">
      <w:pPr>
        <w:rPr>
          <w:b/>
          <w:sz w:val="24"/>
          <w:szCs w:val="24"/>
        </w:rPr>
      </w:pPr>
      <w:r>
        <w:rPr>
          <w:b/>
          <w:sz w:val="24"/>
          <w:szCs w:val="24"/>
        </w:rPr>
        <w:t>Strategy to Remove or Ameliorate the Barriers to Affordable Housing</w:t>
      </w:r>
    </w:p>
    <w:p w14:paraId="1D91BDED" w14:textId="191C9D9E" w:rsidR="003D336B" w:rsidRPr="003D336B" w:rsidRDefault="003D336B" w:rsidP="787E070B">
      <w:pPr>
        <w:rPr>
          <w:sz w:val="24"/>
          <w:szCs w:val="24"/>
        </w:rPr>
      </w:pPr>
      <w:r w:rsidRPr="787E070B">
        <w:rPr>
          <w:sz w:val="24"/>
          <w:szCs w:val="24"/>
        </w:rPr>
        <w:t xml:space="preserve">Below are key impediments and corresponding broad action items identified in the 2022-2027 AI. These actions will be carried out during the period of this Consolidated Plan to address barriers to affordable housing.  </w:t>
      </w:r>
    </w:p>
    <w:p w14:paraId="77DB2CA8" w14:textId="77777777" w:rsidR="003D336B" w:rsidRDefault="003D336B" w:rsidP="009A2C2E">
      <w:pPr>
        <w:rPr>
          <w:bCs/>
          <w:sz w:val="24"/>
          <w:szCs w:val="24"/>
        </w:rPr>
      </w:pPr>
      <w:r w:rsidRPr="003D336B">
        <w:rPr>
          <w:b/>
          <w:i/>
          <w:iCs/>
          <w:sz w:val="24"/>
          <w:szCs w:val="24"/>
        </w:rPr>
        <w:t xml:space="preserve">Impediment No. 1: </w:t>
      </w:r>
      <w:r w:rsidRPr="003D336B">
        <w:rPr>
          <w:bCs/>
          <w:sz w:val="24"/>
          <w:szCs w:val="24"/>
        </w:rPr>
        <w:t xml:space="preserve">Many Idaho workers earn low wages that have failed to keep pace with housing cost increases and some residents remain unemployed despite a strong labor market. These residents face persistent cost burden. </w:t>
      </w:r>
    </w:p>
    <w:p w14:paraId="5F5C49C0" w14:textId="77777777" w:rsidR="003D336B" w:rsidRDefault="003D336B" w:rsidP="003D336B">
      <w:pPr>
        <w:ind w:left="720"/>
        <w:rPr>
          <w:bCs/>
          <w:sz w:val="24"/>
          <w:szCs w:val="24"/>
        </w:rPr>
      </w:pPr>
      <w:r w:rsidRPr="003D336B">
        <w:rPr>
          <w:bCs/>
          <w:sz w:val="24"/>
          <w:szCs w:val="24"/>
        </w:rPr>
        <w:t xml:space="preserve">Action item No. 1: Address workers’ and residents’ housing needs through incentives, funding, and technical assistance. </w:t>
      </w:r>
    </w:p>
    <w:p w14:paraId="23BCF269" w14:textId="77777777" w:rsidR="003D336B" w:rsidRDefault="003D336B" w:rsidP="009A2C2E">
      <w:pPr>
        <w:rPr>
          <w:bCs/>
          <w:sz w:val="24"/>
          <w:szCs w:val="24"/>
        </w:rPr>
      </w:pPr>
      <w:r w:rsidRPr="003D336B">
        <w:rPr>
          <w:bCs/>
          <w:sz w:val="24"/>
          <w:szCs w:val="24"/>
        </w:rPr>
        <w:t>I</w:t>
      </w:r>
      <w:r w:rsidRPr="003D336B">
        <w:rPr>
          <w:b/>
          <w:i/>
          <w:iCs/>
          <w:sz w:val="24"/>
          <w:szCs w:val="24"/>
        </w:rPr>
        <w:t xml:space="preserve">mpediment No. 2: </w:t>
      </w:r>
      <w:r w:rsidRPr="003D336B">
        <w:rPr>
          <w:bCs/>
          <w:sz w:val="24"/>
          <w:szCs w:val="24"/>
        </w:rPr>
        <w:t xml:space="preserve">Housing needs persist—and disproportionately affect persons with disabilities and racial and ethnic minority households. </w:t>
      </w:r>
    </w:p>
    <w:p w14:paraId="4CFC0C22" w14:textId="77777777" w:rsidR="003D336B" w:rsidRDefault="003D336B" w:rsidP="003D336B">
      <w:pPr>
        <w:ind w:left="720"/>
        <w:rPr>
          <w:bCs/>
          <w:sz w:val="24"/>
          <w:szCs w:val="24"/>
        </w:rPr>
      </w:pPr>
      <w:r w:rsidRPr="003D336B">
        <w:rPr>
          <w:bCs/>
          <w:sz w:val="24"/>
          <w:szCs w:val="24"/>
        </w:rPr>
        <w:t xml:space="preserve">Action item No. 2a: Reduce disparities in housing needs among persons with disabilities and racial and ethnic minority households. </w:t>
      </w:r>
    </w:p>
    <w:p w14:paraId="18545C4C" w14:textId="77777777" w:rsidR="003D336B" w:rsidRDefault="003D336B" w:rsidP="003D336B">
      <w:pPr>
        <w:ind w:left="720"/>
        <w:rPr>
          <w:bCs/>
          <w:sz w:val="24"/>
          <w:szCs w:val="24"/>
        </w:rPr>
      </w:pPr>
      <w:r w:rsidRPr="003D336B">
        <w:rPr>
          <w:bCs/>
          <w:sz w:val="24"/>
          <w:szCs w:val="24"/>
        </w:rPr>
        <w:t xml:space="preserve">Action item No. 2b: Increase the number of accessible and visitable housing units and accessible neighborhoods for persons with disabilities. </w:t>
      </w:r>
    </w:p>
    <w:p w14:paraId="10D50174" w14:textId="77777777" w:rsidR="003D336B" w:rsidRDefault="003D336B" w:rsidP="009A2C2E">
      <w:pPr>
        <w:rPr>
          <w:bCs/>
          <w:sz w:val="24"/>
          <w:szCs w:val="24"/>
        </w:rPr>
      </w:pPr>
      <w:r w:rsidRPr="003D336B">
        <w:rPr>
          <w:b/>
          <w:i/>
          <w:iCs/>
          <w:sz w:val="24"/>
          <w:szCs w:val="24"/>
        </w:rPr>
        <w:t xml:space="preserve">Impediment No. 3: </w:t>
      </w:r>
      <w:r w:rsidRPr="003D336B">
        <w:rPr>
          <w:bCs/>
          <w:sz w:val="24"/>
          <w:szCs w:val="24"/>
        </w:rPr>
        <w:t xml:space="preserve">Idaho’s regulatory stance on laws affecting affordable housing does not actively facilitate housing production. </w:t>
      </w:r>
    </w:p>
    <w:p w14:paraId="26C5CB12" w14:textId="77777777" w:rsidR="003D336B" w:rsidRDefault="003D336B" w:rsidP="003D336B">
      <w:pPr>
        <w:ind w:firstLine="720"/>
        <w:rPr>
          <w:bCs/>
          <w:sz w:val="24"/>
          <w:szCs w:val="24"/>
        </w:rPr>
      </w:pPr>
      <w:r w:rsidRPr="003D336B">
        <w:rPr>
          <w:bCs/>
          <w:sz w:val="24"/>
          <w:szCs w:val="24"/>
        </w:rPr>
        <w:t xml:space="preserve">Action item No. 3: Support legislative efforts to expand housing choice. </w:t>
      </w:r>
    </w:p>
    <w:p w14:paraId="265697BB" w14:textId="77777777" w:rsidR="003D336B" w:rsidRDefault="003D336B" w:rsidP="009A2C2E">
      <w:pPr>
        <w:rPr>
          <w:bCs/>
          <w:sz w:val="24"/>
          <w:szCs w:val="24"/>
        </w:rPr>
      </w:pPr>
      <w:r w:rsidRPr="003D336B">
        <w:rPr>
          <w:b/>
          <w:i/>
          <w:iCs/>
          <w:sz w:val="24"/>
          <w:szCs w:val="24"/>
        </w:rPr>
        <w:lastRenderedPageBreak/>
        <w:t xml:space="preserve">Impediment No. 4: </w:t>
      </w:r>
      <w:r w:rsidRPr="003D336B">
        <w:rPr>
          <w:bCs/>
          <w:sz w:val="24"/>
          <w:szCs w:val="24"/>
        </w:rPr>
        <w:t xml:space="preserve">Knowledge of fair housing laws and rights could be improved to facilitate housing choice. </w:t>
      </w:r>
    </w:p>
    <w:p w14:paraId="6E9EA513" w14:textId="0D0C2791" w:rsidR="003D336B" w:rsidRPr="003D336B" w:rsidRDefault="003D336B" w:rsidP="003D336B">
      <w:pPr>
        <w:ind w:left="720"/>
        <w:rPr>
          <w:bCs/>
          <w:sz w:val="24"/>
          <w:szCs w:val="24"/>
        </w:rPr>
      </w:pPr>
      <w:r w:rsidRPr="003D336B">
        <w:rPr>
          <w:bCs/>
          <w:sz w:val="24"/>
          <w:szCs w:val="24"/>
        </w:rPr>
        <w:t>Action item No. 4: Continue fair housing education and outreach and further local governments’ adoption of AFFH principles.</w:t>
      </w:r>
    </w:p>
    <w:p w14:paraId="5B362432" w14:textId="77777777" w:rsidR="009A2C2E" w:rsidRDefault="009A2C2E" w:rsidP="009A2C2E">
      <w:pPr>
        <w:pStyle w:val="Heading2"/>
        <w:pageBreakBefore/>
        <w:rPr>
          <w:rFonts w:ascii="Calibri" w:hAnsi="Calibri"/>
          <w:i/>
        </w:rPr>
      </w:pPr>
      <w:bookmarkStart w:id="74" w:name="_Toc191358744"/>
      <w:bookmarkStart w:id="75" w:name="_Toc194673867"/>
      <w:r>
        <w:rPr>
          <w:rFonts w:ascii="Calibri" w:hAnsi="Calibri"/>
        </w:rPr>
        <w:lastRenderedPageBreak/>
        <w:t>SP-60 Homelessness Strategy – 91.315(d)</w:t>
      </w:r>
      <w:bookmarkEnd w:id="74"/>
      <w:bookmarkEnd w:id="75"/>
    </w:p>
    <w:p w14:paraId="471777B1" w14:textId="6B971C8E" w:rsidR="009A2C2E" w:rsidRDefault="009A2C2E" w:rsidP="009A2C2E">
      <w:pPr>
        <w:keepNext/>
        <w:widowControl w:val="0"/>
        <w:rPr>
          <w:b/>
          <w:sz w:val="24"/>
          <w:szCs w:val="24"/>
        </w:rPr>
      </w:pPr>
      <w:r>
        <w:rPr>
          <w:b/>
          <w:sz w:val="24"/>
          <w:szCs w:val="24"/>
        </w:rPr>
        <w:t>Reaching out to homeless persons (especially unsheltered persons) and assessing their individual needs</w:t>
      </w:r>
    </w:p>
    <w:p w14:paraId="41FA1397" w14:textId="25EAF910" w:rsidR="003D336B" w:rsidRPr="00EE3624" w:rsidRDefault="003D336B" w:rsidP="00EE3624">
      <w:pPr>
        <w:keepNext/>
        <w:widowControl w:val="0"/>
        <w:spacing w:beforeAutospacing="1" w:afterAutospacing="1"/>
        <w:jc w:val="both"/>
        <w:rPr>
          <w:rFonts w:cs="Arial"/>
          <w:sz w:val="24"/>
          <w:szCs w:val="24"/>
        </w:rPr>
      </w:pPr>
      <w:r w:rsidRPr="00EE3624">
        <w:rPr>
          <w:rFonts w:cs="Arial"/>
          <w:sz w:val="24"/>
          <w:szCs w:val="24"/>
        </w:rPr>
        <w:t xml:space="preserve">To execute outreach efforts across the </w:t>
      </w:r>
      <w:r w:rsidR="00EE3624" w:rsidRPr="00EE3624">
        <w:rPr>
          <w:rFonts w:cs="Arial"/>
          <w:sz w:val="24"/>
          <w:szCs w:val="24"/>
        </w:rPr>
        <w:t>Balance of State Continuum of Care (</w:t>
      </w:r>
      <w:r w:rsidRPr="00EE3624">
        <w:rPr>
          <w:rFonts w:cs="Arial"/>
          <w:sz w:val="24"/>
          <w:szCs w:val="24"/>
        </w:rPr>
        <w:t>BoS</w:t>
      </w:r>
      <w:r w:rsidR="79027D42" w:rsidRPr="00EE3624">
        <w:rPr>
          <w:rFonts w:cs="Arial"/>
          <w:sz w:val="24"/>
          <w:szCs w:val="24"/>
        </w:rPr>
        <w:t xml:space="preserve"> CoC’</w:t>
      </w:r>
      <w:r w:rsidRPr="00EE3624">
        <w:rPr>
          <w:rFonts w:cs="Arial"/>
          <w:sz w:val="24"/>
          <w:szCs w:val="24"/>
        </w:rPr>
        <w:t>s</w:t>
      </w:r>
      <w:r w:rsidR="00EE3624" w:rsidRPr="00EE3624">
        <w:rPr>
          <w:rFonts w:cs="Arial"/>
          <w:sz w:val="24"/>
          <w:szCs w:val="24"/>
        </w:rPr>
        <w:t>)</w:t>
      </w:r>
      <w:r w:rsidRPr="00EE3624">
        <w:rPr>
          <w:rFonts w:cs="Arial"/>
          <w:sz w:val="24"/>
          <w:szCs w:val="24"/>
        </w:rPr>
        <w:t xml:space="preserve"> broad geographic area, which spans 82,582 square miles, the recipient leverages partnerships with nonprofit organizations throughout Idaho. In the upcoming </w:t>
      </w:r>
      <w:r w:rsidR="35F88D6A" w:rsidRPr="00EE3624">
        <w:rPr>
          <w:rFonts w:cs="Arial"/>
          <w:sz w:val="24"/>
          <w:szCs w:val="24"/>
        </w:rPr>
        <w:t>year</w:t>
      </w:r>
      <w:r w:rsidR="08231AEB" w:rsidRPr="00EE3624">
        <w:rPr>
          <w:rFonts w:cs="Arial"/>
          <w:sz w:val="24"/>
          <w:szCs w:val="24"/>
        </w:rPr>
        <w:t>s</w:t>
      </w:r>
      <w:r w:rsidR="35F88D6A" w:rsidRPr="00EE3624">
        <w:rPr>
          <w:rFonts w:cs="Arial"/>
          <w:sz w:val="24"/>
          <w:szCs w:val="24"/>
        </w:rPr>
        <w:t xml:space="preserve">, the </w:t>
      </w:r>
      <w:r w:rsidR="7275E530" w:rsidRPr="00EE3624">
        <w:rPr>
          <w:rFonts w:cs="Arial"/>
          <w:sz w:val="24"/>
          <w:szCs w:val="24"/>
        </w:rPr>
        <w:t>IHFA</w:t>
      </w:r>
      <w:r w:rsidRPr="00EE3624">
        <w:rPr>
          <w:rFonts w:cs="Arial"/>
          <w:sz w:val="24"/>
          <w:szCs w:val="24"/>
        </w:rPr>
        <w:t xml:space="preserve"> recipient will continue to support these agencies in their efforts to ensure persons experiencing unsheltered homelessness are identified and assessed. Many agencies utilize staff, advocates, and volunteers to provide outreach efforts. Agencies also leverage partnerships with organizations including school districts, law enforcement agencies, healthcare providers, parks and recreational departments, libraries, food pantries, emergency shelters, and others to facilitate outreach efforts.</w:t>
      </w:r>
      <w:r w:rsidR="00EE3624" w:rsidRPr="00EE3624">
        <w:rPr>
          <w:rFonts w:cs="Arial"/>
          <w:sz w:val="24"/>
          <w:szCs w:val="24"/>
        </w:rPr>
        <w:t xml:space="preserve"> (A COC is a local or regional planning body that coordinates funding and services for people experiencing homelessness, aiming to end homelessness and provide stable housing and support. A BoS COC is a system, often encompassing rural areas and smaller cities, that addresses homelessness by coordinating efforts to provide housing and services, often in areas not covered by other COCs.)</w:t>
      </w:r>
    </w:p>
    <w:p w14:paraId="3ED3B7EF" w14:textId="77777777" w:rsidR="00EE3624" w:rsidRDefault="003D336B" w:rsidP="00EE3624">
      <w:pPr>
        <w:keepNext/>
        <w:widowControl w:val="0"/>
        <w:spacing w:beforeAutospacing="1" w:afterAutospacing="1"/>
        <w:jc w:val="both"/>
        <w:rPr>
          <w:rFonts w:cs="Arial"/>
          <w:sz w:val="24"/>
          <w:szCs w:val="24"/>
        </w:rPr>
      </w:pPr>
      <w:r w:rsidRPr="00EE3624">
        <w:rPr>
          <w:rFonts w:cs="Arial"/>
          <w:sz w:val="24"/>
          <w:szCs w:val="24"/>
        </w:rPr>
        <w:t xml:space="preserve">Outreach is conducted during the annual </w:t>
      </w:r>
      <w:r w:rsidR="00EE3624" w:rsidRPr="00EE3624">
        <w:rPr>
          <w:rFonts w:cs="Arial"/>
          <w:sz w:val="24"/>
          <w:szCs w:val="24"/>
        </w:rPr>
        <w:t>Point-In- Time (</w:t>
      </w:r>
      <w:r w:rsidRPr="00EE3624">
        <w:rPr>
          <w:rFonts w:cs="Arial"/>
          <w:sz w:val="24"/>
          <w:szCs w:val="24"/>
        </w:rPr>
        <w:t>PIT</w:t>
      </w:r>
      <w:r w:rsidR="00EE3624" w:rsidRPr="00EE3624">
        <w:rPr>
          <w:rFonts w:cs="Arial"/>
          <w:sz w:val="24"/>
          <w:szCs w:val="24"/>
        </w:rPr>
        <w:t>)</w:t>
      </w:r>
      <w:r w:rsidRPr="00EE3624">
        <w:rPr>
          <w:rFonts w:cs="Arial"/>
          <w:sz w:val="24"/>
          <w:szCs w:val="24"/>
        </w:rPr>
        <w:t xml:space="preserve"> </w:t>
      </w:r>
      <w:r w:rsidR="53F11A42" w:rsidRPr="00EE3624">
        <w:rPr>
          <w:rFonts w:cs="Arial"/>
          <w:sz w:val="24"/>
          <w:szCs w:val="24"/>
        </w:rPr>
        <w:t>C</w:t>
      </w:r>
      <w:r w:rsidR="35F88D6A" w:rsidRPr="00EE3624">
        <w:rPr>
          <w:rFonts w:cs="Arial"/>
          <w:sz w:val="24"/>
          <w:szCs w:val="24"/>
        </w:rPr>
        <w:t>ount</w:t>
      </w:r>
      <w:r w:rsidRPr="00EE3624">
        <w:rPr>
          <w:rFonts w:cs="Arial"/>
          <w:sz w:val="24"/>
          <w:szCs w:val="24"/>
        </w:rPr>
        <w:t xml:space="preserve"> through identification of those experiencing unsheltered homelessness in geographically diverse locations. Partner agency staff and PIT count volunteers are trained to “meet” individuals experiencing homelessness where they are physically located and to assess their level of readiness to engage in services. During initial conversations, representatives provide helpful information based on an individual’s specific need.</w:t>
      </w:r>
    </w:p>
    <w:p w14:paraId="004C09DD" w14:textId="175C1E9F" w:rsidR="003D336B" w:rsidRPr="00EE3624" w:rsidRDefault="003D336B" w:rsidP="00EE3624">
      <w:pPr>
        <w:keepNext/>
        <w:widowControl w:val="0"/>
        <w:spacing w:beforeAutospacing="1" w:afterAutospacing="1"/>
        <w:jc w:val="both"/>
        <w:rPr>
          <w:rFonts w:cs="Arial"/>
          <w:sz w:val="24"/>
          <w:szCs w:val="24"/>
        </w:rPr>
      </w:pPr>
      <w:r w:rsidRPr="00EE3624">
        <w:rPr>
          <w:rFonts w:cs="Arial"/>
          <w:sz w:val="24"/>
          <w:szCs w:val="24"/>
        </w:rPr>
        <w:t xml:space="preserve">The recipient will continue to administer the Coordinated Entry system, which ensures homeless </w:t>
      </w:r>
      <w:proofErr w:type="gramStart"/>
      <w:r w:rsidRPr="00EE3624">
        <w:rPr>
          <w:rFonts w:cs="Arial"/>
          <w:sz w:val="24"/>
          <w:szCs w:val="24"/>
        </w:rPr>
        <w:t>persons</w:t>
      </w:r>
      <w:proofErr w:type="gramEnd"/>
      <w:r w:rsidRPr="00EE3624">
        <w:rPr>
          <w:rFonts w:cs="Arial"/>
          <w:sz w:val="24"/>
          <w:szCs w:val="24"/>
        </w:rPr>
        <w:t xml:space="preserve"> are directed towards the resources that have the highest likelihood of reducing their extent of </w:t>
      </w:r>
      <w:proofErr w:type="gramStart"/>
      <w:r w:rsidRPr="00EE3624">
        <w:rPr>
          <w:rFonts w:cs="Arial"/>
          <w:sz w:val="24"/>
          <w:szCs w:val="24"/>
        </w:rPr>
        <w:t>homelessness, or</w:t>
      </w:r>
      <w:proofErr w:type="gramEnd"/>
      <w:r w:rsidRPr="00EE3624">
        <w:rPr>
          <w:rFonts w:cs="Arial"/>
          <w:sz w:val="24"/>
          <w:szCs w:val="24"/>
        </w:rPr>
        <w:t xml:space="preserve"> diverted from homelessness altogether. Using a consistent and well-coordinated approach, the process relies on streamlining access to housing assistance, screening applicants for eligibility, and assessing their needs to determine which interventions are most appropriate. This has proved to be an invaluable tool in assessing the vulnerability, needs, and extent of barriers of those experiencing homelessness. To reach people least likely to seek homelessness assistance, the recipient works in collaboration with the Idaho Department of Health and Welfare’s 211 Care Line, Health and Welfare Navigators, Regional Coalition members, </w:t>
      </w:r>
      <w:r w:rsidR="428D44F2" w:rsidRPr="00EE3624">
        <w:rPr>
          <w:rFonts w:cs="Arial"/>
          <w:sz w:val="24"/>
          <w:szCs w:val="24"/>
        </w:rPr>
        <w:t xml:space="preserve">United Way’s FindhelpIdaho.org, </w:t>
      </w:r>
      <w:r w:rsidRPr="00EE3624">
        <w:rPr>
          <w:rFonts w:cs="Arial"/>
          <w:sz w:val="24"/>
          <w:szCs w:val="24"/>
        </w:rPr>
        <w:t xml:space="preserve">and PATH peer specialists to ensure people throughout the </w:t>
      </w:r>
      <w:r w:rsidRPr="00EE3624">
        <w:rPr>
          <w:rFonts w:cs="Arial"/>
          <w:sz w:val="24"/>
          <w:szCs w:val="24"/>
        </w:rPr>
        <w:lastRenderedPageBreak/>
        <w:t>CoC’s geographic area are aware of, and have access to, the Coordinated Entry system.</w:t>
      </w:r>
    </w:p>
    <w:p w14:paraId="471FA36A" w14:textId="69DE6D87" w:rsidR="1B36A4E8" w:rsidRPr="00EE3624" w:rsidRDefault="1B36A4E8" w:rsidP="00EE3624">
      <w:pPr>
        <w:spacing w:after="150"/>
        <w:jc w:val="both"/>
        <w:rPr>
          <w:rFonts w:asciiTheme="minorHAnsi" w:eastAsiaTheme="minorEastAsia" w:hAnsiTheme="minorHAnsi" w:cstheme="minorBidi"/>
          <w:color w:val="000000" w:themeColor="text1"/>
          <w:sz w:val="24"/>
          <w:szCs w:val="24"/>
        </w:rPr>
      </w:pPr>
      <w:r w:rsidRPr="00EE3624">
        <w:rPr>
          <w:rFonts w:asciiTheme="minorHAnsi" w:eastAsiaTheme="minorEastAsia" w:hAnsiTheme="minorHAnsi" w:cstheme="minorBidi"/>
          <w:color w:val="000000" w:themeColor="text1"/>
          <w:sz w:val="24"/>
          <w:szCs w:val="24"/>
        </w:rPr>
        <w:t>In addition to the outreach efforts above, the BoS CoC has created compensated subcommittees to gather information from adults and youth with Lived Experience (LE) of unsheltered homelessness. These subcommittees are the Lived Experience Panel (LEP) and the Youth Action Board (YAB). Between the two subcommittees, there are more than 35 representatives across all six regions of the BoS CoC that provide LE feedback on outreach and resources to the continuum. Many CoC policies and governing documents have been revised by members of the LEP and YAB.</w:t>
      </w:r>
    </w:p>
    <w:p w14:paraId="1956FF41" w14:textId="77777777" w:rsidR="009A2C2E" w:rsidRPr="00EE3624" w:rsidRDefault="009A2C2E" w:rsidP="00EE3624">
      <w:pPr>
        <w:keepNext/>
        <w:widowControl w:val="0"/>
        <w:jc w:val="both"/>
        <w:rPr>
          <w:b/>
          <w:sz w:val="24"/>
          <w:szCs w:val="24"/>
        </w:rPr>
      </w:pPr>
      <w:r w:rsidRPr="00EE3624">
        <w:rPr>
          <w:b/>
          <w:sz w:val="24"/>
          <w:szCs w:val="24"/>
        </w:rPr>
        <w:t>Addressing the emergency shelter and transitional housing needs of homeless persons</w:t>
      </w:r>
    </w:p>
    <w:p w14:paraId="3C23E940" w14:textId="31859CEE" w:rsidR="003D336B" w:rsidRPr="00EE3624" w:rsidRDefault="106CC438" w:rsidP="00EE3624">
      <w:pPr>
        <w:keepNext/>
        <w:widowControl w:val="0"/>
        <w:spacing w:beforeAutospacing="1" w:afterAutospacing="1"/>
        <w:jc w:val="both"/>
        <w:rPr>
          <w:rFonts w:cs="Arial"/>
          <w:sz w:val="24"/>
          <w:szCs w:val="24"/>
        </w:rPr>
      </w:pPr>
      <w:r w:rsidRPr="00EE3624">
        <w:rPr>
          <w:rFonts w:cs="Arial"/>
          <w:sz w:val="24"/>
          <w:szCs w:val="24"/>
        </w:rPr>
        <w:t xml:space="preserve">Although ESG funding awards can vary year to year, roughly </w:t>
      </w:r>
      <w:r w:rsidR="35F88D6A" w:rsidRPr="00EE3624">
        <w:rPr>
          <w:rFonts w:cs="Arial"/>
          <w:sz w:val="24"/>
          <w:szCs w:val="24"/>
        </w:rPr>
        <w:t>4</w:t>
      </w:r>
      <w:r w:rsidR="42737547" w:rsidRPr="00EE3624">
        <w:rPr>
          <w:rFonts w:cs="Arial"/>
          <w:sz w:val="24"/>
          <w:szCs w:val="24"/>
        </w:rPr>
        <w:t>5</w:t>
      </w:r>
      <w:r w:rsidR="003D336B" w:rsidRPr="00EE3624">
        <w:rPr>
          <w:rFonts w:cs="Arial"/>
          <w:sz w:val="24"/>
          <w:szCs w:val="24"/>
        </w:rPr>
        <w:t xml:space="preserve">% of annual ESG funding is allocated to emergency shelters. </w:t>
      </w:r>
      <w:r w:rsidR="0B0785A8" w:rsidRPr="00EE3624">
        <w:rPr>
          <w:rFonts w:cs="Arial"/>
          <w:sz w:val="24"/>
          <w:szCs w:val="24"/>
        </w:rPr>
        <w:t>During</w:t>
      </w:r>
      <w:r w:rsidR="003D336B" w:rsidRPr="00EE3624">
        <w:rPr>
          <w:rFonts w:cs="Arial"/>
          <w:sz w:val="24"/>
          <w:szCs w:val="24"/>
        </w:rPr>
        <w:t xml:space="preserve"> the </w:t>
      </w:r>
      <w:r w:rsidR="0B0785A8" w:rsidRPr="00EE3624">
        <w:rPr>
          <w:rFonts w:cs="Arial"/>
          <w:sz w:val="24"/>
          <w:szCs w:val="24"/>
        </w:rPr>
        <w:t>last grant term, o</w:t>
      </w:r>
      <w:r w:rsidR="35F88D6A" w:rsidRPr="00EE3624">
        <w:rPr>
          <w:rFonts w:cs="Arial"/>
          <w:sz w:val="24"/>
          <w:szCs w:val="24"/>
        </w:rPr>
        <w:t>f the 1</w:t>
      </w:r>
      <w:r w:rsidR="2D7AEDBB" w:rsidRPr="00EE3624">
        <w:rPr>
          <w:rFonts w:cs="Arial"/>
          <w:sz w:val="24"/>
          <w:szCs w:val="24"/>
        </w:rPr>
        <w:t xml:space="preserve">4 </w:t>
      </w:r>
      <w:r w:rsidR="35F88D6A" w:rsidRPr="00EE3624">
        <w:rPr>
          <w:rFonts w:cs="Arial"/>
          <w:sz w:val="24"/>
          <w:szCs w:val="24"/>
        </w:rPr>
        <w:t>emergency</w:t>
      </w:r>
      <w:r w:rsidR="003D336B" w:rsidRPr="00EE3624">
        <w:rPr>
          <w:rFonts w:cs="Arial"/>
          <w:sz w:val="24"/>
          <w:szCs w:val="24"/>
        </w:rPr>
        <w:t xml:space="preserve"> shelters receiving funding in Idaho, </w:t>
      </w:r>
      <w:r w:rsidR="00351170" w:rsidRPr="00EE3624">
        <w:rPr>
          <w:rFonts w:cs="Arial"/>
          <w:sz w:val="24"/>
          <w:szCs w:val="24"/>
        </w:rPr>
        <w:t>five (</w:t>
      </w:r>
      <w:r w:rsidR="003D336B" w:rsidRPr="00EE3624">
        <w:rPr>
          <w:rFonts w:cs="Arial"/>
          <w:sz w:val="24"/>
          <w:szCs w:val="24"/>
        </w:rPr>
        <w:t>5</w:t>
      </w:r>
      <w:r w:rsidR="00351170" w:rsidRPr="00EE3624">
        <w:rPr>
          <w:rFonts w:cs="Arial"/>
          <w:sz w:val="24"/>
          <w:szCs w:val="24"/>
        </w:rPr>
        <w:t>)</w:t>
      </w:r>
      <w:r w:rsidR="003D336B" w:rsidRPr="00EE3624">
        <w:rPr>
          <w:rFonts w:cs="Arial"/>
          <w:sz w:val="24"/>
          <w:szCs w:val="24"/>
        </w:rPr>
        <w:t xml:space="preserve"> </w:t>
      </w:r>
      <w:r w:rsidR="35F88D6A" w:rsidRPr="00EE3624">
        <w:rPr>
          <w:rFonts w:cs="Arial"/>
          <w:sz w:val="24"/>
          <w:szCs w:val="24"/>
        </w:rPr>
        <w:t>focus</w:t>
      </w:r>
      <w:r w:rsidR="55B4838E" w:rsidRPr="00EE3624">
        <w:rPr>
          <w:rFonts w:cs="Arial"/>
          <w:sz w:val="24"/>
          <w:szCs w:val="24"/>
        </w:rPr>
        <w:t>ed</w:t>
      </w:r>
      <w:r w:rsidR="003D336B" w:rsidRPr="00EE3624">
        <w:rPr>
          <w:rFonts w:cs="Arial"/>
          <w:sz w:val="24"/>
          <w:szCs w:val="24"/>
        </w:rPr>
        <w:t xml:space="preserve"> on domestic violence survivors, </w:t>
      </w:r>
      <w:r w:rsidR="00351170" w:rsidRPr="00EE3624">
        <w:rPr>
          <w:rFonts w:cs="Arial"/>
          <w:sz w:val="24"/>
          <w:szCs w:val="24"/>
        </w:rPr>
        <w:t>two (</w:t>
      </w:r>
      <w:r w:rsidR="003D336B" w:rsidRPr="00EE3624">
        <w:rPr>
          <w:rFonts w:cs="Arial"/>
          <w:sz w:val="24"/>
          <w:szCs w:val="24"/>
        </w:rPr>
        <w:t>2</w:t>
      </w:r>
      <w:r w:rsidR="00351170" w:rsidRPr="00EE3624">
        <w:rPr>
          <w:rFonts w:cs="Arial"/>
          <w:sz w:val="24"/>
          <w:szCs w:val="24"/>
        </w:rPr>
        <w:t>)</w:t>
      </w:r>
      <w:r w:rsidR="003D336B" w:rsidRPr="00EE3624">
        <w:rPr>
          <w:rFonts w:cs="Arial"/>
          <w:sz w:val="24"/>
          <w:szCs w:val="24"/>
        </w:rPr>
        <w:t xml:space="preserve"> </w:t>
      </w:r>
      <w:r w:rsidR="35F88D6A" w:rsidRPr="00EE3624">
        <w:rPr>
          <w:rFonts w:cs="Arial"/>
          <w:sz w:val="24"/>
          <w:szCs w:val="24"/>
        </w:rPr>
        <w:t>focus</w:t>
      </w:r>
      <w:r w:rsidR="2E972E67" w:rsidRPr="00EE3624">
        <w:rPr>
          <w:rFonts w:cs="Arial"/>
          <w:sz w:val="24"/>
          <w:szCs w:val="24"/>
        </w:rPr>
        <w:t>ed</w:t>
      </w:r>
      <w:r w:rsidR="003D336B" w:rsidRPr="00EE3624">
        <w:rPr>
          <w:rFonts w:cs="Arial"/>
          <w:sz w:val="24"/>
          <w:szCs w:val="24"/>
        </w:rPr>
        <w:t xml:space="preserve"> on runaway/homeless youth, and </w:t>
      </w:r>
      <w:r w:rsidR="79DEFB1A" w:rsidRPr="00EE3624">
        <w:rPr>
          <w:rFonts w:cs="Arial"/>
          <w:sz w:val="24"/>
          <w:szCs w:val="24"/>
        </w:rPr>
        <w:t>one (</w:t>
      </w:r>
      <w:r w:rsidR="003D336B" w:rsidRPr="00EE3624">
        <w:rPr>
          <w:rFonts w:cs="Arial"/>
          <w:sz w:val="24"/>
          <w:szCs w:val="24"/>
        </w:rPr>
        <w:t>1</w:t>
      </w:r>
      <w:r w:rsidR="3D4DDC75" w:rsidRPr="00EE3624">
        <w:rPr>
          <w:rFonts w:cs="Arial"/>
          <w:sz w:val="24"/>
          <w:szCs w:val="24"/>
        </w:rPr>
        <w:t>)</w:t>
      </w:r>
      <w:r w:rsidR="35F88D6A" w:rsidRPr="00EE3624">
        <w:rPr>
          <w:rFonts w:cs="Arial"/>
          <w:sz w:val="24"/>
          <w:szCs w:val="24"/>
        </w:rPr>
        <w:t xml:space="preserve"> focuse</w:t>
      </w:r>
      <w:r w:rsidR="3FEEA687" w:rsidRPr="00EE3624">
        <w:rPr>
          <w:rFonts w:cs="Arial"/>
          <w:sz w:val="24"/>
          <w:szCs w:val="24"/>
        </w:rPr>
        <w:t>d</w:t>
      </w:r>
      <w:r w:rsidR="003D336B" w:rsidRPr="00EE3624">
        <w:rPr>
          <w:rFonts w:cs="Arial"/>
          <w:sz w:val="24"/>
          <w:szCs w:val="24"/>
        </w:rPr>
        <w:t xml:space="preserve"> on veterans. Representatives from the </w:t>
      </w:r>
      <w:r w:rsidR="49C60B0F" w:rsidRPr="00EE3624">
        <w:rPr>
          <w:rFonts w:cs="Arial"/>
          <w:sz w:val="24"/>
          <w:szCs w:val="24"/>
        </w:rPr>
        <w:t>subrecipients</w:t>
      </w:r>
      <w:r w:rsidR="003D336B" w:rsidRPr="00EE3624">
        <w:rPr>
          <w:rFonts w:cs="Arial"/>
          <w:sz w:val="24"/>
          <w:szCs w:val="24"/>
        </w:rPr>
        <w:t xml:space="preserve"> managing these shelters, as well as representatives from transitional housing agencies</w:t>
      </w:r>
      <w:r w:rsidR="45438F09" w:rsidRPr="00EE3624">
        <w:rPr>
          <w:rFonts w:cs="Arial"/>
          <w:sz w:val="24"/>
          <w:szCs w:val="24"/>
        </w:rPr>
        <w:t xml:space="preserve"> not funded through ESG</w:t>
      </w:r>
      <w:r w:rsidR="003D336B" w:rsidRPr="00EE3624">
        <w:rPr>
          <w:rFonts w:cs="Arial"/>
          <w:sz w:val="24"/>
          <w:szCs w:val="24"/>
        </w:rPr>
        <w:t xml:space="preserve">, participate in Regional Coalition meetings. Coalitions provide a forum for the recipient, subrecipients, and other community stakeholders to collectively address needs of homeless persons. Regional Coalition meetings </w:t>
      </w:r>
      <w:proofErr w:type="gramStart"/>
      <w:r w:rsidR="003D336B" w:rsidRPr="00EE3624">
        <w:rPr>
          <w:rFonts w:cs="Arial"/>
          <w:sz w:val="24"/>
          <w:szCs w:val="24"/>
        </w:rPr>
        <w:t>continue on</w:t>
      </w:r>
      <w:proofErr w:type="gramEnd"/>
      <w:r w:rsidR="003D336B" w:rsidRPr="00EE3624">
        <w:rPr>
          <w:rFonts w:cs="Arial"/>
          <w:sz w:val="24"/>
          <w:szCs w:val="24"/>
        </w:rPr>
        <w:t xml:space="preserve"> a monthly or quarterly basis.</w:t>
      </w:r>
    </w:p>
    <w:p w14:paraId="3EE6B31D" w14:textId="1D0B917D" w:rsidR="003D336B" w:rsidRPr="00EE3624" w:rsidRDefault="5CD74E4B" w:rsidP="00EE3624">
      <w:pPr>
        <w:keepNext/>
        <w:widowControl w:val="0"/>
        <w:spacing w:after="150"/>
        <w:jc w:val="both"/>
        <w:rPr>
          <w:rFonts w:asciiTheme="minorHAnsi" w:eastAsiaTheme="minorEastAsia" w:hAnsiTheme="minorHAnsi" w:cstheme="minorBidi"/>
          <w:color w:val="000000" w:themeColor="text1"/>
          <w:sz w:val="24"/>
          <w:szCs w:val="24"/>
        </w:rPr>
      </w:pPr>
      <w:r w:rsidRPr="00EE3624">
        <w:rPr>
          <w:rFonts w:asciiTheme="minorHAnsi" w:eastAsiaTheme="minorEastAsia" w:hAnsiTheme="minorHAnsi" w:cstheme="minorBidi"/>
          <w:color w:val="000000" w:themeColor="text1"/>
          <w:sz w:val="24"/>
          <w:szCs w:val="24"/>
        </w:rPr>
        <w:t>Qualitative data on emergency shelters and transitional housing programs is gathered through the Lived Experience Panel (LEP), comprised of individuals with lived experience (LE) of homelessness, many being participants in ESG emergency shelter projects. LE feedback is also gathered via annual CE participant surveys, wherein the BoS CoC gains feedback from participants regarding how they feel they have been treated by CE agencies.</w:t>
      </w:r>
    </w:p>
    <w:p w14:paraId="5557640B" w14:textId="6638C069" w:rsidR="003D336B" w:rsidRPr="00EE3624" w:rsidRDefault="003D336B" w:rsidP="00EE3624">
      <w:pPr>
        <w:keepNext/>
        <w:widowControl w:val="0"/>
        <w:spacing w:after="150"/>
        <w:jc w:val="both"/>
        <w:rPr>
          <w:rFonts w:asciiTheme="minorHAnsi" w:eastAsiaTheme="minorEastAsia" w:hAnsiTheme="minorHAnsi" w:cstheme="minorBidi"/>
          <w:color w:val="000000" w:themeColor="text1"/>
          <w:sz w:val="24"/>
          <w:szCs w:val="24"/>
        </w:rPr>
      </w:pPr>
      <w:r w:rsidRPr="00EE3624">
        <w:rPr>
          <w:rFonts w:cs="Arial"/>
          <w:sz w:val="24"/>
          <w:szCs w:val="24"/>
        </w:rPr>
        <w:t xml:space="preserve">Throughout the year, the recipient </w:t>
      </w:r>
      <w:r w:rsidR="35F88D6A" w:rsidRPr="00EE3624">
        <w:rPr>
          <w:rFonts w:cs="Arial"/>
          <w:sz w:val="24"/>
          <w:szCs w:val="24"/>
        </w:rPr>
        <w:t>collect</w:t>
      </w:r>
      <w:r w:rsidR="13E0C022" w:rsidRPr="00EE3624">
        <w:rPr>
          <w:rFonts w:cs="Arial"/>
          <w:sz w:val="24"/>
          <w:szCs w:val="24"/>
        </w:rPr>
        <w:t>s</w:t>
      </w:r>
      <w:r w:rsidRPr="00EE3624">
        <w:rPr>
          <w:rFonts w:cs="Arial"/>
          <w:sz w:val="24"/>
          <w:szCs w:val="24"/>
        </w:rPr>
        <w:t xml:space="preserve"> and </w:t>
      </w:r>
      <w:r w:rsidR="35F88D6A" w:rsidRPr="00EE3624">
        <w:rPr>
          <w:rFonts w:cs="Arial"/>
          <w:sz w:val="24"/>
          <w:szCs w:val="24"/>
        </w:rPr>
        <w:t>analyze</w:t>
      </w:r>
      <w:r w:rsidR="4C1169C9" w:rsidRPr="00EE3624">
        <w:rPr>
          <w:rFonts w:cs="Arial"/>
          <w:sz w:val="24"/>
          <w:szCs w:val="24"/>
        </w:rPr>
        <w:t>s</w:t>
      </w:r>
      <w:r w:rsidRPr="00EE3624">
        <w:rPr>
          <w:rFonts w:cs="Arial"/>
          <w:sz w:val="24"/>
          <w:szCs w:val="24"/>
        </w:rPr>
        <w:t xml:space="preserve"> data to gain a better understanding of the needs among individuals utilizing emergency shelters and transitional housing in Idaho. This data also </w:t>
      </w:r>
      <w:r w:rsidR="35F88D6A" w:rsidRPr="00EE3624">
        <w:rPr>
          <w:rFonts w:cs="Arial"/>
          <w:sz w:val="24"/>
          <w:szCs w:val="24"/>
        </w:rPr>
        <w:t>inform</w:t>
      </w:r>
      <w:r w:rsidR="70C146B3" w:rsidRPr="00EE3624">
        <w:rPr>
          <w:rFonts w:cs="Arial"/>
          <w:sz w:val="24"/>
          <w:szCs w:val="24"/>
        </w:rPr>
        <w:t>s</w:t>
      </w:r>
      <w:r w:rsidRPr="00EE3624">
        <w:rPr>
          <w:rFonts w:cs="Arial"/>
          <w:sz w:val="24"/>
          <w:szCs w:val="24"/>
        </w:rPr>
        <w:t xml:space="preserve"> decisions pertaining to the Coordinated Entry system.</w:t>
      </w:r>
    </w:p>
    <w:p w14:paraId="295A7356" w14:textId="77777777" w:rsidR="009A2C2E" w:rsidRPr="00EE3624" w:rsidRDefault="009A2C2E" w:rsidP="00EE3624">
      <w:pPr>
        <w:keepNext/>
        <w:widowControl w:val="0"/>
        <w:jc w:val="both"/>
        <w:rPr>
          <w:b/>
          <w:sz w:val="24"/>
          <w:szCs w:val="24"/>
        </w:rPr>
      </w:pPr>
      <w:r w:rsidRPr="00EE3624">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63DB2211" w14:textId="5E32092D" w:rsidR="003D336B" w:rsidRPr="00EE3624" w:rsidRDefault="003D336B" w:rsidP="00EE3624">
      <w:pPr>
        <w:keepNext/>
        <w:widowControl w:val="0"/>
        <w:spacing w:beforeAutospacing="1" w:afterAutospacing="1"/>
        <w:jc w:val="both"/>
        <w:rPr>
          <w:rFonts w:cs="Arial"/>
          <w:sz w:val="24"/>
          <w:szCs w:val="24"/>
        </w:rPr>
      </w:pPr>
      <w:r w:rsidRPr="00EE3624">
        <w:rPr>
          <w:rFonts w:cs="Arial"/>
          <w:sz w:val="24"/>
          <w:szCs w:val="24"/>
        </w:rPr>
        <w:t xml:space="preserve">The Idaho BoS CoC provides grants to </w:t>
      </w:r>
      <w:r w:rsidR="35F88D6A" w:rsidRPr="00EE3624">
        <w:rPr>
          <w:rFonts w:cs="Arial"/>
          <w:sz w:val="24"/>
          <w:szCs w:val="24"/>
        </w:rPr>
        <w:t>1</w:t>
      </w:r>
      <w:r w:rsidR="0613801D" w:rsidRPr="00EE3624">
        <w:rPr>
          <w:rFonts w:cs="Arial"/>
          <w:sz w:val="24"/>
          <w:szCs w:val="24"/>
        </w:rPr>
        <w:t>2</w:t>
      </w:r>
      <w:r w:rsidRPr="00EE3624">
        <w:rPr>
          <w:rFonts w:cs="Arial"/>
          <w:sz w:val="24"/>
          <w:szCs w:val="24"/>
        </w:rPr>
        <w:t xml:space="preserve"> permanent supportive housing (PSH) </w:t>
      </w:r>
      <w:r w:rsidR="75674790" w:rsidRPr="00EE3624">
        <w:rPr>
          <w:rFonts w:cs="Arial"/>
          <w:sz w:val="24"/>
          <w:szCs w:val="24"/>
        </w:rPr>
        <w:t>projects</w:t>
      </w:r>
      <w:r w:rsidRPr="00EE3624">
        <w:rPr>
          <w:rFonts w:cs="Arial"/>
          <w:sz w:val="24"/>
          <w:szCs w:val="24"/>
        </w:rPr>
        <w:t xml:space="preserve"> throughout the state. In addition, the CoC and ESG programs fund 16 rapid rehousing (RRH) </w:t>
      </w:r>
      <w:r w:rsidR="35F88D6A" w:rsidRPr="00EE3624">
        <w:rPr>
          <w:rFonts w:cs="Arial"/>
          <w:sz w:val="24"/>
          <w:szCs w:val="24"/>
        </w:rPr>
        <w:lastRenderedPageBreak/>
        <w:t>p</w:t>
      </w:r>
      <w:r w:rsidR="7D3EBFE0" w:rsidRPr="00EE3624">
        <w:rPr>
          <w:rFonts w:cs="Arial"/>
          <w:sz w:val="24"/>
          <w:szCs w:val="24"/>
        </w:rPr>
        <w:t>roject</w:t>
      </w:r>
      <w:r w:rsidR="35F88D6A" w:rsidRPr="00EE3624">
        <w:rPr>
          <w:rFonts w:cs="Arial"/>
          <w:sz w:val="24"/>
          <w:szCs w:val="24"/>
        </w:rPr>
        <w:t>s. M</w:t>
      </w:r>
      <w:r w:rsidR="44E5701B" w:rsidRPr="00EE3624">
        <w:rPr>
          <w:rFonts w:cs="Arial"/>
          <w:sz w:val="24"/>
          <w:szCs w:val="24"/>
        </w:rPr>
        <w:t>any</w:t>
      </w:r>
      <w:r w:rsidRPr="00EE3624">
        <w:rPr>
          <w:rFonts w:cs="Arial"/>
          <w:sz w:val="24"/>
          <w:szCs w:val="24"/>
        </w:rPr>
        <w:t xml:space="preserve"> of these </w:t>
      </w:r>
      <w:r w:rsidR="35F88D6A" w:rsidRPr="00EE3624">
        <w:rPr>
          <w:rFonts w:cs="Arial"/>
          <w:sz w:val="24"/>
          <w:szCs w:val="24"/>
        </w:rPr>
        <w:t>pro</w:t>
      </w:r>
      <w:r w:rsidR="112E4AE4" w:rsidRPr="00EE3624">
        <w:rPr>
          <w:rFonts w:cs="Arial"/>
          <w:sz w:val="24"/>
          <w:szCs w:val="24"/>
        </w:rPr>
        <w:t>jects</w:t>
      </w:r>
      <w:r w:rsidRPr="00EE3624">
        <w:rPr>
          <w:rFonts w:cs="Arial"/>
          <w:sz w:val="24"/>
          <w:szCs w:val="24"/>
        </w:rPr>
        <w:t xml:space="preserve"> employ a housing specialist, who works with landlords to facilitate access to affordable housing within the community.</w:t>
      </w:r>
    </w:p>
    <w:p w14:paraId="49CF5A03" w14:textId="33A5DB6B" w:rsidR="787E070B" w:rsidRPr="005F2A7D" w:rsidRDefault="003D336B" w:rsidP="00EE3624">
      <w:pPr>
        <w:keepNext/>
        <w:widowControl w:val="0"/>
        <w:spacing w:beforeAutospacing="1" w:afterAutospacing="1"/>
        <w:jc w:val="both"/>
        <w:rPr>
          <w:rFonts w:cs="Arial"/>
          <w:sz w:val="24"/>
          <w:szCs w:val="24"/>
        </w:rPr>
      </w:pPr>
      <w:r w:rsidRPr="00EE3624">
        <w:rPr>
          <w:rFonts w:cs="Arial"/>
          <w:sz w:val="24"/>
          <w:szCs w:val="24"/>
        </w:rPr>
        <w:t xml:space="preserve">Subrecipients that receive ESG and CoC funding are required to use a Coordinated Entry system for housing prioritization. Coordinated Entry utilizes Access Points to administer assessments. Through this system, individuals experiencing chronic homelessness are prioritized. This is further refined by prioritizing subgroups, including households with pregnant members, individuals within the justice system, survivors of domestic violence, youth, households with children, and households with </w:t>
      </w:r>
      <w:r w:rsidR="35F88D6A" w:rsidRPr="00EE3624">
        <w:rPr>
          <w:rFonts w:cs="Arial"/>
          <w:sz w:val="24"/>
          <w:szCs w:val="24"/>
        </w:rPr>
        <w:t>person</w:t>
      </w:r>
      <w:r w:rsidR="40138BC2" w:rsidRPr="00EE3624">
        <w:rPr>
          <w:rFonts w:cs="Arial"/>
          <w:sz w:val="24"/>
          <w:szCs w:val="24"/>
        </w:rPr>
        <w:t>s</w:t>
      </w:r>
      <w:r w:rsidR="35F88D6A" w:rsidRPr="00EE3624">
        <w:rPr>
          <w:rFonts w:cs="Arial"/>
          <w:sz w:val="24"/>
          <w:szCs w:val="24"/>
        </w:rPr>
        <w:t xml:space="preserve"> </w:t>
      </w:r>
      <w:r w:rsidR="201ED230" w:rsidRPr="00EE3624">
        <w:rPr>
          <w:rFonts w:cs="Arial"/>
          <w:sz w:val="24"/>
          <w:szCs w:val="24"/>
        </w:rPr>
        <w:t>aged</w:t>
      </w:r>
      <w:r w:rsidR="35F88D6A" w:rsidRPr="00EE3624">
        <w:rPr>
          <w:rFonts w:cs="Arial"/>
          <w:sz w:val="24"/>
          <w:szCs w:val="24"/>
        </w:rPr>
        <w:t xml:space="preserve"> </w:t>
      </w:r>
      <w:r w:rsidR="6040FC02" w:rsidRPr="00EE3624">
        <w:rPr>
          <w:rFonts w:cs="Arial"/>
          <w:sz w:val="24"/>
          <w:szCs w:val="24"/>
        </w:rPr>
        <w:t>(</w:t>
      </w:r>
      <w:r w:rsidRPr="00EE3624">
        <w:rPr>
          <w:rFonts w:cs="Arial"/>
          <w:sz w:val="24"/>
          <w:szCs w:val="24"/>
        </w:rPr>
        <w:t>62</w:t>
      </w:r>
      <w:r w:rsidR="3B031656" w:rsidRPr="00EE3624">
        <w:rPr>
          <w:rFonts w:cs="Arial"/>
          <w:sz w:val="24"/>
          <w:szCs w:val="24"/>
        </w:rPr>
        <w:t>)</w:t>
      </w:r>
      <w:r w:rsidR="6B4C9966" w:rsidRPr="00EE3624">
        <w:rPr>
          <w:rFonts w:cs="Arial"/>
          <w:sz w:val="24"/>
          <w:szCs w:val="24"/>
        </w:rPr>
        <w:t xml:space="preserve"> and older</w:t>
      </w:r>
      <w:r w:rsidR="35F88D6A" w:rsidRPr="00EE3624">
        <w:rPr>
          <w:rFonts w:cs="Arial"/>
          <w:sz w:val="24"/>
          <w:szCs w:val="24"/>
        </w:rPr>
        <w:t>.</w:t>
      </w:r>
      <w:r w:rsidRPr="00EE3624">
        <w:rPr>
          <w:rFonts w:cs="Arial"/>
          <w:sz w:val="24"/>
          <w:szCs w:val="24"/>
        </w:rPr>
        <w:t xml:space="preserve"> Assessments also identify if a client has recently left a mental or physical health facility, and ensure they receive the appropriate supportive housing. Through Access Points, those at risk of homelessness are referred to agencies engaged in homelessness prevention services.</w:t>
      </w:r>
    </w:p>
    <w:p w14:paraId="4FA6409B" w14:textId="7D734A0A" w:rsidR="787E070B" w:rsidRPr="005F2A7D" w:rsidRDefault="0D00B395" w:rsidP="005F2A7D">
      <w:pPr>
        <w:spacing w:after="150"/>
        <w:jc w:val="both"/>
        <w:rPr>
          <w:rFonts w:asciiTheme="minorHAnsi" w:eastAsiaTheme="minorEastAsia" w:hAnsiTheme="minorHAnsi" w:cstheme="minorBidi"/>
          <w:color w:val="000000" w:themeColor="text1"/>
          <w:sz w:val="24"/>
          <w:szCs w:val="24"/>
        </w:rPr>
      </w:pPr>
      <w:r w:rsidRPr="00EE3624">
        <w:rPr>
          <w:rFonts w:asciiTheme="minorHAnsi" w:eastAsiaTheme="minorEastAsia" w:hAnsiTheme="minorHAnsi" w:cstheme="minorBidi"/>
          <w:color w:val="000000" w:themeColor="text1"/>
          <w:sz w:val="24"/>
          <w:szCs w:val="24"/>
        </w:rPr>
        <w:t xml:space="preserve">Additionally, the BoS CoC has two lived </w:t>
      </w:r>
      <w:proofErr w:type="gramStart"/>
      <w:r w:rsidRPr="00EE3624">
        <w:rPr>
          <w:rFonts w:asciiTheme="minorHAnsi" w:eastAsiaTheme="minorEastAsia" w:hAnsiTheme="minorHAnsi" w:cstheme="minorBidi"/>
          <w:color w:val="000000" w:themeColor="text1"/>
          <w:sz w:val="24"/>
          <w:szCs w:val="24"/>
        </w:rPr>
        <w:t>experience</w:t>
      </w:r>
      <w:proofErr w:type="gramEnd"/>
      <w:r w:rsidRPr="00EE3624">
        <w:rPr>
          <w:rFonts w:asciiTheme="minorHAnsi" w:eastAsiaTheme="minorEastAsia" w:hAnsiTheme="minorHAnsi" w:cstheme="minorBidi"/>
          <w:color w:val="000000" w:themeColor="text1"/>
          <w:sz w:val="24"/>
          <w:szCs w:val="24"/>
        </w:rPr>
        <w:t xml:space="preserve"> (LE) of homelessness subcommittees: the Lived Experience Panel (LEP) and the Youth Action Board (YAB). The LEP and YAB are statewide groups designed to integrate the feedback of individuals and families with LE. The LEP and YAB have input on the CE assessment rating and ranking scale. Additionally, they share how to improve the transition to PSH programs. There are currently more than 35 members between the two subcommittees.</w:t>
      </w:r>
    </w:p>
    <w:p w14:paraId="6ADB9183" w14:textId="77777777" w:rsidR="009A2C2E" w:rsidRPr="00EE3624" w:rsidRDefault="009A2C2E" w:rsidP="00EE3624">
      <w:pPr>
        <w:keepNext/>
        <w:widowControl w:val="0"/>
        <w:jc w:val="both"/>
        <w:rPr>
          <w:b/>
          <w:sz w:val="24"/>
          <w:szCs w:val="24"/>
        </w:rPr>
      </w:pPr>
      <w:r w:rsidRPr="00EE3624">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0E7B7B26" w14:textId="2C3FFA0C" w:rsidR="003D336B" w:rsidRPr="00EE3624" w:rsidRDefault="003D336B" w:rsidP="00EE3624">
      <w:pPr>
        <w:keepNext/>
        <w:widowControl w:val="0"/>
        <w:spacing w:beforeAutospacing="1" w:afterAutospacing="1"/>
        <w:jc w:val="both"/>
        <w:rPr>
          <w:rFonts w:cs="Arial"/>
          <w:sz w:val="24"/>
          <w:szCs w:val="24"/>
        </w:rPr>
      </w:pPr>
      <w:bookmarkStart w:id="76" w:name="_Toc191358745"/>
      <w:r w:rsidRPr="00EE3624">
        <w:rPr>
          <w:rFonts w:cs="Arial"/>
          <w:sz w:val="24"/>
          <w:szCs w:val="24"/>
        </w:rPr>
        <w:t>The BoS CoC continues to work to help low-income individuals and families avoid becoming homeless, especially extremely low-income individuals and families and (1) those who are being discharged from publicly funded institutions and systems of care (such as health care facilities, mental health facilities, foster care and other youth facilities, and corrections programs and institutions); and (2) those who are receiving assistance from public or private agencies that address housing, health, social services, employment, education, or youth needs. The following goals and strategies guide this work:</w:t>
      </w:r>
    </w:p>
    <w:p w14:paraId="08E89513" w14:textId="0322C0D5" w:rsidR="003D336B" w:rsidRPr="00EE3624" w:rsidRDefault="003D336B" w:rsidP="00EE3624">
      <w:pPr>
        <w:keepNext/>
        <w:widowControl w:val="0"/>
        <w:spacing w:beforeAutospacing="1" w:afterAutospacing="1"/>
        <w:jc w:val="both"/>
        <w:rPr>
          <w:rFonts w:cs="Arial"/>
          <w:sz w:val="24"/>
          <w:szCs w:val="24"/>
        </w:rPr>
      </w:pPr>
      <w:r w:rsidRPr="00EE3624">
        <w:rPr>
          <w:sz w:val="24"/>
          <w:szCs w:val="24"/>
        </w:rPr>
        <w:br/>
      </w:r>
      <w:r w:rsidRPr="00EE3624">
        <w:rPr>
          <w:rFonts w:cs="Arial"/>
          <w:sz w:val="24"/>
          <w:szCs w:val="24"/>
        </w:rPr>
        <w:t xml:space="preserve">1. The recipient will, over the next </w:t>
      </w:r>
      <w:r w:rsidR="76B1279D" w:rsidRPr="00EE3624">
        <w:rPr>
          <w:rFonts w:cs="Arial"/>
          <w:sz w:val="24"/>
          <w:szCs w:val="24"/>
        </w:rPr>
        <w:t xml:space="preserve">five (5) </w:t>
      </w:r>
      <w:r w:rsidR="35F88D6A" w:rsidRPr="00EE3624">
        <w:rPr>
          <w:rFonts w:cs="Arial"/>
          <w:sz w:val="24"/>
          <w:szCs w:val="24"/>
        </w:rPr>
        <w:t>year</w:t>
      </w:r>
      <w:r w:rsidR="10CC6231" w:rsidRPr="00EE3624">
        <w:rPr>
          <w:rFonts w:cs="Arial"/>
          <w:sz w:val="24"/>
          <w:szCs w:val="24"/>
        </w:rPr>
        <w:t>s</w:t>
      </w:r>
      <w:r w:rsidR="35F88D6A" w:rsidRPr="00EE3624">
        <w:rPr>
          <w:rFonts w:cs="Arial"/>
          <w:sz w:val="24"/>
          <w:szCs w:val="24"/>
        </w:rPr>
        <w:t>,</w:t>
      </w:r>
      <w:r w:rsidRPr="00EE3624">
        <w:rPr>
          <w:rFonts w:cs="Arial"/>
          <w:sz w:val="24"/>
          <w:szCs w:val="24"/>
        </w:rPr>
        <w:t xml:space="preserve"> leverage the work IHFA does in administering the HUD Housing Choice Voucher (HCV) rental assistance program in 34 of the 44 counties in Idaho. The program helps low-income families, the elderly, and disabled individuals obtain </w:t>
      </w:r>
      <w:r w:rsidRPr="00EE3624">
        <w:rPr>
          <w:rFonts w:cs="Arial"/>
          <w:sz w:val="24"/>
          <w:szCs w:val="24"/>
        </w:rPr>
        <w:lastRenderedPageBreak/>
        <w:t>decent, safe, and affordable rental housing. IHFA was awarded Mainstream Vouchers which target non-elderly disabled individuals who are either chronically homeless or are exiting institutions. Mainstream vouchers have been allocated throughout the CoC’s six regions, with clients identified and prioritized in collaboration with the CoC’s Coordinated Entry system. This ensures all housing options are made available to clients within this population and facilitates the goal of filling all the mainstream voucher slots to house as many clients as possible within this population.</w:t>
      </w:r>
    </w:p>
    <w:p w14:paraId="1FB66ADA" w14:textId="18CD3EA4" w:rsidR="003D336B" w:rsidRPr="00EE3624" w:rsidRDefault="003D336B" w:rsidP="00EE3624">
      <w:pPr>
        <w:keepNext/>
        <w:widowControl w:val="0"/>
        <w:spacing w:beforeAutospacing="1" w:afterAutospacing="1"/>
        <w:jc w:val="both"/>
        <w:rPr>
          <w:rFonts w:cs="Arial"/>
          <w:sz w:val="24"/>
          <w:szCs w:val="24"/>
        </w:rPr>
      </w:pPr>
      <w:r w:rsidRPr="00EE3624">
        <w:rPr>
          <w:rFonts w:cs="Arial"/>
          <w:sz w:val="24"/>
          <w:szCs w:val="24"/>
        </w:rPr>
        <w:t xml:space="preserve">2. The recipient will continue, over the </w:t>
      </w:r>
      <w:r w:rsidR="6512B16D" w:rsidRPr="00EE3624">
        <w:rPr>
          <w:rFonts w:cs="Arial"/>
          <w:sz w:val="24"/>
          <w:szCs w:val="24"/>
        </w:rPr>
        <w:t>next five (5) years</w:t>
      </w:r>
      <w:r w:rsidRPr="00EE3624">
        <w:rPr>
          <w:rFonts w:cs="Arial"/>
          <w:sz w:val="24"/>
          <w:szCs w:val="24"/>
        </w:rPr>
        <w:t xml:space="preserve">, to strengthen relationships with school systems and the foster care system in Idaho to prevent homelessness among youth aging out of foster care. The recipient </w:t>
      </w:r>
      <w:r w:rsidR="22613D29" w:rsidRPr="00EE3624">
        <w:rPr>
          <w:rFonts w:cs="Arial"/>
          <w:sz w:val="24"/>
          <w:szCs w:val="24"/>
        </w:rPr>
        <w:t>received</w:t>
      </w:r>
      <w:r w:rsidRPr="00EE3624">
        <w:rPr>
          <w:rFonts w:cs="Arial"/>
          <w:sz w:val="24"/>
          <w:szCs w:val="24"/>
        </w:rPr>
        <w:t xml:space="preserve"> Youth Homeless System Improvement (YHSI) funds </w:t>
      </w:r>
      <w:proofErr w:type="gramStart"/>
      <w:r w:rsidRPr="00EE3624">
        <w:rPr>
          <w:rFonts w:cs="Arial"/>
          <w:sz w:val="24"/>
          <w:szCs w:val="24"/>
        </w:rPr>
        <w:t>in order to</w:t>
      </w:r>
      <w:proofErr w:type="gramEnd"/>
      <w:r w:rsidRPr="00EE3624">
        <w:rPr>
          <w:rFonts w:cs="Arial"/>
          <w:sz w:val="24"/>
          <w:szCs w:val="24"/>
        </w:rPr>
        <w:t xml:space="preserve"> build capacity to increase partnerships with these entities and other stakeholders in youth homelessness prevention and response.</w:t>
      </w:r>
      <w:r w:rsidR="5A4EFBD4" w:rsidRPr="00EE3624">
        <w:rPr>
          <w:rFonts w:cs="Arial"/>
          <w:sz w:val="24"/>
          <w:szCs w:val="24"/>
        </w:rPr>
        <w:t xml:space="preserve"> They also received Youth Homeless Development Planning (YHDP) grant funding to assist youth exiting the foster care system transition into more permanent housing. </w:t>
      </w:r>
    </w:p>
    <w:p w14:paraId="6443F348" w14:textId="2DC40AEF" w:rsidR="003D336B" w:rsidRPr="00EE3624" w:rsidRDefault="003D336B" w:rsidP="00EE3624">
      <w:pPr>
        <w:keepNext/>
        <w:widowControl w:val="0"/>
        <w:spacing w:after="150"/>
        <w:jc w:val="both"/>
        <w:rPr>
          <w:rFonts w:asciiTheme="minorHAnsi" w:eastAsiaTheme="minorEastAsia" w:hAnsiTheme="minorHAnsi" w:cstheme="minorBidi"/>
          <w:color w:val="000000" w:themeColor="text1"/>
          <w:sz w:val="24"/>
          <w:szCs w:val="24"/>
        </w:rPr>
      </w:pPr>
      <w:r w:rsidRPr="00EE3624">
        <w:rPr>
          <w:rFonts w:cs="Arial"/>
          <w:sz w:val="24"/>
          <w:szCs w:val="24"/>
        </w:rPr>
        <w:t>3.</w:t>
      </w:r>
      <w:r w:rsidRPr="00EE3624">
        <w:rPr>
          <w:rFonts w:asciiTheme="minorHAnsi" w:eastAsiaTheme="minorEastAsia" w:hAnsiTheme="minorHAnsi" w:cstheme="minorBidi"/>
          <w:sz w:val="24"/>
          <w:szCs w:val="24"/>
        </w:rPr>
        <w:t xml:space="preserve"> </w:t>
      </w:r>
      <w:r w:rsidR="78AC8DCD" w:rsidRPr="00EE3624">
        <w:rPr>
          <w:rFonts w:asciiTheme="minorHAnsi" w:eastAsiaTheme="minorEastAsia" w:hAnsiTheme="minorHAnsi" w:cstheme="minorBidi"/>
          <w:color w:val="000000" w:themeColor="text1"/>
          <w:sz w:val="24"/>
          <w:szCs w:val="24"/>
        </w:rPr>
        <w:t>The recipient will continue to let the Youth Action Board (YAB) lead YHSI and YHDP initiatives. The YAB is comprised of many youths who have exited foster care, corrections programs, and other institutions or have exited from homelessness. The YAB use their insight to guide program development and keep other youths from experiencing homelessness.</w:t>
      </w:r>
    </w:p>
    <w:p w14:paraId="25D30947" w14:textId="2C5BD192" w:rsidR="003D336B" w:rsidRPr="00EE3624" w:rsidRDefault="003D336B" w:rsidP="00EE3624">
      <w:pPr>
        <w:keepNext/>
        <w:widowControl w:val="0"/>
        <w:spacing w:beforeAutospacing="1" w:afterAutospacing="1"/>
        <w:jc w:val="both"/>
        <w:rPr>
          <w:rFonts w:cs="Arial"/>
          <w:sz w:val="24"/>
          <w:szCs w:val="24"/>
        </w:rPr>
      </w:pPr>
      <w:r w:rsidRPr="00EE3624">
        <w:rPr>
          <w:rFonts w:cs="Arial"/>
          <w:sz w:val="24"/>
          <w:szCs w:val="24"/>
        </w:rPr>
        <w:t xml:space="preserve">4. Over the next </w:t>
      </w:r>
      <w:r w:rsidR="5F2F3B07" w:rsidRPr="00EE3624">
        <w:rPr>
          <w:rFonts w:cs="Arial"/>
          <w:sz w:val="24"/>
          <w:szCs w:val="24"/>
        </w:rPr>
        <w:t xml:space="preserve">five (5) </w:t>
      </w:r>
      <w:r w:rsidR="35F88D6A" w:rsidRPr="00EE3624">
        <w:rPr>
          <w:rFonts w:cs="Arial"/>
          <w:sz w:val="24"/>
          <w:szCs w:val="24"/>
        </w:rPr>
        <w:t>year</w:t>
      </w:r>
      <w:r w:rsidR="038F3E4F" w:rsidRPr="00EE3624">
        <w:rPr>
          <w:rFonts w:cs="Arial"/>
          <w:sz w:val="24"/>
          <w:szCs w:val="24"/>
        </w:rPr>
        <w:t>s</w:t>
      </w:r>
      <w:r w:rsidRPr="00EE3624">
        <w:rPr>
          <w:rFonts w:cs="Arial"/>
          <w:sz w:val="24"/>
          <w:szCs w:val="24"/>
        </w:rPr>
        <w:t xml:space="preserve">, the </w:t>
      </w:r>
      <w:proofErr w:type="spellStart"/>
      <w:r w:rsidR="43E3675D" w:rsidRPr="00EE3624">
        <w:rPr>
          <w:rFonts w:cs="Arial"/>
          <w:sz w:val="24"/>
          <w:szCs w:val="24"/>
        </w:rPr>
        <w:t>receipient</w:t>
      </w:r>
      <w:proofErr w:type="spellEnd"/>
      <w:r w:rsidRPr="00EE3624">
        <w:rPr>
          <w:rFonts w:cs="Arial"/>
          <w:sz w:val="24"/>
          <w:szCs w:val="24"/>
        </w:rPr>
        <w:t xml:space="preserve"> will ensure that all agencies receiving ESG funds in Idaho offer services that educate and counsel individuals and families to develop skills that promote self-sufficiency, including connecting to SOAR resources when appropriate.</w:t>
      </w:r>
    </w:p>
    <w:p w14:paraId="21908C34" w14:textId="21651FEA" w:rsidR="003D336B" w:rsidRPr="00EE3624" w:rsidRDefault="003D336B" w:rsidP="00EE3624">
      <w:pPr>
        <w:keepNext/>
        <w:widowControl w:val="0"/>
        <w:spacing w:beforeAutospacing="1" w:afterAutospacing="1"/>
        <w:jc w:val="both"/>
        <w:rPr>
          <w:rFonts w:cs="Arial"/>
          <w:sz w:val="24"/>
          <w:szCs w:val="24"/>
        </w:rPr>
      </w:pPr>
      <w:r w:rsidRPr="00EE3624">
        <w:rPr>
          <w:rFonts w:cs="Arial"/>
          <w:sz w:val="24"/>
          <w:szCs w:val="24"/>
        </w:rPr>
        <w:t xml:space="preserve">5. Approximately 59% of the ESG funding not associated with shelter activities is used to fund Homelessness Prevention or </w:t>
      </w:r>
      <w:r w:rsidR="35F88D6A" w:rsidRPr="00EE3624">
        <w:rPr>
          <w:rFonts w:cs="Arial"/>
          <w:sz w:val="24"/>
          <w:szCs w:val="24"/>
        </w:rPr>
        <w:t>R</w:t>
      </w:r>
      <w:r w:rsidR="7091C89E" w:rsidRPr="00EE3624">
        <w:rPr>
          <w:rFonts w:cs="Arial"/>
          <w:sz w:val="24"/>
          <w:szCs w:val="24"/>
        </w:rPr>
        <w:t xml:space="preserve">apid </w:t>
      </w:r>
      <w:r w:rsidR="35F88D6A" w:rsidRPr="00EE3624">
        <w:rPr>
          <w:rFonts w:cs="Arial"/>
          <w:sz w:val="24"/>
          <w:szCs w:val="24"/>
        </w:rPr>
        <w:t>R</w:t>
      </w:r>
      <w:r w:rsidR="07932B72" w:rsidRPr="00EE3624">
        <w:rPr>
          <w:rFonts w:cs="Arial"/>
          <w:sz w:val="24"/>
          <w:szCs w:val="24"/>
        </w:rPr>
        <w:t>ehousing (</w:t>
      </w:r>
      <w:r w:rsidRPr="00EE3624">
        <w:rPr>
          <w:rFonts w:cs="Arial"/>
          <w:sz w:val="24"/>
          <w:szCs w:val="24"/>
        </w:rPr>
        <w:t>RRH</w:t>
      </w:r>
      <w:r w:rsidR="07932B72" w:rsidRPr="00EE3624">
        <w:rPr>
          <w:rFonts w:cs="Arial"/>
          <w:sz w:val="24"/>
          <w:szCs w:val="24"/>
        </w:rPr>
        <w:t>)</w:t>
      </w:r>
      <w:r w:rsidRPr="00EE3624">
        <w:rPr>
          <w:rFonts w:cs="Arial"/>
          <w:sz w:val="24"/>
          <w:szCs w:val="24"/>
        </w:rPr>
        <w:t xml:space="preserve"> efforts. This funding allocation will remain </w:t>
      </w:r>
      <w:proofErr w:type="gramStart"/>
      <w:r w:rsidRPr="00EE3624">
        <w:rPr>
          <w:rFonts w:cs="Arial"/>
          <w:sz w:val="24"/>
          <w:szCs w:val="24"/>
        </w:rPr>
        <w:t>fairly consistent</w:t>
      </w:r>
      <w:proofErr w:type="gramEnd"/>
      <w:r w:rsidRPr="00EE3624">
        <w:rPr>
          <w:rFonts w:cs="Arial"/>
          <w:sz w:val="24"/>
          <w:szCs w:val="24"/>
        </w:rPr>
        <w:t xml:space="preserve"> over the coming year. These funds are leveraged with services to assist families or individuals in evaluating their primary cause(s) of becoming or being at risk of homelessness.</w:t>
      </w:r>
    </w:p>
    <w:p w14:paraId="3D7CE228" w14:textId="65AA954E" w:rsidR="003D336B" w:rsidRPr="00EE3624" w:rsidRDefault="003D336B" w:rsidP="00EE3624">
      <w:pPr>
        <w:keepNext/>
        <w:widowControl w:val="0"/>
        <w:spacing w:beforeAutospacing="1" w:afterAutospacing="1"/>
        <w:jc w:val="both"/>
        <w:rPr>
          <w:rFonts w:cs="Arial"/>
          <w:sz w:val="24"/>
          <w:szCs w:val="24"/>
        </w:rPr>
      </w:pPr>
      <w:r w:rsidRPr="00EE3624">
        <w:rPr>
          <w:rFonts w:cs="Arial"/>
          <w:sz w:val="24"/>
          <w:szCs w:val="24"/>
        </w:rPr>
        <w:t xml:space="preserve">6. Over the </w:t>
      </w:r>
      <w:r w:rsidR="1E9B16DF" w:rsidRPr="00EE3624">
        <w:rPr>
          <w:rFonts w:cs="Arial"/>
          <w:sz w:val="24"/>
          <w:szCs w:val="24"/>
        </w:rPr>
        <w:t>next five (5)</w:t>
      </w:r>
      <w:r w:rsidR="35F88D6A" w:rsidRPr="00EE3624">
        <w:rPr>
          <w:rFonts w:cs="Arial"/>
          <w:sz w:val="24"/>
          <w:szCs w:val="24"/>
        </w:rPr>
        <w:t xml:space="preserve"> year</w:t>
      </w:r>
      <w:r w:rsidR="718B9197" w:rsidRPr="00EE3624">
        <w:rPr>
          <w:rFonts w:cs="Arial"/>
          <w:sz w:val="24"/>
          <w:szCs w:val="24"/>
        </w:rPr>
        <w:t>s</w:t>
      </w:r>
      <w:r w:rsidRPr="00EE3624">
        <w:rPr>
          <w:rFonts w:cs="Arial"/>
          <w:sz w:val="24"/>
          <w:szCs w:val="24"/>
        </w:rPr>
        <w:t>, the recipient will continue to work with public and private agencies that address housing, health, social services, employment, education, or youth needs in making them aware of the Coordinated Entry system so that those needing housing assistance can be referred and assessed and have access to appropriate programs as they are available.</w:t>
      </w:r>
    </w:p>
    <w:p w14:paraId="14861EE0" w14:textId="77777777" w:rsidR="009A2C2E" w:rsidRDefault="009A2C2E" w:rsidP="009A2C2E">
      <w:pPr>
        <w:pStyle w:val="Heading2"/>
        <w:pageBreakBefore/>
        <w:rPr>
          <w:rFonts w:ascii="Calibri" w:hAnsi="Calibri"/>
          <w:i/>
        </w:rPr>
      </w:pPr>
      <w:bookmarkStart w:id="77" w:name="_Toc194673868"/>
      <w:r>
        <w:rPr>
          <w:rFonts w:ascii="Calibri" w:hAnsi="Calibri"/>
        </w:rPr>
        <w:lastRenderedPageBreak/>
        <w:t>SP-65 Lead based paint Hazards – 91.315(i)</w:t>
      </w:r>
      <w:bookmarkEnd w:id="76"/>
      <w:bookmarkEnd w:id="77"/>
    </w:p>
    <w:p w14:paraId="785B22AE" w14:textId="5CC019E1" w:rsidR="009A2C2E" w:rsidRPr="001A5FB0" w:rsidRDefault="009A2C2E" w:rsidP="001A5FB0">
      <w:pPr>
        <w:jc w:val="both"/>
        <w:rPr>
          <w:rFonts w:asciiTheme="minorHAnsi" w:hAnsiTheme="minorHAnsi" w:cstheme="minorHAnsi"/>
          <w:sz w:val="24"/>
          <w:szCs w:val="24"/>
        </w:rPr>
      </w:pPr>
      <w:r w:rsidRPr="001A5FB0">
        <w:rPr>
          <w:rFonts w:asciiTheme="minorHAnsi" w:hAnsiTheme="minorHAnsi" w:cstheme="minorHAnsi"/>
          <w:sz w:val="24"/>
          <w:szCs w:val="24"/>
        </w:rPr>
        <w:t xml:space="preserve">Housing that will be assisted with Federal funds in Idaho is required to have an </w:t>
      </w:r>
      <w:r w:rsidR="0173F125" w:rsidRPr="001A5FB0">
        <w:rPr>
          <w:rFonts w:asciiTheme="minorHAnsi" w:hAnsiTheme="minorHAnsi" w:cstheme="minorHAnsi"/>
          <w:sz w:val="24"/>
          <w:szCs w:val="24"/>
        </w:rPr>
        <w:t>Environmental Protection</w:t>
      </w:r>
      <w:r w:rsidR="2C699B1B" w:rsidRPr="001A5FB0">
        <w:rPr>
          <w:rFonts w:asciiTheme="minorHAnsi" w:hAnsiTheme="minorHAnsi" w:cstheme="minorHAnsi"/>
          <w:sz w:val="24"/>
          <w:szCs w:val="24"/>
        </w:rPr>
        <w:t xml:space="preserve"> Agency</w:t>
      </w:r>
      <w:r w:rsidR="0173F125" w:rsidRPr="001A5FB0">
        <w:rPr>
          <w:rFonts w:asciiTheme="minorHAnsi" w:hAnsiTheme="minorHAnsi" w:cstheme="minorHAnsi"/>
          <w:sz w:val="24"/>
          <w:szCs w:val="24"/>
        </w:rPr>
        <w:t xml:space="preserve"> (</w:t>
      </w:r>
      <w:r w:rsidRPr="001A5FB0">
        <w:rPr>
          <w:rFonts w:asciiTheme="minorHAnsi" w:hAnsiTheme="minorHAnsi" w:cstheme="minorHAnsi"/>
          <w:sz w:val="24"/>
          <w:szCs w:val="24"/>
        </w:rPr>
        <w:t>EPA</w:t>
      </w:r>
      <w:r w:rsidR="2CD0909A" w:rsidRPr="001A5FB0">
        <w:rPr>
          <w:rFonts w:asciiTheme="minorHAnsi" w:hAnsiTheme="minorHAnsi" w:cstheme="minorHAnsi"/>
          <w:sz w:val="24"/>
          <w:szCs w:val="24"/>
        </w:rPr>
        <w:t>)</w:t>
      </w:r>
      <w:r w:rsidRPr="001A5FB0">
        <w:rPr>
          <w:rFonts w:asciiTheme="minorHAnsi" w:hAnsiTheme="minorHAnsi" w:cstheme="minorHAnsi"/>
          <w:sz w:val="24"/>
          <w:szCs w:val="24"/>
        </w:rPr>
        <w:t xml:space="preserve"> Risk Assessment/Paint Testing to determine the presence of Lead-</w:t>
      </w:r>
      <w:r w:rsidR="23E77C92" w:rsidRPr="001A5FB0">
        <w:rPr>
          <w:rFonts w:asciiTheme="minorHAnsi" w:hAnsiTheme="minorHAnsi" w:cstheme="minorHAnsi"/>
          <w:sz w:val="24"/>
          <w:szCs w:val="24"/>
        </w:rPr>
        <w:t>B</w:t>
      </w:r>
      <w:r w:rsidR="7B270814" w:rsidRPr="001A5FB0">
        <w:rPr>
          <w:rFonts w:asciiTheme="minorHAnsi" w:hAnsiTheme="minorHAnsi" w:cstheme="minorHAnsi"/>
          <w:sz w:val="24"/>
          <w:szCs w:val="24"/>
        </w:rPr>
        <w:t>ased</w:t>
      </w:r>
      <w:r w:rsidRPr="001A5FB0">
        <w:rPr>
          <w:rFonts w:asciiTheme="minorHAnsi" w:hAnsiTheme="minorHAnsi" w:cstheme="minorHAnsi"/>
          <w:sz w:val="24"/>
          <w:szCs w:val="24"/>
        </w:rPr>
        <w:t xml:space="preserve"> Paint</w:t>
      </w:r>
      <w:r w:rsidR="4206B7A0" w:rsidRPr="001A5FB0">
        <w:rPr>
          <w:rFonts w:asciiTheme="minorHAnsi" w:hAnsiTheme="minorHAnsi" w:cstheme="minorHAnsi"/>
          <w:sz w:val="24"/>
          <w:szCs w:val="24"/>
        </w:rPr>
        <w:t xml:space="preserve"> (LBP)</w:t>
      </w:r>
      <w:r w:rsidRPr="001A5FB0">
        <w:rPr>
          <w:rFonts w:asciiTheme="minorHAnsi" w:hAnsiTheme="minorHAnsi" w:cstheme="minorHAnsi"/>
          <w:sz w:val="24"/>
          <w:szCs w:val="24"/>
        </w:rPr>
        <w:t xml:space="preserve"> prior to a commitment of funds for rehabilitation if constructed on or before January 1, 1978. </w:t>
      </w:r>
    </w:p>
    <w:p w14:paraId="5B4E6CF6" w14:textId="77777777" w:rsidR="009A2C2E" w:rsidRPr="001A5FB0" w:rsidRDefault="009A2C2E" w:rsidP="001A5FB0">
      <w:pPr>
        <w:pStyle w:val="Normal1"/>
        <w:jc w:val="both"/>
        <w:rPr>
          <w:rFonts w:cstheme="minorHAnsi"/>
          <w:sz w:val="24"/>
        </w:rPr>
      </w:pPr>
      <w:r w:rsidRPr="001A5FB0">
        <w:rPr>
          <w:rFonts w:cstheme="minorHAnsi"/>
          <w:sz w:val="24"/>
        </w:rPr>
        <w:t>Estimated Number of Housing Units Occupied by Low or Moderate-Income Families with LBP Hazards</w:t>
      </w:r>
    </w:p>
    <w:p w14:paraId="0BA21BA1" w14:textId="0864E905" w:rsidR="009A2C2E" w:rsidRPr="001A5FB0" w:rsidRDefault="009A2C2E" w:rsidP="001A5FB0">
      <w:pPr>
        <w:jc w:val="both"/>
        <w:rPr>
          <w:rFonts w:asciiTheme="minorHAnsi" w:hAnsiTheme="minorHAnsi" w:cstheme="minorHAnsi"/>
          <w:sz w:val="24"/>
          <w:szCs w:val="24"/>
        </w:rPr>
      </w:pPr>
      <w:r w:rsidRPr="001A5FB0">
        <w:rPr>
          <w:rFonts w:asciiTheme="minorHAnsi" w:hAnsiTheme="minorHAnsi" w:cstheme="minorHAnsi"/>
          <w:sz w:val="24"/>
          <w:szCs w:val="24"/>
        </w:rPr>
        <w:t xml:space="preserve">Based on </w:t>
      </w:r>
      <w:r w:rsidR="003D336B" w:rsidRPr="001A5FB0">
        <w:rPr>
          <w:rFonts w:asciiTheme="minorHAnsi" w:hAnsiTheme="minorHAnsi" w:cstheme="minorHAnsi"/>
          <w:sz w:val="24"/>
          <w:szCs w:val="24"/>
        </w:rPr>
        <w:t xml:space="preserve">2018-2022 </w:t>
      </w:r>
      <w:r w:rsidR="64F606EA" w:rsidRPr="001A5FB0">
        <w:rPr>
          <w:rFonts w:asciiTheme="minorHAnsi" w:hAnsiTheme="minorHAnsi" w:cstheme="minorHAnsi"/>
          <w:sz w:val="24"/>
          <w:szCs w:val="24"/>
        </w:rPr>
        <w:t>American Community Survey (</w:t>
      </w:r>
      <w:r w:rsidRPr="001A5FB0">
        <w:rPr>
          <w:rFonts w:asciiTheme="minorHAnsi" w:hAnsiTheme="minorHAnsi" w:cstheme="minorHAnsi"/>
          <w:sz w:val="24"/>
          <w:szCs w:val="24"/>
        </w:rPr>
        <w:t>ACS</w:t>
      </w:r>
      <w:r w:rsidR="60DF9BAF" w:rsidRPr="001A5FB0">
        <w:rPr>
          <w:rFonts w:asciiTheme="minorHAnsi" w:hAnsiTheme="minorHAnsi" w:cstheme="minorHAnsi"/>
          <w:sz w:val="24"/>
          <w:szCs w:val="24"/>
        </w:rPr>
        <w:t>)</w:t>
      </w:r>
      <w:r w:rsidRPr="001A5FB0">
        <w:rPr>
          <w:rFonts w:asciiTheme="minorHAnsi" w:hAnsiTheme="minorHAnsi" w:cstheme="minorHAnsi"/>
          <w:sz w:val="24"/>
          <w:szCs w:val="24"/>
        </w:rPr>
        <w:t xml:space="preserve"> figures, about 42% of Idaho's owner-occupied housing stock and 47% of renter-occupied housing stoc</w:t>
      </w:r>
      <w:r w:rsidR="003D336B" w:rsidRPr="001A5FB0">
        <w:rPr>
          <w:rFonts w:asciiTheme="minorHAnsi" w:hAnsiTheme="minorHAnsi" w:cstheme="minorHAnsi"/>
          <w:sz w:val="24"/>
          <w:szCs w:val="24"/>
        </w:rPr>
        <w:t>k</w:t>
      </w:r>
      <w:r w:rsidRPr="001A5FB0">
        <w:rPr>
          <w:rFonts w:asciiTheme="minorHAnsi" w:hAnsiTheme="minorHAnsi" w:cstheme="minorHAnsi"/>
          <w:sz w:val="24"/>
          <w:szCs w:val="24"/>
        </w:rPr>
        <w:t xml:space="preserve"> was built prior to 1980. Based on the age of this housing, one could assume that some of those units will have </w:t>
      </w:r>
      <w:proofErr w:type="gramStart"/>
      <w:r w:rsidRPr="001A5FB0">
        <w:rPr>
          <w:rFonts w:asciiTheme="minorHAnsi" w:hAnsiTheme="minorHAnsi" w:cstheme="minorHAnsi"/>
          <w:sz w:val="24"/>
          <w:szCs w:val="24"/>
        </w:rPr>
        <w:t>Lead</w:t>
      </w:r>
      <w:proofErr w:type="gramEnd"/>
      <w:r w:rsidRPr="001A5FB0">
        <w:rPr>
          <w:rFonts w:asciiTheme="minorHAnsi" w:hAnsiTheme="minorHAnsi" w:cstheme="minorHAnsi"/>
          <w:sz w:val="24"/>
          <w:szCs w:val="24"/>
        </w:rPr>
        <w:t xml:space="preserve">-based paint (LBP).  While not all homes built before 1980 have </w:t>
      </w:r>
      <w:r w:rsidR="7B270814" w:rsidRPr="001A5FB0">
        <w:rPr>
          <w:rFonts w:asciiTheme="minorHAnsi" w:hAnsiTheme="minorHAnsi" w:cstheme="minorHAnsi"/>
          <w:sz w:val="24"/>
          <w:szCs w:val="24"/>
        </w:rPr>
        <w:t>L</w:t>
      </w:r>
      <w:r w:rsidR="3955D8CE" w:rsidRPr="001A5FB0">
        <w:rPr>
          <w:rFonts w:asciiTheme="minorHAnsi" w:hAnsiTheme="minorHAnsi" w:cstheme="minorHAnsi"/>
          <w:sz w:val="24"/>
          <w:szCs w:val="24"/>
        </w:rPr>
        <w:t>BP</w:t>
      </w:r>
      <w:r w:rsidRPr="001A5FB0">
        <w:rPr>
          <w:rFonts w:asciiTheme="minorHAnsi" w:hAnsiTheme="minorHAnsi" w:cstheme="minorHAnsi"/>
          <w:sz w:val="24"/>
          <w:szCs w:val="24"/>
        </w:rPr>
        <w:t xml:space="preserve"> homes built between 1940 and 1959 (</w:t>
      </w:r>
      <w:r w:rsidRPr="001A5FB0">
        <w:rPr>
          <w:rFonts w:asciiTheme="minorHAnsi" w:eastAsia="Times New Roman" w:hAnsiTheme="minorHAnsi" w:cstheme="minorHAnsi"/>
          <w:sz w:val="24"/>
          <w:szCs w:val="24"/>
        </w:rPr>
        <w:t xml:space="preserve">75,593 </w:t>
      </w:r>
      <w:r w:rsidRPr="001A5FB0">
        <w:rPr>
          <w:rFonts w:asciiTheme="minorHAnsi" w:hAnsiTheme="minorHAnsi" w:cstheme="minorHAnsi"/>
          <w:sz w:val="24"/>
          <w:szCs w:val="24"/>
        </w:rPr>
        <w:t xml:space="preserve">units) have a higher risk for having LBP.  </w:t>
      </w:r>
    </w:p>
    <w:p w14:paraId="650AB758" w14:textId="594DD867" w:rsidR="009A2C2E" w:rsidRPr="001A5FB0" w:rsidRDefault="009A2C2E" w:rsidP="001A5FB0">
      <w:pPr>
        <w:jc w:val="both"/>
        <w:rPr>
          <w:rFonts w:asciiTheme="minorHAnsi" w:hAnsiTheme="minorHAnsi" w:cstheme="minorHAnsi"/>
          <w:sz w:val="24"/>
          <w:szCs w:val="24"/>
        </w:rPr>
      </w:pPr>
      <w:r w:rsidRPr="001A5FB0">
        <w:rPr>
          <w:rFonts w:asciiTheme="minorHAnsi" w:hAnsiTheme="minorHAnsi" w:cstheme="minorHAnsi"/>
          <w:sz w:val="24"/>
          <w:szCs w:val="24"/>
        </w:rPr>
        <w:t xml:space="preserve">With 21% of the rental homes and 14% of owned units built before 1980 having a presence of children under the age of 6, it is important to assume any exposure to </w:t>
      </w:r>
      <w:r w:rsidR="6D0EBD4D" w:rsidRPr="001A5FB0">
        <w:rPr>
          <w:rFonts w:asciiTheme="minorHAnsi" w:hAnsiTheme="minorHAnsi" w:cstheme="minorHAnsi"/>
          <w:sz w:val="24"/>
          <w:szCs w:val="24"/>
        </w:rPr>
        <w:t>LBP</w:t>
      </w:r>
      <w:r w:rsidRPr="001A5FB0">
        <w:rPr>
          <w:rFonts w:asciiTheme="minorHAnsi" w:hAnsiTheme="minorHAnsi" w:cstheme="minorHAnsi"/>
          <w:sz w:val="24"/>
          <w:szCs w:val="24"/>
        </w:rPr>
        <w:t xml:space="preserve"> would be detrimental to those families.  The higher rate for rental units is particularly worrisome, for in many cases families renting a pre-1980 housing unit may not have the financial means to easily move or the resources to reach out to test for LBP.</w:t>
      </w:r>
    </w:p>
    <w:p w14:paraId="67288C39" w14:textId="77777777" w:rsidR="009A2C2E" w:rsidRPr="001A5FB0" w:rsidRDefault="009A2C2E" w:rsidP="001A5FB0">
      <w:pPr>
        <w:jc w:val="both"/>
        <w:rPr>
          <w:rFonts w:asciiTheme="minorHAnsi" w:hAnsiTheme="minorHAnsi" w:cstheme="minorHAnsi"/>
          <w:b/>
          <w:sz w:val="24"/>
          <w:szCs w:val="24"/>
        </w:rPr>
      </w:pPr>
      <w:r w:rsidRPr="001A5FB0">
        <w:rPr>
          <w:rFonts w:asciiTheme="minorHAnsi" w:hAnsiTheme="minorHAnsi" w:cstheme="minorHAnsi"/>
          <w:b/>
          <w:sz w:val="24"/>
          <w:szCs w:val="24"/>
        </w:rPr>
        <w:t>Actions to address LBP hazards and increase access to housing without LBP hazards</w:t>
      </w:r>
    </w:p>
    <w:p w14:paraId="19985E12" w14:textId="6F6947C8" w:rsidR="009A2C2E" w:rsidRPr="001A5FB0" w:rsidRDefault="009A2C2E" w:rsidP="001A5FB0">
      <w:pPr>
        <w:spacing w:beforeAutospacing="1" w:afterAutospacing="1"/>
        <w:jc w:val="both"/>
        <w:rPr>
          <w:rFonts w:asciiTheme="minorHAnsi" w:hAnsiTheme="minorHAnsi" w:cstheme="minorHAnsi"/>
          <w:sz w:val="24"/>
          <w:szCs w:val="24"/>
        </w:rPr>
      </w:pPr>
      <w:r w:rsidRPr="001A5FB0">
        <w:rPr>
          <w:rFonts w:asciiTheme="minorHAnsi" w:hAnsiTheme="minorHAnsi" w:cstheme="minorHAnsi"/>
          <w:sz w:val="24"/>
          <w:szCs w:val="24"/>
        </w:rPr>
        <w:t xml:space="preserve">The Lead-Based Paint </w:t>
      </w:r>
      <w:r w:rsidR="7B151CC3" w:rsidRPr="001A5FB0">
        <w:rPr>
          <w:rFonts w:asciiTheme="minorHAnsi" w:hAnsiTheme="minorHAnsi" w:cstheme="minorHAnsi"/>
          <w:sz w:val="24"/>
          <w:szCs w:val="24"/>
        </w:rPr>
        <w:t xml:space="preserve">(LBP) </w:t>
      </w:r>
      <w:r w:rsidRPr="001A5FB0">
        <w:rPr>
          <w:rFonts w:asciiTheme="minorHAnsi" w:hAnsiTheme="minorHAnsi" w:cstheme="minorHAnsi"/>
          <w:sz w:val="24"/>
          <w:szCs w:val="24"/>
        </w:rPr>
        <w:t xml:space="preserve">Poisoning Prevention Act prohibits the use of </w:t>
      </w:r>
      <w:r w:rsidR="7B270814" w:rsidRPr="001A5FB0">
        <w:rPr>
          <w:rFonts w:asciiTheme="minorHAnsi" w:hAnsiTheme="minorHAnsi" w:cstheme="minorHAnsi"/>
          <w:sz w:val="24"/>
          <w:szCs w:val="24"/>
        </w:rPr>
        <w:t>L</w:t>
      </w:r>
      <w:r w:rsidR="742945FA" w:rsidRPr="001A5FB0">
        <w:rPr>
          <w:rFonts w:asciiTheme="minorHAnsi" w:hAnsiTheme="minorHAnsi" w:cstheme="minorHAnsi"/>
          <w:sz w:val="24"/>
          <w:szCs w:val="24"/>
        </w:rPr>
        <w:t>BP</w:t>
      </w:r>
      <w:r w:rsidRPr="001A5FB0">
        <w:rPr>
          <w:rFonts w:asciiTheme="minorHAnsi" w:hAnsiTheme="minorHAnsi" w:cstheme="minorHAnsi"/>
          <w:sz w:val="24"/>
          <w:szCs w:val="24"/>
        </w:rPr>
        <w:t xml:space="preserve"> in all residential structures constructed on or after January 1, 1978 (exemptions apply).  Idaho has a total of </w:t>
      </w:r>
      <w:r w:rsidRPr="001A5FB0">
        <w:rPr>
          <w:rFonts w:asciiTheme="minorHAnsi" w:hAnsiTheme="minorHAnsi" w:cstheme="minorHAnsi"/>
          <w:b/>
          <w:i/>
          <w:color w:val="000000" w:themeColor="text1"/>
          <w:sz w:val="24"/>
          <w:szCs w:val="24"/>
        </w:rPr>
        <w:t>701,196</w:t>
      </w:r>
      <w:r w:rsidRPr="001A5FB0">
        <w:rPr>
          <w:rFonts w:asciiTheme="minorHAnsi" w:hAnsiTheme="minorHAnsi" w:cstheme="minorHAnsi"/>
          <w:sz w:val="24"/>
          <w:szCs w:val="24"/>
        </w:rPr>
        <w:t xml:space="preserve"> residential properties; 38% of these units were built before 1980. While not all homes built before 1980 have </w:t>
      </w:r>
      <w:r w:rsidR="7B270814" w:rsidRPr="001A5FB0">
        <w:rPr>
          <w:rFonts w:asciiTheme="minorHAnsi" w:hAnsiTheme="minorHAnsi" w:cstheme="minorHAnsi"/>
          <w:sz w:val="24"/>
          <w:szCs w:val="24"/>
        </w:rPr>
        <w:t>L</w:t>
      </w:r>
      <w:r w:rsidR="24724D0C" w:rsidRPr="001A5FB0">
        <w:rPr>
          <w:rFonts w:asciiTheme="minorHAnsi" w:hAnsiTheme="minorHAnsi" w:cstheme="minorHAnsi"/>
          <w:sz w:val="24"/>
          <w:szCs w:val="24"/>
        </w:rPr>
        <w:t>BP</w:t>
      </w:r>
      <w:r w:rsidRPr="001A5FB0">
        <w:rPr>
          <w:rFonts w:asciiTheme="minorHAnsi" w:hAnsiTheme="minorHAnsi" w:cstheme="minorHAnsi"/>
          <w:sz w:val="24"/>
          <w:szCs w:val="24"/>
        </w:rPr>
        <w:t xml:space="preserve"> homes built before 1950 (76,635 units) have a higher risk for having LBP. It is noted that these estimates do not account for the number of housing units that have had lead hazard reduction or elimination activities.  Accordingly, the number of residential units in Idaho with significant LBP hazards is likely to be significantly lower.  Additional information </w:t>
      </w:r>
      <w:r w:rsidR="1E9C267C" w:rsidRPr="001A5FB0">
        <w:rPr>
          <w:rFonts w:asciiTheme="minorHAnsi" w:hAnsiTheme="minorHAnsi" w:cstheme="minorHAnsi"/>
          <w:sz w:val="24"/>
          <w:szCs w:val="24"/>
        </w:rPr>
        <w:t xml:space="preserve">is </w:t>
      </w:r>
      <w:r w:rsidRPr="001A5FB0">
        <w:rPr>
          <w:rFonts w:asciiTheme="minorHAnsi" w:hAnsiTheme="minorHAnsi" w:cstheme="minorHAnsi"/>
          <w:sz w:val="24"/>
          <w:szCs w:val="24"/>
        </w:rPr>
        <w:t>available below.</w:t>
      </w:r>
    </w:p>
    <w:p w14:paraId="055D9995" w14:textId="77777777" w:rsidR="009A2C2E" w:rsidRPr="001A5FB0" w:rsidRDefault="009A2C2E" w:rsidP="001A5FB0">
      <w:pPr>
        <w:jc w:val="both"/>
        <w:rPr>
          <w:rFonts w:asciiTheme="minorHAnsi" w:hAnsiTheme="minorHAnsi" w:cstheme="minorHAnsi"/>
          <w:b/>
          <w:sz w:val="24"/>
          <w:szCs w:val="24"/>
        </w:rPr>
      </w:pPr>
      <w:r w:rsidRPr="001A5FB0">
        <w:rPr>
          <w:rFonts w:asciiTheme="minorHAnsi" w:hAnsiTheme="minorHAnsi" w:cstheme="minorHAnsi"/>
          <w:b/>
          <w:sz w:val="24"/>
          <w:szCs w:val="24"/>
        </w:rPr>
        <w:t>How are the actions listed above integrated into housing policies and procedures?</w:t>
      </w:r>
    </w:p>
    <w:p w14:paraId="72D98FB7" w14:textId="65E223AB" w:rsidR="009A2C2E" w:rsidRPr="001A5FB0" w:rsidRDefault="009A2C2E" w:rsidP="001A5FB0">
      <w:pPr>
        <w:spacing w:beforeAutospacing="1" w:afterAutospacing="1"/>
        <w:jc w:val="both"/>
        <w:rPr>
          <w:rFonts w:asciiTheme="minorHAnsi" w:hAnsiTheme="minorHAnsi" w:cstheme="minorHAnsi"/>
          <w:sz w:val="24"/>
          <w:szCs w:val="24"/>
        </w:rPr>
      </w:pPr>
      <w:r w:rsidRPr="001A5FB0">
        <w:rPr>
          <w:rFonts w:asciiTheme="minorHAnsi" w:hAnsiTheme="minorHAnsi" w:cstheme="minorHAnsi"/>
          <w:sz w:val="24"/>
          <w:szCs w:val="24"/>
        </w:rPr>
        <w:t xml:space="preserve">The State of Idaho has not adopted a state level Lead-based paint/hazard reduction program.  Therefore, residential acquisition and/or rehabilitation activities are required to follow the EPA Lead-Based Paint </w:t>
      </w:r>
      <w:r w:rsidR="79F65B44" w:rsidRPr="001A5FB0">
        <w:rPr>
          <w:rFonts w:asciiTheme="minorHAnsi" w:hAnsiTheme="minorHAnsi" w:cstheme="minorHAnsi"/>
          <w:sz w:val="24"/>
          <w:szCs w:val="24"/>
        </w:rPr>
        <w:t xml:space="preserve">(LBP) </w:t>
      </w:r>
      <w:r w:rsidRPr="001A5FB0">
        <w:rPr>
          <w:rFonts w:asciiTheme="minorHAnsi" w:hAnsiTheme="minorHAnsi" w:cstheme="minorHAnsi"/>
          <w:sz w:val="24"/>
          <w:szCs w:val="24"/>
        </w:rPr>
        <w:t xml:space="preserve">Renovation, Repair, and Paint Rule (RRP).  This rule applies to all permanent residential housing built before January 1, 1978. Because there is no state level program, EPA must approve and certify all Idaho's LBP trainers, risk assessors/paint testers and renovation firms/workers in Idaho; it does not recognize other state level programs or </w:t>
      </w:r>
      <w:r w:rsidRPr="001A5FB0">
        <w:rPr>
          <w:rFonts w:asciiTheme="minorHAnsi" w:hAnsiTheme="minorHAnsi" w:cstheme="minorHAnsi"/>
          <w:sz w:val="24"/>
          <w:szCs w:val="24"/>
        </w:rPr>
        <w:lastRenderedPageBreak/>
        <w:t>certifications, i.e. Oregon.  When HUD funds are used residential acquisition and/or rehabilitation activities, HUD's Lead-Safe Housing Rule (LSHR) also applies to the activity.  In cases where either the RRP Rule or HUD’s LSHR is more restrictive, the most restrictive rule will apply.</w:t>
      </w:r>
    </w:p>
    <w:p w14:paraId="1F6B4E3A" w14:textId="28F435B6" w:rsidR="009A2C2E" w:rsidRPr="001A5FB0" w:rsidRDefault="009A2C2E" w:rsidP="001A5FB0">
      <w:pPr>
        <w:spacing w:beforeAutospacing="1" w:afterAutospacing="1"/>
        <w:jc w:val="both"/>
        <w:rPr>
          <w:rFonts w:asciiTheme="minorHAnsi" w:hAnsiTheme="minorHAnsi" w:cstheme="minorHAnsi"/>
          <w:sz w:val="24"/>
          <w:szCs w:val="24"/>
        </w:rPr>
      </w:pPr>
      <w:r w:rsidRPr="001A5FB0">
        <w:rPr>
          <w:rFonts w:asciiTheme="minorHAnsi" w:hAnsiTheme="minorHAnsi" w:cstheme="minorHAnsi"/>
          <w:sz w:val="24"/>
          <w:szCs w:val="24"/>
        </w:rPr>
        <w:t xml:space="preserve">There are certain LBP rule exemptions under EPA's RRP rule, </w:t>
      </w:r>
      <w:proofErr w:type="gramStart"/>
      <w:r w:rsidRPr="001A5FB0">
        <w:rPr>
          <w:rFonts w:asciiTheme="minorHAnsi" w:hAnsiTheme="minorHAnsi" w:cstheme="minorHAnsi"/>
          <w:sz w:val="24"/>
          <w:szCs w:val="24"/>
        </w:rPr>
        <w:t xml:space="preserve">however </w:t>
      </w:r>
      <w:r w:rsidR="68E90F1A" w:rsidRPr="001A5FB0">
        <w:rPr>
          <w:rFonts w:asciiTheme="minorHAnsi" w:hAnsiTheme="minorHAnsi" w:cstheme="minorHAnsi"/>
          <w:sz w:val="24"/>
          <w:szCs w:val="24"/>
        </w:rPr>
        <w:t>,</w:t>
      </w:r>
      <w:r w:rsidRPr="001A5FB0">
        <w:rPr>
          <w:rFonts w:asciiTheme="minorHAnsi" w:hAnsiTheme="minorHAnsi" w:cstheme="minorHAnsi"/>
          <w:sz w:val="24"/>
          <w:szCs w:val="24"/>
        </w:rPr>
        <w:t>to</w:t>
      </w:r>
      <w:proofErr w:type="gramEnd"/>
      <w:r w:rsidRPr="001A5FB0">
        <w:rPr>
          <w:rFonts w:asciiTheme="minorHAnsi" w:hAnsiTheme="minorHAnsi" w:cstheme="minorHAnsi"/>
          <w:sz w:val="24"/>
          <w:szCs w:val="24"/>
        </w:rPr>
        <w:t xml:space="preserve"> be defined as an acceptable exemption under the HOME/HTF Program, HUD LSHR must also identify it as an exemption. The most restrictive rule will apply.</w:t>
      </w:r>
    </w:p>
    <w:p w14:paraId="72A4CC87" w14:textId="77777777" w:rsidR="009A2C2E" w:rsidRPr="001A5FB0" w:rsidRDefault="009A2C2E" w:rsidP="001A5FB0">
      <w:pPr>
        <w:spacing w:beforeAutospacing="1" w:afterAutospacing="1"/>
        <w:jc w:val="both"/>
        <w:rPr>
          <w:rFonts w:asciiTheme="minorHAnsi" w:hAnsiTheme="minorHAnsi" w:cstheme="minorHAnsi"/>
          <w:sz w:val="24"/>
          <w:szCs w:val="24"/>
        </w:rPr>
      </w:pPr>
      <w:r w:rsidRPr="001A5FB0">
        <w:rPr>
          <w:rFonts w:asciiTheme="minorHAnsi" w:hAnsiTheme="minorHAnsi" w:cstheme="minorHAnsi"/>
          <w:sz w:val="24"/>
          <w:szCs w:val="24"/>
        </w:rPr>
        <w:t>LBP policies and procedures are outlined Annual Administrative Plan and enforced through a written agreement with the owner. LBP tenant disclosure requirements and LBP hazard identification and reduction activities requirements are monitored for compliance during the period of affordability. </w:t>
      </w:r>
    </w:p>
    <w:p w14:paraId="37473F7E" w14:textId="461D5F69" w:rsidR="009A2C2E" w:rsidRPr="001A5FB0" w:rsidRDefault="009A2C2E" w:rsidP="001A5FB0">
      <w:pPr>
        <w:spacing w:beforeAutospacing="1" w:afterAutospacing="1"/>
        <w:jc w:val="both"/>
        <w:rPr>
          <w:rFonts w:asciiTheme="minorHAnsi" w:hAnsiTheme="minorHAnsi" w:cstheme="minorHAnsi"/>
          <w:sz w:val="24"/>
          <w:szCs w:val="24"/>
        </w:rPr>
      </w:pPr>
      <w:r w:rsidRPr="001A5FB0">
        <w:rPr>
          <w:rFonts w:asciiTheme="minorHAnsi" w:hAnsiTheme="minorHAnsi" w:cstheme="minorHAnsi"/>
          <w:sz w:val="24"/>
          <w:szCs w:val="24"/>
        </w:rPr>
        <w:t xml:space="preserve">IHFA supports the position that education and training will reduce </w:t>
      </w:r>
      <w:r w:rsidR="5C60B751" w:rsidRPr="001A5FB0">
        <w:rPr>
          <w:rFonts w:asciiTheme="minorHAnsi" w:hAnsiTheme="minorHAnsi" w:cstheme="minorHAnsi"/>
          <w:sz w:val="24"/>
          <w:szCs w:val="24"/>
        </w:rPr>
        <w:t>LBP</w:t>
      </w:r>
      <w:r w:rsidRPr="001A5FB0">
        <w:rPr>
          <w:rFonts w:asciiTheme="minorHAnsi" w:hAnsiTheme="minorHAnsi" w:cstheme="minorHAnsi"/>
          <w:sz w:val="24"/>
          <w:szCs w:val="24"/>
        </w:rPr>
        <w:t xml:space="preserve"> hazards in Idaho's residential housing. While Idaho does not define IHFA as a State agency, HUD does </w:t>
      </w:r>
      <w:r w:rsidR="49D11313" w:rsidRPr="001A5FB0">
        <w:rPr>
          <w:rFonts w:asciiTheme="minorHAnsi" w:hAnsiTheme="minorHAnsi" w:cstheme="minorHAnsi"/>
          <w:sz w:val="24"/>
          <w:szCs w:val="24"/>
        </w:rPr>
        <w:t xml:space="preserve">define IHFA as a State agency </w:t>
      </w:r>
      <w:r w:rsidRPr="001A5FB0">
        <w:rPr>
          <w:rFonts w:asciiTheme="minorHAnsi" w:hAnsiTheme="minorHAnsi" w:cstheme="minorHAnsi"/>
          <w:sz w:val="24"/>
          <w:szCs w:val="24"/>
        </w:rPr>
        <w:t xml:space="preserve">for program administration purposes. Therefore, IHFA is ineligible to apply for HUD </w:t>
      </w:r>
      <w:r w:rsidR="7B270814" w:rsidRPr="001A5FB0">
        <w:rPr>
          <w:rFonts w:asciiTheme="minorHAnsi" w:hAnsiTheme="minorHAnsi" w:cstheme="minorHAnsi"/>
          <w:sz w:val="24"/>
          <w:szCs w:val="24"/>
        </w:rPr>
        <w:t>L</w:t>
      </w:r>
      <w:r w:rsidR="7807E8B5" w:rsidRPr="001A5FB0">
        <w:rPr>
          <w:rFonts w:asciiTheme="minorHAnsi" w:hAnsiTheme="minorHAnsi" w:cstheme="minorHAnsi"/>
          <w:sz w:val="24"/>
          <w:szCs w:val="24"/>
        </w:rPr>
        <w:t>BP</w:t>
      </w:r>
      <w:r w:rsidRPr="001A5FB0">
        <w:rPr>
          <w:rFonts w:asciiTheme="minorHAnsi" w:hAnsiTheme="minorHAnsi" w:cstheme="minorHAnsi"/>
          <w:sz w:val="24"/>
          <w:szCs w:val="24"/>
        </w:rPr>
        <w:t xml:space="preserve"> training program funds. </w:t>
      </w:r>
    </w:p>
    <w:p w14:paraId="435BA6B4" w14:textId="77777777" w:rsidR="009A2C2E" w:rsidRPr="001A5FB0" w:rsidRDefault="009A2C2E" w:rsidP="001A5FB0">
      <w:pPr>
        <w:pStyle w:val="Normal1"/>
        <w:jc w:val="both"/>
        <w:rPr>
          <w:rFonts w:cstheme="minorHAnsi"/>
          <w:sz w:val="24"/>
        </w:rPr>
      </w:pPr>
      <w:r w:rsidRPr="001A5FB0">
        <w:rPr>
          <w:rFonts w:cstheme="minorHAnsi"/>
          <w:sz w:val="24"/>
        </w:rPr>
        <w:t xml:space="preserve">Discussion: </w:t>
      </w:r>
    </w:p>
    <w:p w14:paraId="4AB5AB56" w14:textId="593EC5A6" w:rsidR="009A2C2E" w:rsidRPr="001A5FB0" w:rsidRDefault="009A2C2E" w:rsidP="001A5FB0">
      <w:pPr>
        <w:jc w:val="both"/>
        <w:rPr>
          <w:rFonts w:asciiTheme="minorHAnsi" w:hAnsiTheme="minorHAnsi" w:cstheme="minorHAnsi"/>
          <w:sz w:val="24"/>
          <w:szCs w:val="24"/>
        </w:rPr>
      </w:pPr>
      <w:r w:rsidRPr="001A5FB0">
        <w:rPr>
          <w:rFonts w:asciiTheme="minorHAnsi" w:hAnsiTheme="minorHAnsi" w:cstheme="minorHAnsi"/>
          <w:sz w:val="24"/>
          <w:szCs w:val="24"/>
        </w:rPr>
        <w:t xml:space="preserve">At the local level, some cities have taken proactive steps to lower those numbers further.  For example, the city of Pocatello’s Planning and Development Services Department received a </w:t>
      </w:r>
      <w:hyperlink r:id="rId22">
        <w:r w:rsidR="7B270814" w:rsidRPr="001A5FB0">
          <w:rPr>
            <w:rFonts w:asciiTheme="minorHAnsi" w:hAnsiTheme="minorHAnsi" w:cstheme="minorHAnsi"/>
            <w:color w:val="0563C1"/>
            <w:sz w:val="24"/>
            <w:szCs w:val="24"/>
            <w:u w:val="single"/>
          </w:rPr>
          <w:t>$1.5 million Lead-Based Paint Hazard Control Grant</w:t>
        </w:r>
      </w:hyperlink>
      <w:r w:rsidRPr="001A5FB0">
        <w:rPr>
          <w:rFonts w:asciiTheme="minorHAnsi" w:hAnsiTheme="minorHAnsi" w:cstheme="minorHAnsi"/>
          <w:sz w:val="24"/>
          <w:szCs w:val="24"/>
        </w:rPr>
        <w:t xml:space="preserve"> from HUD’s Office of Lead Hazard Control and Healthy Homes in 2018. Since then, the city has used the funding to launch a Lead Safe and Healthy Homes initiative. The initiative aims to provide </w:t>
      </w:r>
      <w:r w:rsidR="74CC3CBE" w:rsidRPr="001A5FB0">
        <w:rPr>
          <w:rFonts w:asciiTheme="minorHAnsi" w:hAnsiTheme="minorHAnsi" w:cstheme="minorHAnsi"/>
          <w:sz w:val="24"/>
          <w:szCs w:val="24"/>
        </w:rPr>
        <w:t>LBP</w:t>
      </w:r>
      <w:r w:rsidRPr="001A5FB0">
        <w:rPr>
          <w:rFonts w:asciiTheme="minorHAnsi" w:hAnsiTheme="minorHAnsi" w:cstheme="minorHAnsi"/>
          <w:sz w:val="24"/>
          <w:szCs w:val="24"/>
        </w:rPr>
        <w:t xml:space="preserve"> hazard control through licensed and certified contractors at no cost to homeowners and renters in the area. Similar local efforts across the state will help reduce exposure to </w:t>
      </w:r>
      <w:r w:rsidR="28E278B7" w:rsidRPr="001A5FB0">
        <w:rPr>
          <w:rFonts w:asciiTheme="minorHAnsi" w:hAnsiTheme="minorHAnsi" w:cstheme="minorHAnsi"/>
          <w:sz w:val="24"/>
          <w:szCs w:val="24"/>
        </w:rPr>
        <w:t>LBP</w:t>
      </w:r>
      <w:r w:rsidRPr="001A5FB0">
        <w:rPr>
          <w:rFonts w:asciiTheme="minorHAnsi" w:hAnsiTheme="minorHAnsi" w:cstheme="minorHAnsi"/>
          <w:sz w:val="24"/>
          <w:szCs w:val="24"/>
        </w:rPr>
        <w:t xml:space="preserve"> hazard even further in the state.</w:t>
      </w:r>
    </w:p>
    <w:p w14:paraId="367AD291" w14:textId="77777777" w:rsidR="009A2C2E" w:rsidRDefault="009A2C2E" w:rsidP="009A2C2E">
      <w:pPr>
        <w:pStyle w:val="Heading2"/>
        <w:pageBreakBefore/>
        <w:rPr>
          <w:rFonts w:ascii="Calibri" w:hAnsi="Calibri"/>
          <w:i/>
        </w:rPr>
      </w:pPr>
      <w:bookmarkStart w:id="78" w:name="_Toc191358746"/>
      <w:bookmarkStart w:id="79" w:name="_Toc194673869"/>
      <w:r>
        <w:rPr>
          <w:rFonts w:ascii="Calibri" w:hAnsi="Calibri"/>
        </w:rPr>
        <w:lastRenderedPageBreak/>
        <w:t>SP-70 Anti-Poverty Strategy – 91.315(j)</w:t>
      </w:r>
      <w:bookmarkEnd w:id="78"/>
      <w:bookmarkEnd w:id="79"/>
    </w:p>
    <w:p w14:paraId="38835240" w14:textId="77777777" w:rsidR="009A2C2E" w:rsidRDefault="009A2C2E" w:rsidP="009A2C2E">
      <w:pPr>
        <w:rPr>
          <w:b/>
          <w:sz w:val="24"/>
          <w:szCs w:val="24"/>
        </w:rPr>
      </w:pPr>
      <w:r>
        <w:rPr>
          <w:b/>
          <w:sz w:val="24"/>
          <w:szCs w:val="24"/>
        </w:rPr>
        <w:t>Jurisdiction Goals, Programs and Policies for reducing the number of Poverty-Level Families</w:t>
      </w:r>
    </w:p>
    <w:p w14:paraId="20F72643" w14:textId="5B277EED" w:rsidR="009A2C2E" w:rsidRPr="001A5FB0" w:rsidRDefault="009A2C2E" w:rsidP="001A5FB0">
      <w:pPr>
        <w:spacing w:beforeAutospacing="1" w:afterAutospacing="1"/>
        <w:jc w:val="both"/>
        <w:rPr>
          <w:rFonts w:cs="Arial"/>
          <w:sz w:val="24"/>
          <w:szCs w:val="24"/>
        </w:rPr>
      </w:pPr>
      <w:r w:rsidRPr="001A5FB0">
        <w:rPr>
          <w:rFonts w:cs="Arial"/>
          <w:sz w:val="24"/>
          <w:szCs w:val="24"/>
        </w:rPr>
        <w:t xml:space="preserve">While </w:t>
      </w:r>
      <w:r w:rsidR="4696C5C3" w:rsidRPr="001A5FB0">
        <w:rPr>
          <w:rFonts w:cs="Arial"/>
          <w:sz w:val="24"/>
          <w:szCs w:val="24"/>
        </w:rPr>
        <w:t>Idaho Housing and Finance Association</w:t>
      </w:r>
      <w:r w:rsidR="7B270814" w:rsidRPr="001A5FB0">
        <w:rPr>
          <w:rFonts w:cs="Arial"/>
          <w:sz w:val="24"/>
          <w:szCs w:val="24"/>
        </w:rPr>
        <w:t xml:space="preserve"> </w:t>
      </w:r>
      <w:r w:rsidR="13CAE943" w:rsidRPr="001A5FB0">
        <w:rPr>
          <w:rFonts w:cs="Arial"/>
          <w:sz w:val="24"/>
          <w:szCs w:val="24"/>
        </w:rPr>
        <w:t>(</w:t>
      </w:r>
      <w:r w:rsidRPr="001A5FB0">
        <w:rPr>
          <w:rFonts w:cs="Arial"/>
          <w:sz w:val="24"/>
          <w:szCs w:val="24"/>
        </w:rPr>
        <w:t>IHFA</w:t>
      </w:r>
      <w:r w:rsidR="70EAC44F" w:rsidRPr="001A5FB0">
        <w:rPr>
          <w:rFonts w:cs="Arial"/>
          <w:sz w:val="24"/>
          <w:szCs w:val="24"/>
        </w:rPr>
        <w:t>)</w:t>
      </w:r>
      <w:r w:rsidRPr="001A5FB0">
        <w:rPr>
          <w:rFonts w:cs="Arial"/>
          <w:sz w:val="24"/>
          <w:szCs w:val="24"/>
        </w:rPr>
        <w:t xml:space="preserve"> is not a state agency, the populations it serves in affordable housing are often the same population the Idaho Department of Health and Welfare </w:t>
      </w:r>
      <w:r w:rsidR="0341DB66" w:rsidRPr="001A5FB0">
        <w:rPr>
          <w:rFonts w:cs="Arial"/>
          <w:sz w:val="24"/>
          <w:szCs w:val="24"/>
        </w:rPr>
        <w:t xml:space="preserve">(IDHW) </w:t>
      </w:r>
      <w:r w:rsidRPr="001A5FB0">
        <w:rPr>
          <w:rFonts w:cs="Arial"/>
          <w:sz w:val="24"/>
          <w:szCs w:val="24"/>
        </w:rPr>
        <w:t>serves. Although not necessarily a coordinated effort, IDHW goals and anti-poverty strategies are consistent with many of IHFA’s affordable housing strategies.</w:t>
      </w:r>
    </w:p>
    <w:p w14:paraId="448396FB" w14:textId="75965A60" w:rsidR="009A2C2E" w:rsidRPr="001A5FB0" w:rsidRDefault="009A2C2E" w:rsidP="001A5FB0">
      <w:pPr>
        <w:spacing w:beforeAutospacing="1" w:afterAutospacing="1"/>
        <w:jc w:val="both"/>
        <w:rPr>
          <w:rFonts w:cs="Arial"/>
          <w:sz w:val="24"/>
          <w:szCs w:val="24"/>
        </w:rPr>
      </w:pPr>
      <w:r w:rsidRPr="001A5FB0">
        <w:rPr>
          <w:rFonts w:cs="Arial"/>
          <w:sz w:val="24"/>
          <w:szCs w:val="24"/>
        </w:rPr>
        <w:t xml:space="preserve">Small Business Loan Program-Funding for this Program </w:t>
      </w:r>
      <w:r w:rsidR="74894E18" w:rsidRPr="001A5FB0">
        <w:rPr>
          <w:rFonts w:cs="Arial"/>
          <w:sz w:val="24"/>
          <w:szCs w:val="24"/>
        </w:rPr>
        <w:t>(Program)</w:t>
      </w:r>
      <w:r w:rsidR="7B270814" w:rsidRPr="001A5FB0">
        <w:rPr>
          <w:rFonts w:cs="Arial"/>
          <w:sz w:val="24"/>
          <w:szCs w:val="24"/>
        </w:rPr>
        <w:t xml:space="preserve"> </w:t>
      </w:r>
      <w:r w:rsidRPr="001A5FB0">
        <w:rPr>
          <w:rFonts w:cs="Arial"/>
          <w:sz w:val="24"/>
          <w:szCs w:val="24"/>
        </w:rPr>
        <w:t xml:space="preserve">is provided by the U.S. Department of Treasury </w:t>
      </w:r>
      <w:r w:rsidR="0E06EB99" w:rsidRPr="001A5FB0">
        <w:rPr>
          <w:rFonts w:cs="Arial"/>
          <w:sz w:val="24"/>
          <w:szCs w:val="24"/>
        </w:rPr>
        <w:t xml:space="preserve">(Treasury) </w:t>
      </w:r>
      <w:r w:rsidRPr="001A5FB0">
        <w:rPr>
          <w:rFonts w:cs="Arial"/>
          <w:sz w:val="24"/>
          <w:szCs w:val="24"/>
        </w:rPr>
        <w:t xml:space="preserve">under the State Small Business Credit Initiative (SSBCI), authorized under the Small Business Jobs Act of 2010. IHFA was approved as administrator for Idaho’s $13.2 million allocation on August 15, 2011. The Program is a collaborative partnership between the U.S. Department of Treasury, Idaho Department of Commerce, and </w:t>
      </w:r>
      <w:r w:rsidR="7B270814" w:rsidRPr="001A5FB0">
        <w:rPr>
          <w:rFonts w:cs="Arial"/>
          <w:sz w:val="24"/>
          <w:szCs w:val="24"/>
        </w:rPr>
        <w:t>I</w:t>
      </w:r>
      <w:r w:rsidR="37DDECF4" w:rsidRPr="001A5FB0">
        <w:rPr>
          <w:rFonts w:cs="Arial"/>
          <w:sz w:val="24"/>
          <w:szCs w:val="24"/>
        </w:rPr>
        <w:t>HFA</w:t>
      </w:r>
      <w:r w:rsidR="7B270814" w:rsidRPr="001A5FB0">
        <w:rPr>
          <w:rFonts w:cs="Arial"/>
          <w:sz w:val="24"/>
          <w:szCs w:val="24"/>
        </w:rPr>
        <w:t>.</w:t>
      </w:r>
      <w:r w:rsidRPr="001A5FB0">
        <w:rPr>
          <w:rFonts w:cs="Arial"/>
          <w:sz w:val="24"/>
          <w:szCs w:val="24"/>
        </w:rPr>
        <w:t xml:space="preserve"> Idaho small businesses who are interested in this Program work through their local lending institutions to qualify. In summary, the Program places pledged cash deposits with lending institutions to enhance the collateral of qualified small business borrowers who would not otherwise be able to obtain financing. In September of 2013, Treasury granted IHFA permission to add non-federal funds into the Collateral Support Program.  To date, an additional $7 million in non-federal funds has been added to the Program.  Through December of 2019, </w:t>
      </w:r>
      <w:r w:rsidR="23A18084" w:rsidRPr="001A5FB0">
        <w:rPr>
          <w:rFonts w:cs="Arial"/>
          <w:sz w:val="24"/>
          <w:szCs w:val="24"/>
        </w:rPr>
        <w:t xml:space="preserve">five hundred </w:t>
      </w:r>
      <w:proofErr w:type="gramStart"/>
      <w:r w:rsidR="23A18084" w:rsidRPr="001A5FB0">
        <w:rPr>
          <w:rFonts w:cs="Arial"/>
          <w:sz w:val="24"/>
          <w:szCs w:val="24"/>
        </w:rPr>
        <w:t>eighty three</w:t>
      </w:r>
      <w:proofErr w:type="gramEnd"/>
      <w:r w:rsidR="23A18084" w:rsidRPr="001A5FB0">
        <w:rPr>
          <w:rFonts w:cs="Arial"/>
          <w:sz w:val="24"/>
          <w:szCs w:val="24"/>
        </w:rPr>
        <w:t xml:space="preserve"> (</w:t>
      </w:r>
      <w:r w:rsidRPr="001A5FB0">
        <w:rPr>
          <w:rFonts w:cs="Arial"/>
          <w:sz w:val="24"/>
          <w:szCs w:val="24"/>
        </w:rPr>
        <w:t>583</w:t>
      </w:r>
      <w:r w:rsidR="3C999C79" w:rsidRPr="001A5FB0">
        <w:rPr>
          <w:rFonts w:cs="Arial"/>
          <w:sz w:val="24"/>
          <w:szCs w:val="24"/>
        </w:rPr>
        <w:t>)</w:t>
      </w:r>
      <w:r w:rsidRPr="001A5FB0">
        <w:rPr>
          <w:rFonts w:cs="Arial"/>
          <w:sz w:val="24"/>
          <w:szCs w:val="24"/>
        </w:rPr>
        <w:t xml:space="preserve"> collateral deposit accounts have been established to assist Idaho small business owners in securing over $380 million in private lender loans.</w:t>
      </w:r>
    </w:p>
    <w:p w14:paraId="4F20AC94" w14:textId="2DFD4DE7" w:rsidR="43CD3205" w:rsidRPr="001A5FB0" w:rsidRDefault="43CD3205" w:rsidP="001A5FB0">
      <w:pPr>
        <w:spacing w:beforeAutospacing="1" w:afterAutospacing="1"/>
        <w:jc w:val="both"/>
        <w:rPr>
          <w:sz w:val="24"/>
          <w:szCs w:val="24"/>
        </w:rPr>
      </w:pPr>
      <w:r w:rsidRPr="001A5FB0">
        <w:rPr>
          <w:rFonts w:cs="Calibri"/>
          <w:color w:val="000000" w:themeColor="text1"/>
          <w:sz w:val="24"/>
          <w:szCs w:val="24"/>
        </w:rPr>
        <w:t>The I</w:t>
      </w:r>
      <w:r w:rsidR="0046152F">
        <w:rPr>
          <w:rFonts w:cs="Calibri"/>
          <w:color w:val="000000" w:themeColor="text1"/>
          <w:sz w:val="24"/>
          <w:szCs w:val="24"/>
        </w:rPr>
        <w:t>DHW</w:t>
      </w:r>
      <w:r w:rsidRPr="001A5FB0">
        <w:rPr>
          <w:rFonts w:cs="Calibri"/>
          <w:color w:val="000000" w:themeColor="text1"/>
          <w:sz w:val="24"/>
          <w:szCs w:val="24"/>
        </w:rPr>
        <w:t xml:space="preserve"> is working to address processes and procedures that challenge clients’ ability to enroll in and retain key work supports while improving childcare eligibility policies, as well as the Idaho Child Care Program (ICCP) business processes and technology, by building on successes in SNAP, Medicaid, and cash assistance programs.</w:t>
      </w:r>
    </w:p>
    <w:p w14:paraId="70380F01" w14:textId="084B4DA4" w:rsidR="2DDCDF11" w:rsidRPr="001A5FB0" w:rsidRDefault="2DDCDF11" w:rsidP="001A5FB0">
      <w:pPr>
        <w:spacing w:beforeAutospacing="1" w:afterAutospacing="1"/>
        <w:jc w:val="both"/>
        <w:rPr>
          <w:sz w:val="24"/>
          <w:szCs w:val="24"/>
        </w:rPr>
      </w:pPr>
      <w:r w:rsidRPr="001A5FB0">
        <w:rPr>
          <w:rFonts w:cs="Calibri"/>
          <w:color w:val="000000" w:themeColor="text1"/>
          <w:sz w:val="24"/>
          <w:szCs w:val="24"/>
        </w:rPr>
        <w:t>Idaho aims to better integrate its work support programs, including SNAP, Medicaid, and ICCP, to streamline benefit renewal for eligible families and support improved outcomes for them.</w:t>
      </w:r>
    </w:p>
    <w:p w14:paraId="52969DA2" w14:textId="3920A299" w:rsidR="5279C202" w:rsidRPr="001A5FB0" w:rsidRDefault="5279C202" w:rsidP="001A5FB0">
      <w:pPr>
        <w:spacing w:beforeAutospacing="1" w:afterAutospacing="1"/>
        <w:jc w:val="both"/>
        <w:rPr>
          <w:sz w:val="24"/>
          <w:szCs w:val="24"/>
        </w:rPr>
      </w:pPr>
      <w:r w:rsidRPr="001A5FB0">
        <w:rPr>
          <w:rFonts w:cs="Calibri"/>
          <w:color w:val="000000" w:themeColor="text1"/>
          <w:sz w:val="24"/>
          <w:szCs w:val="24"/>
        </w:rPr>
        <w:t>The department aims to increase the productivity of its eligibility workforce by further implementing a universal workforce service delivery model.</w:t>
      </w:r>
    </w:p>
    <w:p w14:paraId="5337E54E" w14:textId="64BD6B30" w:rsidR="009A2C2E" w:rsidRPr="001A5FB0" w:rsidRDefault="009A2C2E" w:rsidP="001A5FB0">
      <w:pPr>
        <w:jc w:val="both"/>
        <w:rPr>
          <w:b/>
          <w:sz w:val="24"/>
          <w:szCs w:val="24"/>
        </w:rPr>
      </w:pPr>
      <w:r w:rsidRPr="001A5FB0">
        <w:rPr>
          <w:b/>
          <w:sz w:val="24"/>
          <w:szCs w:val="24"/>
        </w:rPr>
        <w:t>How are the Jurisdiction poverty reducing goals, programs, and policies coordinated with this affordable housing plan</w:t>
      </w:r>
      <w:r w:rsidR="3E9DAFB2" w:rsidRPr="001A5FB0">
        <w:rPr>
          <w:b/>
          <w:bCs/>
          <w:sz w:val="24"/>
          <w:szCs w:val="24"/>
        </w:rPr>
        <w:t>?</w:t>
      </w:r>
    </w:p>
    <w:p w14:paraId="2264D28E" w14:textId="1AE4911E" w:rsidR="009A2C2E" w:rsidRPr="001A5FB0" w:rsidRDefault="009A2C2E" w:rsidP="001A5FB0">
      <w:pPr>
        <w:spacing w:beforeAutospacing="1" w:afterAutospacing="1"/>
        <w:jc w:val="both"/>
        <w:rPr>
          <w:rFonts w:cs="Arial"/>
          <w:sz w:val="24"/>
          <w:szCs w:val="24"/>
        </w:rPr>
      </w:pPr>
      <w:r w:rsidRPr="001A5FB0">
        <w:rPr>
          <w:rFonts w:cs="Arial"/>
          <w:sz w:val="24"/>
          <w:szCs w:val="24"/>
        </w:rPr>
        <w:t xml:space="preserve">IHFA- Households who participate in the federal Section 8 Housing Choice Voucher </w:t>
      </w:r>
      <w:r w:rsidR="529DF5E1" w:rsidRPr="001A5FB0">
        <w:rPr>
          <w:rFonts w:cs="Arial"/>
          <w:sz w:val="24"/>
          <w:szCs w:val="24"/>
        </w:rPr>
        <w:t xml:space="preserve">(HCV) </w:t>
      </w:r>
      <w:r w:rsidRPr="001A5FB0">
        <w:rPr>
          <w:rFonts w:cs="Arial"/>
          <w:sz w:val="24"/>
          <w:szCs w:val="24"/>
        </w:rPr>
        <w:t xml:space="preserve">program are eligible to be part of Idaho Housing's Family Self-Sufficiency (FSS) Program, a voluntary program that helps families become economically independent during the </w:t>
      </w:r>
      <w:r w:rsidR="2216EA4A" w:rsidRPr="001A5FB0">
        <w:rPr>
          <w:rFonts w:cs="Arial"/>
          <w:sz w:val="24"/>
          <w:szCs w:val="24"/>
        </w:rPr>
        <w:t>five (</w:t>
      </w:r>
      <w:r w:rsidRPr="001A5FB0">
        <w:rPr>
          <w:rFonts w:cs="Arial"/>
          <w:sz w:val="24"/>
          <w:szCs w:val="24"/>
        </w:rPr>
        <w:t>5</w:t>
      </w:r>
      <w:r w:rsidR="127E2250" w:rsidRPr="001A5FB0">
        <w:rPr>
          <w:rFonts w:cs="Arial"/>
          <w:sz w:val="24"/>
          <w:szCs w:val="24"/>
        </w:rPr>
        <w:t>)</w:t>
      </w:r>
      <w:r w:rsidR="7B270814" w:rsidRPr="001A5FB0">
        <w:rPr>
          <w:rFonts w:cs="Arial"/>
          <w:sz w:val="24"/>
          <w:szCs w:val="24"/>
        </w:rPr>
        <w:t>-</w:t>
      </w:r>
      <w:r w:rsidRPr="001A5FB0">
        <w:rPr>
          <w:rFonts w:cs="Arial"/>
          <w:sz w:val="24"/>
          <w:szCs w:val="24"/>
        </w:rPr>
        <w:t xml:space="preserve">year </w:t>
      </w:r>
      <w:r w:rsidRPr="001A5FB0">
        <w:rPr>
          <w:rFonts w:cs="Arial"/>
          <w:sz w:val="24"/>
          <w:szCs w:val="24"/>
        </w:rPr>
        <w:lastRenderedPageBreak/>
        <w:t xml:space="preserve">contract of participation. FSS assists participating families in setting individualized training and service goals, serves to provide case management services that link them to community resources and aims to help them overcome barriers to gainful employment. FSS participants also </w:t>
      </w:r>
      <w:proofErr w:type="gramStart"/>
      <w:r w:rsidRPr="001A5FB0">
        <w:rPr>
          <w:rFonts w:cs="Arial"/>
          <w:sz w:val="24"/>
          <w:szCs w:val="24"/>
        </w:rPr>
        <w:t>have the opportunity to</w:t>
      </w:r>
      <w:proofErr w:type="gramEnd"/>
      <w:r w:rsidRPr="001A5FB0">
        <w:rPr>
          <w:rFonts w:cs="Arial"/>
          <w:sz w:val="24"/>
          <w:szCs w:val="24"/>
        </w:rPr>
        <w:t xml:space="preserve"> accrue money in an interest-bearing escrow savings account as their earned income grows and their rent portion responsibility increases, leading them toward self-sufficiency. When they have completed their self-sufficiency goals, and have been free of welfare for 12 months, the family is eligible to graduate the program successfully and is awarded their escrow earnings.</w:t>
      </w:r>
    </w:p>
    <w:p w14:paraId="1ADAE6C1" w14:textId="565CDA46" w:rsidR="0066278A" w:rsidRPr="001A5FB0" w:rsidRDefault="0066278A" w:rsidP="001A5FB0">
      <w:pPr>
        <w:spacing w:beforeAutospacing="1" w:afterAutospacing="1"/>
        <w:jc w:val="both"/>
        <w:rPr>
          <w:rFonts w:cs="Arial"/>
          <w:sz w:val="24"/>
          <w:szCs w:val="24"/>
        </w:rPr>
      </w:pPr>
      <w:r w:rsidRPr="001A5FB0">
        <w:rPr>
          <w:rFonts w:cs="Arial"/>
          <w:sz w:val="24"/>
          <w:szCs w:val="24"/>
        </w:rPr>
        <w:t>HOME funds will be made available to support FSS participants desiring to purchase a housing unit in the form of a silent second loan.  This loan will be downpayment assistance to encourage participants who are ready with choice in purchasing a housing unit.</w:t>
      </w:r>
    </w:p>
    <w:p w14:paraId="10EE56AC" w14:textId="77777777" w:rsidR="009A2C2E" w:rsidRPr="001A5FB0" w:rsidRDefault="009A2C2E" w:rsidP="001A5FB0">
      <w:pPr>
        <w:spacing w:beforeAutospacing="1" w:afterAutospacing="1"/>
        <w:jc w:val="both"/>
        <w:rPr>
          <w:rFonts w:cs="Arial"/>
          <w:sz w:val="24"/>
          <w:szCs w:val="24"/>
        </w:rPr>
      </w:pPr>
      <w:r w:rsidRPr="001A5FB0">
        <w:rPr>
          <w:rFonts w:cs="Arial"/>
          <w:sz w:val="24"/>
          <w:szCs w:val="24"/>
        </w:rPr>
        <w:t xml:space="preserve">When HUD funds are used to create multifamily affordable housing, HUD's Section 3 and Minority and Women-Owned Business Entities (MBE/WBE) requirements help target local economic development to low-income residents and business entities, as well as MBE/WBE. Section 3 outreach requirements are determined </w:t>
      </w:r>
      <w:proofErr w:type="gramStart"/>
      <w:r w:rsidRPr="001A5FB0">
        <w:rPr>
          <w:rFonts w:cs="Arial"/>
          <w:sz w:val="24"/>
          <w:szCs w:val="24"/>
        </w:rPr>
        <w:t>on the basis of</w:t>
      </w:r>
      <w:proofErr w:type="gramEnd"/>
      <w:r w:rsidRPr="001A5FB0">
        <w:rPr>
          <w:rFonts w:cs="Arial"/>
          <w:sz w:val="24"/>
          <w:szCs w:val="24"/>
        </w:rPr>
        <w:t xml:space="preserve"> the entire project's aggregate federal funding. Examples of local outreach can include advertising potential employment opportunities in the area the project will be </w:t>
      </w:r>
      <w:proofErr w:type="gramStart"/>
      <w:r w:rsidRPr="001A5FB0">
        <w:rPr>
          <w:rFonts w:cs="Arial"/>
          <w:sz w:val="24"/>
          <w:szCs w:val="24"/>
        </w:rPr>
        <w:t>located, and</w:t>
      </w:r>
      <w:proofErr w:type="gramEnd"/>
      <w:r w:rsidRPr="001A5FB0">
        <w:rPr>
          <w:rFonts w:cs="Arial"/>
          <w:sz w:val="24"/>
          <w:szCs w:val="24"/>
        </w:rPr>
        <w:t xml:space="preserve"> submitting the project </w:t>
      </w:r>
      <w:proofErr w:type="gramStart"/>
      <w:r w:rsidRPr="001A5FB0">
        <w:rPr>
          <w:rFonts w:cs="Arial"/>
          <w:sz w:val="24"/>
          <w:szCs w:val="24"/>
        </w:rPr>
        <w:t>information</w:t>
      </w:r>
      <w:proofErr w:type="gramEnd"/>
      <w:r w:rsidRPr="001A5FB0">
        <w:rPr>
          <w:rFonts w:cs="Arial"/>
          <w:sz w:val="24"/>
          <w:szCs w:val="24"/>
        </w:rPr>
        <w:t xml:space="preserve"> Idaho's and HUD's Section 3 Business Entity Registration. Section 3 and MBE/WBE requirements are identified in the HOME Administrative Plan and are included in HOME written agreements and Loan and Regulatory agreement as they apply to the project.</w:t>
      </w:r>
    </w:p>
    <w:p w14:paraId="1B78CABF" w14:textId="7FEDC709" w:rsidR="009A2C2E" w:rsidRPr="001A5FB0" w:rsidRDefault="009A2C2E" w:rsidP="001A5FB0">
      <w:pPr>
        <w:spacing w:beforeAutospacing="1" w:afterAutospacing="1"/>
        <w:jc w:val="both"/>
        <w:rPr>
          <w:rFonts w:cs="Arial"/>
          <w:sz w:val="24"/>
          <w:szCs w:val="24"/>
        </w:rPr>
      </w:pPr>
      <w:r w:rsidRPr="001A5FB0">
        <w:rPr>
          <w:rFonts w:cs="Arial"/>
          <w:b/>
          <w:sz w:val="24"/>
          <w:szCs w:val="24"/>
        </w:rPr>
        <w:t>HOPES Program-</w:t>
      </w:r>
    </w:p>
    <w:p w14:paraId="0406B491" w14:textId="2C11F132" w:rsidR="009A2C2E" w:rsidRPr="001A5FB0" w:rsidRDefault="009A2C2E" w:rsidP="001A5FB0">
      <w:pPr>
        <w:spacing w:beforeAutospacing="1" w:afterAutospacing="1"/>
        <w:jc w:val="both"/>
        <w:rPr>
          <w:rFonts w:cs="Arial"/>
          <w:sz w:val="24"/>
          <w:szCs w:val="24"/>
        </w:rPr>
      </w:pPr>
      <w:r w:rsidRPr="001A5FB0">
        <w:rPr>
          <w:rFonts w:cs="Arial"/>
          <w:sz w:val="24"/>
          <w:szCs w:val="24"/>
        </w:rPr>
        <w:t xml:space="preserve">HOPES provides tools and education to help FSS participants move toward homeownership. </w:t>
      </w:r>
      <w:r w:rsidR="7B270814" w:rsidRPr="001A5FB0">
        <w:rPr>
          <w:rFonts w:cs="Arial"/>
          <w:sz w:val="24"/>
          <w:szCs w:val="24"/>
        </w:rPr>
        <w:t xml:space="preserve">FSS </w:t>
      </w:r>
      <w:r w:rsidR="6A0B0AFE" w:rsidRPr="001A5FB0">
        <w:rPr>
          <w:rFonts w:cs="Arial"/>
          <w:sz w:val="24"/>
          <w:szCs w:val="24"/>
        </w:rPr>
        <w:t>p</w:t>
      </w:r>
      <w:r w:rsidR="7B270814" w:rsidRPr="001A5FB0">
        <w:rPr>
          <w:rFonts w:cs="Arial"/>
          <w:sz w:val="24"/>
          <w:szCs w:val="24"/>
        </w:rPr>
        <w:t xml:space="preserve">articipants </w:t>
      </w:r>
      <w:r w:rsidRPr="001A5FB0">
        <w:rPr>
          <w:rFonts w:cs="Arial"/>
          <w:sz w:val="24"/>
          <w:szCs w:val="24"/>
        </w:rPr>
        <w:t xml:space="preserve">that qualify and wish to participate must make monthly savings goals and complete HOPES financial education components to graduate.  HOPES participants </w:t>
      </w:r>
      <w:proofErr w:type="gramStart"/>
      <w:r w:rsidRPr="001A5FB0">
        <w:rPr>
          <w:rFonts w:cs="Arial"/>
          <w:sz w:val="24"/>
          <w:szCs w:val="24"/>
        </w:rPr>
        <w:t>have the opportunity to</w:t>
      </w:r>
      <w:proofErr w:type="gramEnd"/>
      <w:r w:rsidRPr="001A5FB0">
        <w:rPr>
          <w:rFonts w:cs="Arial"/>
          <w:sz w:val="24"/>
          <w:szCs w:val="24"/>
        </w:rPr>
        <w:t xml:space="preserve"> save $2,000 at a two-to-one match, which upon successful completion of the </w:t>
      </w:r>
      <w:proofErr w:type="gramStart"/>
      <w:r w:rsidRPr="001A5FB0">
        <w:rPr>
          <w:rFonts w:cs="Arial"/>
          <w:sz w:val="24"/>
          <w:szCs w:val="24"/>
        </w:rPr>
        <w:t>program,</w:t>
      </w:r>
      <w:proofErr w:type="gramEnd"/>
      <w:r w:rsidRPr="001A5FB0">
        <w:rPr>
          <w:rFonts w:cs="Arial"/>
          <w:sz w:val="24"/>
          <w:szCs w:val="24"/>
        </w:rPr>
        <w:t xml:space="preserve"> provides $6,000 for down payment and closing cost assistance through the Home Partnership Foundation.</w:t>
      </w:r>
    </w:p>
    <w:p w14:paraId="5C43F1A5" w14:textId="77777777" w:rsidR="0066278A" w:rsidRPr="001A5FB0" w:rsidRDefault="0066278A" w:rsidP="001A5FB0">
      <w:pPr>
        <w:spacing w:beforeAutospacing="1" w:afterAutospacing="1"/>
        <w:jc w:val="both"/>
        <w:rPr>
          <w:rFonts w:cs="Arial"/>
          <w:sz w:val="24"/>
          <w:szCs w:val="24"/>
        </w:rPr>
      </w:pPr>
      <w:r w:rsidRPr="001A5FB0">
        <w:rPr>
          <w:rFonts w:cs="Arial"/>
          <w:sz w:val="24"/>
          <w:szCs w:val="24"/>
        </w:rPr>
        <w:t>HOME funds will be made available to support FSS participants desiring to purchase a housing unit in the form of a silent second loan.  This loan will be downpayment assistance to encourage participants who are ready with choice in purchasing a housing unit.</w:t>
      </w:r>
    </w:p>
    <w:p w14:paraId="1049D47A" w14:textId="77777777" w:rsidR="009A2C2E" w:rsidRPr="001A5FB0" w:rsidRDefault="009A2C2E" w:rsidP="001A5FB0">
      <w:pPr>
        <w:spacing w:beforeAutospacing="1" w:afterAutospacing="1"/>
        <w:jc w:val="both"/>
        <w:rPr>
          <w:rFonts w:cs="Arial"/>
          <w:sz w:val="24"/>
          <w:szCs w:val="24"/>
        </w:rPr>
      </w:pPr>
      <w:r w:rsidRPr="001A5FB0">
        <w:rPr>
          <w:rFonts w:cs="Arial"/>
          <w:sz w:val="24"/>
          <w:szCs w:val="24"/>
        </w:rPr>
        <w:t xml:space="preserve">When HUD-CPD funds are used to create affordable housing, applicable Section 3 and Minority and Women-Owned Business Entities (MBE/WBE) requirements will target local economic development to low-income residents and business entities. Section 3 outreach requirements </w:t>
      </w:r>
      <w:r w:rsidRPr="001A5FB0">
        <w:rPr>
          <w:rFonts w:cs="Arial"/>
          <w:sz w:val="24"/>
          <w:szCs w:val="24"/>
        </w:rPr>
        <w:lastRenderedPageBreak/>
        <w:t>are determined </w:t>
      </w:r>
      <w:proofErr w:type="gramStart"/>
      <w:r w:rsidRPr="001A5FB0">
        <w:rPr>
          <w:rFonts w:cs="Arial"/>
          <w:sz w:val="24"/>
          <w:szCs w:val="24"/>
        </w:rPr>
        <w:t>on the basis of</w:t>
      </w:r>
      <w:proofErr w:type="gramEnd"/>
      <w:r w:rsidRPr="001A5FB0">
        <w:rPr>
          <w:rFonts w:cs="Arial"/>
          <w:sz w:val="24"/>
          <w:szCs w:val="24"/>
        </w:rPr>
        <w:t> the entire project's aggregate federal funding. Examples of local outreach can include advertising potential employment opportunities in area the project will be located, submitting project information and potential employment opportunities to Idaho's and HUD's Section 3 Business Entity Registration.  Section 3 and MBE/WBE requirements are identified in the HOME Administrative Plan and are included in HOME written agreements, as they apply to the project.</w:t>
      </w:r>
    </w:p>
    <w:p w14:paraId="7B690FD4" w14:textId="27E4C556" w:rsidR="009A2C2E" w:rsidRPr="001A5FB0" w:rsidRDefault="00E61E84" w:rsidP="001A5FB0">
      <w:pPr>
        <w:jc w:val="both"/>
        <w:rPr>
          <w:sz w:val="24"/>
          <w:szCs w:val="24"/>
        </w:rPr>
      </w:pPr>
      <w:r>
        <w:rPr>
          <w:rFonts w:cs="Arial"/>
          <w:b/>
          <w:sz w:val="24"/>
          <w:szCs w:val="24"/>
        </w:rPr>
        <w:t>Community Development Block Grant (</w:t>
      </w:r>
      <w:r w:rsidR="009A2C2E" w:rsidRPr="001A5FB0">
        <w:rPr>
          <w:rFonts w:cs="Arial"/>
          <w:b/>
          <w:sz w:val="24"/>
          <w:szCs w:val="24"/>
        </w:rPr>
        <w:t>CDBG</w:t>
      </w:r>
      <w:r>
        <w:rPr>
          <w:rFonts w:cs="Arial"/>
          <w:b/>
          <w:sz w:val="24"/>
          <w:szCs w:val="24"/>
        </w:rPr>
        <w:t>)</w:t>
      </w:r>
    </w:p>
    <w:p w14:paraId="08912B1C" w14:textId="77777777" w:rsidR="009A2C2E" w:rsidRPr="001A5FB0" w:rsidRDefault="009A2C2E" w:rsidP="001A5FB0">
      <w:pPr>
        <w:spacing w:beforeAutospacing="1" w:afterAutospacing="1"/>
        <w:jc w:val="both"/>
        <w:rPr>
          <w:rFonts w:cs="Arial"/>
          <w:sz w:val="24"/>
          <w:szCs w:val="24"/>
        </w:rPr>
      </w:pPr>
      <w:r w:rsidRPr="001A5FB0">
        <w:rPr>
          <w:sz w:val="24"/>
          <w:szCs w:val="24"/>
        </w:rPr>
        <w:t xml:space="preserve">The Idaho Department of Commerce’s anti-poverty strategy is to assist cities and counties who construct infrastructure that aids in a businesses’ development that leads to job creation and retention.  At a minimum, 51% of these jobs must be taken by low-to-moderate income (LMI) individuals, including individuals at poverty level.  Jobs taken by LMI individuals should increase their income and help them develop more marketable skills as well as their confidence.  Commerce is creating opportunity for poverty individuals. </w:t>
      </w:r>
    </w:p>
    <w:p w14:paraId="442F84A6" w14:textId="18689894" w:rsidR="009A2C2E" w:rsidRPr="001A5FB0" w:rsidRDefault="009A2C2E" w:rsidP="001A5FB0">
      <w:pPr>
        <w:spacing w:beforeAutospacing="1" w:afterAutospacing="1"/>
        <w:jc w:val="both"/>
        <w:rPr>
          <w:rFonts w:cs="Arial"/>
          <w:sz w:val="24"/>
          <w:szCs w:val="24"/>
        </w:rPr>
      </w:pPr>
      <w:r w:rsidRPr="001A5FB0">
        <w:rPr>
          <w:sz w:val="24"/>
          <w:szCs w:val="24"/>
        </w:rPr>
        <w:t>Second, is the implementation of HUD’s Section 3 regulations, which fosters local economic development and individual self-sufficiency for low</w:t>
      </w:r>
      <w:r w:rsidR="69DBF034" w:rsidRPr="001A5FB0">
        <w:rPr>
          <w:sz w:val="24"/>
          <w:szCs w:val="24"/>
        </w:rPr>
        <w:t>-</w:t>
      </w:r>
      <w:r w:rsidRPr="001A5FB0">
        <w:rPr>
          <w:sz w:val="24"/>
          <w:szCs w:val="24"/>
        </w:rPr>
        <w:t>income persons in the solicitation of professional services and construction work needed to complete ICDBG projects. The purpose of these requirements is to ensure that a greater share of economic opportunities generated by ICDBG funding is targeted to low</w:t>
      </w:r>
      <w:r w:rsidR="7C2B4065" w:rsidRPr="001A5FB0">
        <w:rPr>
          <w:sz w:val="24"/>
          <w:szCs w:val="24"/>
        </w:rPr>
        <w:t>-</w:t>
      </w:r>
      <w:r w:rsidRPr="001A5FB0">
        <w:rPr>
          <w:sz w:val="24"/>
          <w:szCs w:val="24"/>
        </w:rPr>
        <w:t xml:space="preserve">income individuals and families who live in the grantee’s jurisdiction.  ICDBG funded grantees and contractors must make a good faith effort to award contracts to Section 3 business concerns and utilize Section 3 area residents as trainees and employees.  Section 3 requirements are applicable when projects receive $200,000 or more in federal funds.  </w:t>
      </w:r>
    </w:p>
    <w:p w14:paraId="6E00A5F9" w14:textId="73D2DF68" w:rsidR="009A2C2E" w:rsidRPr="001A5FB0" w:rsidRDefault="009A2C2E" w:rsidP="001A5FB0">
      <w:pPr>
        <w:spacing w:beforeAutospacing="1" w:afterAutospacing="1"/>
        <w:jc w:val="both"/>
        <w:rPr>
          <w:rFonts w:cs="Arial"/>
          <w:sz w:val="24"/>
          <w:szCs w:val="24"/>
        </w:rPr>
      </w:pPr>
      <w:r w:rsidRPr="001A5FB0">
        <w:rPr>
          <w:sz w:val="24"/>
          <w:szCs w:val="24"/>
        </w:rPr>
        <w:t xml:space="preserve">Third, IDC advertises ICDBG funded projects through Idaho’s </w:t>
      </w:r>
      <w:r w:rsidR="008355B9">
        <w:rPr>
          <w:sz w:val="24"/>
          <w:szCs w:val="24"/>
        </w:rPr>
        <w:t xml:space="preserve">Apex Accelerator </w:t>
      </w:r>
      <w:r w:rsidRPr="008355B9">
        <w:rPr>
          <w:strike/>
          <w:sz w:val="24"/>
          <w:szCs w:val="24"/>
        </w:rPr>
        <w:t>Procurement Technical</w:t>
      </w:r>
      <w:r w:rsidRPr="001A5FB0">
        <w:rPr>
          <w:sz w:val="24"/>
          <w:szCs w:val="24"/>
        </w:rPr>
        <w:t xml:space="preserve"> Assistance Center to ensure professional and construction services on </w:t>
      </w:r>
      <w:r w:rsidR="21CAB684" w:rsidRPr="001A5FB0">
        <w:rPr>
          <w:sz w:val="24"/>
          <w:szCs w:val="24"/>
        </w:rPr>
        <w:t>Community Dev</w:t>
      </w:r>
      <w:r w:rsidR="0646625B" w:rsidRPr="001A5FB0">
        <w:rPr>
          <w:sz w:val="24"/>
          <w:szCs w:val="24"/>
        </w:rPr>
        <w:t>elopment Block Grant Program (</w:t>
      </w:r>
      <w:r w:rsidRPr="001A5FB0">
        <w:rPr>
          <w:sz w:val="24"/>
          <w:szCs w:val="24"/>
        </w:rPr>
        <w:t>CDBG</w:t>
      </w:r>
      <w:r w:rsidR="3A773C5F" w:rsidRPr="001A5FB0">
        <w:rPr>
          <w:sz w:val="24"/>
          <w:szCs w:val="24"/>
        </w:rPr>
        <w:t>)</w:t>
      </w:r>
      <w:r w:rsidRPr="001A5FB0">
        <w:rPr>
          <w:sz w:val="24"/>
          <w:szCs w:val="24"/>
        </w:rPr>
        <w:t xml:space="preserve"> funded projects are directly solicited to Disadvantaged and Women Business Enterprises. </w:t>
      </w:r>
    </w:p>
    <w:p w14:paraId="29EC4136" w14:textId="50DDFBC9" w:rsidR="009A2C2E" w:rsidRPr="001A5FB0" w:rsidRDefault="009A2C2E" w:rsidP="001A5FB0">
      <w:pPr>
        <w:spacing w:beforeAutospacing="1" w:afterAutospacing="1"/>
        <w:jc w:val="both"/>
        <w:rPr>
          <w:rFonts w:cs="Arial"/>
          <w:sz w:val="24"/>
          <w:szCs w:val="24"/>
        </w:rPr>
      </w:pPr>
      <w:r w:rsidRPr="001A5FB0">
        <w:rPr>
          <w:sz w:val="24"/>
          <w:szCs w:val="24"/>
        </w:rPr>
        <w:t xml:space="preserve">Fourth, IDC provides additional points to job creation projects that are located or sited in the Small Business Administration’s HUB </w:t>
      </w:r>
      <w:r w:rsidR="1EF558D5" w:rsidRPr="001A5FB0">
        <w:rPr>
          <w:sz w:val="24"/>
          <w:szCs w:val="24"/>
        </w:rPr>
        <w:t>Z</w:t>
      </w:r>
      <w:r w:rsidR="7B270814" w:rsidRPr="001A5FB0">
        <w:rPr>
          <w:sz w:val="24"/>
          <w:szCs w:val="24"/>
        </w:rPr>
        <w:t>ones</w:t>
      </w:r>
      <w:r w:rsidRPr="001A5FB0">
        <w:rPr>
          <w:sz w:val="24"/>
          <w:szCs w:val="24"/>
        </w:rPr>
        <w:t xml:space="preserve"> and Opportunity Zones.   HUB </w:t>
      </w:r>
      <w:r w:rsidR="29A2E2F6" w:rsidRPr="001A5FB0">
        <w:rPr>
          <w:sz w:val="24"/>
          <w:szCs w:val="24"/>
        </w:rPr>
        <w:t>Z</w:t>
      </w:r>
      <w:r w:rsidR="7B270814" w:rsidRPr="001A5FB0">
        <w:rPr>
          <w:sz w:val="24"/>
          <w:szCs w:val="24"/>
        </w:rPr>
        <w:t>ones</w:t>
      </w:r>
      <w:r w:rsidRPr="001A5FB0">
        <w:rPr>
          <w:sz w:val="24"/>
          <w:szCs w:val="24"/>
        </w:rPr>
        <w:t xml:space="preserve"> are historically underutilized business zones that typically have higher rates of unemployment or lower per capita income then national levels.  Opportunity Zones are an </w:t>
      </w:r>
      <w:proofErr w:type="gramStart"/>
      <w:r w:rsidRPr="001A5FB0">
        <w:rPr>
          <w:sz w:val="24"/>
          <w:szCs w:val="24"/>
        </w:rPr>
        <w:t>economically-distressed</w:t>
      </w:r>
      <w:proofErr w:type="gramEnd"/>
      <w:r w:rsidRPr="001A5FB0">
        <w:rPr>
          <w:sz w:val="24"/>
          <w:szCs w:val="24"/>
        </w:rPr>
        <w:t xml:space="preserve"> community / census tract. </w:t>
      </w:r>
    </w:p>
    <w:p w14:paraId="61414417" w14:textId="6253DB72" w:rsidR="009A2C2E" w:rsidRPr="001A5FB0" w:rsidRDefault="009A2C2E" w:rsidP="001A5FB0">
      <w:pPr>
        <w:spacing w:beforeAutospacing="1" w:afterAutospacing="1"/>
        <w:jc w:val="both"/>
        <w:rPr>
          <w:rFonts w:cs="Arial"/>
          <w:sz w:val="24"/>
          <w:szCs w:val="24"/>
        </w:rPr>
      </w:pPr>
      <w:r w:rsidRPr="001A5FB0">
        <w:rPr>
          <w:sz w:val="24"/>
          <w:szCs w:val="24"/>
        </w:rPr>
        <w:t>Fifth</w:t>
      </w:r>
      <w:r w:rsidR="6C2B2DF8" w:rsidRPr="001A5FB0">
        <w:rPr>
          <w:sz w:val="24"/>
          <w:szCs w:val="24"/>
        </w:rPr>
        <w:t xml:space="preserve">, </w:t>
      </w:r>
      <w:proofErr w:type="gramStart"/>
      <w:r w:rsidRPr="001A5FB0">
        <w:rPr>
          <w:sz w:val="24"/>
          <w:szCs w:val="24"/>
        </w:rPr>
        <w:t>In</w:t>
      </w:r>
      <w:proofErr w:type="gramEnd"/>
      <w:r w:rsidRPr="001A5FB0">
        <w:rPr>
          <w:sz w:val="24"/>
          <w:szCs w:val="24"/>
        </w:rPr>
        <w:t xml:space="preserve"> 2018, Idaho designated </w:t>
      </w:r>
      <w:r w:rsidR="43DE4075" w:rsidRPr="001A5FB0">
        <w:rPr>
          <w:sz w:val="24"/>
          <w:szCs w:val="24"/>
        </w:rPr>
        <w:t>twenty eight (</w:t>
      </w:r>
      <w:r w:rsidRPr="001A5FB0">
        <w:rPr>
          <w:sz w:val="24"/>
          <w:szCs w:val="24"/>
        </w:rPr>
        <w:t>28</w:t>
      </w:r>
      <w:r w:rsidR="0626D64F" w:rsidRPr="001A5FB0">
        <w:rPr>
          <w:sz w:val="24"/>
          <w:szCs w:val="24"/>
        </w:rPr>
        <w:t>)</w:t>
      </w:r>
      <w:r w:rsidRPr="001A5FB0">
        <w:rPr>
          <w:sz w:val="24"/>
          <w:szCs w:val="24"/>
        </w:rPr>
        <w:t xml:space="preserve"> census tracts as </w:t>
      </w:r>
      <w:r w:rsidR="14D61FFF" w:rsidRPr="001A5FB0">
        <w:rPr>
          <w:sz w:val="24"/>
          <w:szCs w:val="24"/>
        </w:rPr>
        <w:t>O</w:t>
      </w:r>
      <w:r w:rsidR="7B270814" w:rsidRPr="001A5FB0">
        <w:rPr>
          <w:sz w:val="24"/>
          <w:szCs w:val="24"/>
        </w:rPr>
        <w:t xml:space="preserve">pportunity </w:t>
      </w:r>
      <w:r w:rsidR="5B789920" w:rsidRPr="001A5FB0">
        <w:rPr>
          <w:sz w:val="24"/>
          <w:szCs w:val="24"/>
        </w:rPr>
        <w:t>Z</w:t>
      </w:r>
      <w:r w:rsidR="7B270814" w:rsidRPr="001A5FB0">
        <w:rPr>
          <w:sz w:val="24"/>
          <w:szCs w:val="24"/>
        </w:rPr>
        <w:t>ones.</w:t>
      </w:r>
      <w:r w:rsidRPr="001A5FB0">
        <w:rPr>
          <w:sz w:val="24"/>
          <w:szCs w:val="24"/>
        </w:rPr>
        <w:t xml:space="preserve"> Opportunity Zones is a program of the Tax Cuts and Jobs Act of 2017 to encourage long-term </w:t>
      </w:r>
      <w:r w:rsidRPr="001A5FB0">
        <w:rPr>
          <w:sz w:val="24"/>
          <w:szCs w:val="24"/>
        </w:rPr>
        <w:lastRenderedPageBreak/>
        <w:t>investment in low-income urban and rural communities.  Private investment vehicles that place 90% of more of their funds into an Opportunity Zone can earn tax relief on the capital gains generated through those investments.  Tax benefits increase the longer the investments are in place.  Commerce continues to market the established zones at its website and offer information.  </w:t>
      </w:r>
    </w:p>
    <w:p w14:paraId="1FDE1494" w14:textId="6D5AAA8C" w:rsidR="009A2C2E" w:rsidRPr="001A5FB0" w:rsidRDefault="0066278A" w:rsidP="001A5FB0">
      <w:pPr>
        <w:spacing w:beforeAutospacing="1" w:afterAutospacing="1"/>
        <w:jc w:val="both"/>
        <w:rPr>
          <w:sz w:val="24"/>
          <w:szCs w:val="24"/>
        </w:rPr>
      </w:pPr>
      <w:r w:rsidRPr="001A5FB0">
        <w:rPr>
          <w:sz w:val="24"/>
          <w:szCs w:val="24"/>
        </w:rPr>
        <w:t>I</w:t>
      </w:r>
      <w:r w:rsidR="7D45C1A1" w:rsidRPr="001A5FB0">
        <w:rPr>
          <w:sz w:val="24"/>
          <w:szCs w:val="24"/>
        </w:rPr>
        <w:t>n</w:t>
      </w:r>
      <w:r w:rsidR="009A2C2E" w:rsidRPr="001A5FB0">
        <w:rPr>
          <w:sz w:val="24"/>
          <w:szCs w:val="24"/>
        </w:rPr>
        <w:t xml:space="preserve"> other efforts to help spur job creation projects within Idaho’s Opportunity Zones, Commerce has amended its scoring on CDBG job creation projects to include additional point for projects located within an opportunity zone</w:t>
      </w:r>
      <w:r w:rsidR="33531974" w:rsidRPr="001A5FB0">
        <w:rPr>
          <w:sz w:val="24"/>
          <w:szCs w:val="24"/>
        </w:rPr>
        <w:t xml:space="preserve"> </w:t>
      </w:r>
      <w:r w:rsidR="218784F3" w:rsidRPr="001A5FB0">
        <w:rPr>
          <w:sz w:val="24"/>
          <w:szCs w:val="24"/>
        </w:rPr>
        <w:t>and or SBA HUB zone.</w:t>
      </w:r>
      <w:r w:rsidR="009A2C2E" w:rsidRPr="001A5FB0">
        <w:rPr>
          <w:sz w:val="24"/>
          <w:szCs w:val="24"/>
        </w:rPr>
        <w:t>   </w:t>
      </w:r>
    </w:p>
    <w:p w14:paraId="25C82CA9" w14:textId="77777777" w:rsidR="009A2C2E" w:rsidRDefault="009A2C2E" w:rsidP="009A2C2E">
      <w:pPr>
        <w:pStyle w:val="Heading2"/>
        <w:pageBreakBefore/>
        <w:rPr>
          <w:rFonts w:ascii="Calibri" w:hAnsi="Calibri"/>
          <w:i/>
        </w:rPr>
      </w:pPr>
      <w:bookmarkStart w:id="80" w:name="_Toc191358747"/>
      <w:bookmarkStart w:id="81" w:name="_Toc194673870"/>
      <w:r>
        <w:rPr>
          <w:rFonts w:ascii="Calibri" w:hAnsi="Calibri"/>
        </w:rPr>
        <w:lastRenderedPageBreak/>
        <w:t>SP-80 Monitoring – 91.330</w:t>
      </w:r>
      <w:bookmarkEnd w:id="80"/>
      <w:bookmarkEnd w:id="81"/>
    </w:p>
    <w:p w14:paraId="0B662065" w14:textId="38221EFB" w:rsidR="009A2C2E" w:rsidRPr="00E61E84" w:rsidRDefault="009A2C2E" w:rsidP="00E61E84">
      <w:pPr>
        <w:jc w:val="both"/>
        <w:rPr>
          <w:b/>
          <w:sz w:val="24"/>
          <w:szCs w:val="24"/>
        </w:rPr>
      </w:pPr>
      <w:r w:rsidRPr="00E61E84">
        <w:rPr>
          <w:b/>
          <w:sz w:val="24"/>
          <w:szCs w:val="24"/>
        </w:rPr>
        <w:t>Describe the standards and procedures that the state will use to monitor activities carried out in furtherance of the plan and will use to ensure long-term compliance with requirements of the programs involved, including minority business outreach and the comprehensive planning requirements</w:t>
      </w:r>
      <w:r w:rsidR="6CDEF0A8" w:rsidRPr="00E61E84">
        <w:rPr>
          <w:b/>
          <w:bCs/>
          <w:sz w:val="24"/>
          <w:szCs w:val="24"/>
        </w:rPr>
        <w:t>.</w:t>
      </w:r>
    </w:p>
    <w:p w14:paraId="67F583BA" w14:textId="77777777" w:rsidR="009A2C2E" w:rsidRPr="00E61E84" w:rsidRDefault="009A2C2E" w:rsidP="00E61E84">
      <w:pPr>
        <w:spacing w:beforeAutospacing="1" w:afterAutospacing="1"/>
        <w:jc w:val="both"/>
        <w:rPr>
          <w:rFonts w:cs="Arial"/>
          <w:sz w:val="24"/>
          <w:szCs w:val="24"/>
        </w:rPr>
      </w:pPr>
      <w:r w:rsidRPr="00E61E84">
        <w:rPr>
          <w:rFonts w:cs="Arial"/>
          <w:sz w:val="24"/>
          <w:szCs w:val="24"/>
        </w:rPr>
        <w:t>The standards and procedures that the state will use to monitor activities are described in the Unique Appendices. </w:t>
      </w:r>
    </w:p>
    <w:p w14:paraId="50CB69E2" w14:textId="4D900DD8" w:rsidR="009A2C2E" w:rsidRPr="00E61E84" w:rsidRDefault="7B270814" w:rsidP="00E61E84">
      <w:pPr>
        <w:jc w:val="both"/>
        <w:rPr>
          <w:sz w:val="24"/>
          <w:szCs w:val="24"/>
        </w:rPr>
      </w:pPr>
      <w:r w:rsidRPr="00E61E84">
        <w:rPr>
          <w:sz w:val="24"/>
          <w:szCs w:val="24"/>
        </w:rPr>
        <w:t>I</w:t>
      </w:r>
      <w:r w:rsidR="1865CEC6" w:rsidRPr="00E61E84">
        <w:rPr>
          <w:sz w:val="24"/>
          <w:szCs w:val="24"/>
        </w:rPr>
        <w:t xml:space="preserve">daho </w:t>
      </w:r>
      <w:r w:rsidRPr="00E61E84">
        <w:rPr>
          <w:sz w:val="24"/>
          <w:szCs w:val="24"/>
        </w:rPr>
        <w:t>H</w:t>
      </w:r>
      <w:r w:rsidR="2123D5F4" w:rsidRPr="00E61E84">
        <w:rPr>
          <w:sz w:val="24"/>
          <w:szCs w:val="24"/>
        </w:rPr>
        <w:t xml:space="preserve">ousing and Finance </w:t>
      </w:r>
      <w:r w:rsidRPr="00E61E84">
        <w:rPr>
          <w:sz w:val="24"/>
          <w:szCs w:val="24"/>
        </w:rPr>
        <w:t>A</w:t>
      </w:r>
      <w:r w:rsidR="62BDAD01" w:rsidRPr="00E61E84">
        <w:rPr>
          <w:sz w:val="24"/>
          <w:szCs w:val="24"/>
        </w:rPr>
        <w:t>ssociation (</w:t>
      </w:r>
      <w:r w:rsidR="009A2C2E" w:rsidRPr="00E61E84">
        <w:rPr>
          <w:sz w:val="24"/>
          <w:szCs w:val="24"/>
        </w:rPr>
        <w:t>IHFA</w:t>
      </w:r>
      <w:r w:rsidR="62BDAD01" w:rsidRPr="00E61E84">
        <w:rPr>
          <w:sz w:val="24"/>
          <w:szCs w:val="24"/>
        </w:rPr>
        <w:t>)</w:t>
      </w:r>
      <w:r w:rsidR="009A2C2E" w:rsidRPr="00E61E84">
        <w:rPr>
          <w:sz w:val="24"/>
          <w:szCs w:val="24"/>
        </w:rPr>
        <w:t xml:space="preserve"> and Idaho Department of Commerce </w:t>
      </w:r>
      <w:r w:rsidR="3DA2E3F0" w:rsidRPr="00E61E84">
        <w:rPr>
          <w:sz w:val="24"/>
          <w:szCs w:val="24"/>
        </w:rPr>
        <w:t xml:space="preserve">(Commerce) </w:t>
      </w:r>
      <w:r w:rsidR="009A2C2E" w:rsidRPr="00E61E84">
        <w:rPr>
          <w:sz w:val="24"/>
          <w:szCs w:val="24"/>
        </w:rPr>
        <w:t>utilize written policies, procedures, and monitoring guides to help ensure activities comply with program requirements, cross-cutting federal regulations, including minority business outreach; state, and local laws, regulations, ordinances, and standards; and local comprehensive planning requirements.</w:t>
      </w:r>
    </w:p>
    <w:p w14:paraId="26A9F1D9" w14:textId="77777777" w:rsidR="009A2C2E" w:rsidRPr="00E61E84" w:rsidRDefault="009A2C2E" w:rsidP="00E61E84">
      <w:pPr>
        <w:pStyle w:val="Normal1"/>
        <w:jc w:val="both"/>
        <w:rPr>
          <w:sz w:val="24"/>
        </w:rPr>
      </w:pPr>
      <w:r w:rsidRPr="00E61E84">
        <w:rPr>
          <w:sz w:val="24"/>
        </w:rPr>
        <w:t>CDBG</w:t>
      </w:r>
      <w:bookmarkStart w:id="82" w:name="_Toc433623760"/>
    </w:p>
    <w:p w14:paraId="60AFD724" w14:textId="77777777" w:rsidR="009A2C2E" w:rsidRPr="00E61E84" w:rsidRDefault="009A2C2E" w:rsidP="00E61E84">
      <w:pPr>
        <w:pStyle w:val="Normal10"/>
        <w:spacing w:before="0" w:after="0"/>
        <w:jc w:val="both"/>
        <w:rPr>
          <w:b/>
        </w:rPr>
      </w:pPr>
    </w:p>
    <w:p w14:paraId="54DD5A97" w14:textId="4EF38C2A" w:rsidR="009A2C2E" w:rsidRPr="00E61E84" w:rsidRDefault="009A2C2E" w:rsidP="00E61E84">
      <w:pPr>
        <w:jc w:val="both"/>
        <w:rPr>
          <w:sz w:val="24"/>
          <w:szCs w:val="24"/>
        </w:rPr>
      </w:pPr>
      <w:r w:rsidRPr="00E61E84">
        <w:rPr>
          <w:sz w:val="24"/>
          <w:szCs w:val="24"/>
        </w:rPr>
        <w:t xml:space="preserve">Commerce monitors all CDBG funded projects to ensure compliance with applicable program rules and regulations.  The Commerce monitoring process starts before the actual funding of an application and continues until project closeout.  This dynamic process helps to ensure projects </w:t>
      </w:r>
      <w:r w:rsidR="7B270814" w:rsidRPr="00E61E84">
        <w:rPr>
          <w:sz w:val="24"/>
          <w:szCs w:val="24"/>
        </w:rPr>
        <w:t>meet</w:t>
      </w:r>
      <w:r w:rsidRPr="00E61E84">
        <w:rPr>
          <w:sz w:val="24"/>
          <w:szCs w:val="24"/>
        </w:rPr>
        <w:t xml:space="preserve"> program requirements and improves the chances that any violations or potential violations are identified and corrected.</w:t>
      </w:r>
      <w:bookmarkEnd w:id="82"/>
      <w:r w:rsidRPr="00E61E84">
        <w:rPr>
          <w:sz w:val="24"/>
          <w:szCs w:val="24"/>
        </w:rPr>
        <w:t xml:space="preserve">  </w:t>
      </w:r>
    </w:p>
    <w:p w14:paraId="4AE93CE1" w14:textId="77777777" w:rsidR="009A2C2E" w:rsidRPr="00E61E84" w:rsidRDefault="009A2C2E" w:rsidP="00E61E84">
      <w:pPr>
        <w:jc w:val="both"/>
        <w:rPr>
          <w:rFonts w:cstheme="minorHAnsi"/>
          <w:sz w:val="24"/>
          <w:szCs w:val="24"/>
        </w:rPr>
      </w:pPr>
      <w:bookmarkStart w:id="83" w:name="_Toc433623761"/>
      <w:r w:rsidRPr="00E61E84">
        <w:rPr>
          <w:rFonts w:cstheme="minorHAnsi"/>
          <w:sz w:val="24"/>
          <w:szCs w:val="24"/>
        </w:rPr>
        <w:t>Pre-Development Monitoring:</w:t>
      </w:r>
      <w:bookmarkEnd w:id="83"/>
    </w:p>
    <w:p w14:paraId="70D15E66" w14:textId="77777777" w:rsidR="009A2C2E" w:rsidRPr="00E61E84" w:rsidRDefault="009A2C2E" w:rsidP="00E61E84">
      <w:pPr>
        <w:jc w:val="both"/>
        <w:rPr>
          <w:rFonts w:cstheme="minorHAnsi"/>
          <w:sz w:val="24"/>
          <w:szCs w:val="24"/>
        </w:rPr>
      </w:pPr>
      <w:bookmarkStart w:id="84" w:name="_Toc433623762"/>
      <w:r w:rsidRPr="00E61E84">
        <w:rPr>
          <w:rFonts w:cstheme="minorHAnsi"/>
          <w:sz w:val="24"/>
          <w:szCs w:val="24"/>
        </w:rPr>
        <w:t>Local governments who anticipate applying for CDBG funds are encouraged to contact Commerce.  Commerce provides recommendations and technical assistance to local governments to help them understand the CDBG program requirements.  Pre-development reviews also provide Commerce an understanding of the potential projects and an early assessment to determine if it will meet the CDBG goals and regulations.</w:t>
      </w:r>
      <w:bookmarkEnd w:id="84"/>
    </w:p>
    <w:p w14:paraId="2B1F6704" w14:textId="77777777" w:rsidR="009A2C2E" w:rsidRPr="00E61E84" w:rsidRDefault="009A2C2E" w:rsidP="00E61E84">
      <w:pPr>
        <w:jc w:val="both"/>
        <w:rPr>
          <w:rFonts w:cstheme="minorHAnsi"/>
          <w:sz w:val="24"/>
          <w:szCs w:val="24"/>
        </w:rPr>
      </w:pPr>
      <w:bookmarkStart w:id="85" w:name="_Toc433623763"/>
      <w:r w:rsidRPr="00E61E84">
        <w:rPr>
          <w:rFonts w:cstheme="minorHAnsi"/>
          <w:sz w:val="24"/>
          <w:szCs w:val="24"/>
        </w:rPr>
        <w:t>Application Monitoring:</w:t>
      </w:r>
      <w:bookmarkEnd w:id="85"/>
    </w:p>
    <w:p w14:paraId="6EBFD6F2" w14:textId="3705B821" w:rsidR="009A2C2E" w:rsidRPr="00E61E84" w:rsidRDefault="009A2C2E" w:rsidP="00E61E84">
      <w:pPr>
        <w:jc w:val="both"/>
        <w:rPr>
          <w:rFonts w:cstheme="minorBidi"/>
          <w:sz w:val="24"/>
          <w:szCs w:val="24"/>
        </w:rPr>
      </w:pPr>
      <w:bookmarkStart w:id="86" w:name="_Toc433623764"/>
      <w:r w:rsidRPr="00E61E84">
        <w:rPr>
          <w:rFonts w:cstheme="minorBidi"/>
          <w:sz w:val="24"/>
          <w:szCs w:val="24"/>
        </w:rPr>
        <w:t xml:space="preserve">During the review of the applications, Commerce staff first determines if the application meets the required eight threshold factors, which </w:t>
      </w:r>
      <w:r w:rsidR="7B270814" w:rsidRPr="00E61E84">
        <w:rPr>
          <w:rFonts w:cstheme="minorBidi"/>
          <w:sz w:val="24"/>
          <w:szCs w:val="24"/>
        </w:rPr>
        <w:t>include</w:t>
      </w:r>
      <w:r w:rsidRPr="00E61E84">
        <w:rPr>
          <w:rFonts w:cstheme="minorBidi"/>
          <w:sz w:val="24"/>
          <w:szCs w:val="24"/>
        </w:rPr>
        <w:t xml:space="preserve"> national objectives and eligible activities.   If the application meets the eight threshold factors, further review of the application continues to determine if the project will meet program goals and strategies, procurement rules, acquisition and relocation requirements, citizen participation, and an assessment of the environmental review requirements.   Local governments’ accomplishments towards furthering fair housing and accessibility (504) standards are also reviewed.</w:t>
      </w:r>
      <w:bookmarkEnd w:id="86"/>
    </w:p>
    <w:p w14:paraId="50A60197" w14:textId="77777777" w:rsidR="009A2C2E" w:rsidRPr="00E61E84" w:rsidRDefault="009A2C2E" w:rsidP="00E61E84">
      <w:pPr>
        <w:jc w:val="both"/>
        <w:rPr>
          <w:rFonts w:cstheme="minorHAnsi"/>
          <w:sz w:val="24"/>
          <w:szCs w:val="24"/>
        </w:rPr>
      </w:pPr>
      <w:bookmarkStart w:id="87" w:name="_Toc433623765"/>
      <w:r w:rsidRPr="00E61E84">
        <w:rPr>
          <w:rFonts w:cstheme="minorHAnsi"/>
          <w:sz w:val="24"/>
          <w:szCs w:val="24"/>
        </w:rPr>
        <w:lastRenderedPageBreak/>
        <w:t>Generally, Commerce conducts a monitoring of the environmental review conduct by the local government prior to execution of the Commerce contract.   If the environmental review is not completed before contract execution, it is monitored prior to the release of funds.</w:t>
      </w:r>
      <w:bookmarkEnd w:id="87"/>
    </w:p>
    <w:p w14:paraId="0B97EB7B" w14:textId="77777777" w:rsidR="009A2C2E" w:rsidRPr="00E61E84" w:rsidRDefault="009A2C2E" w:rsidP="00E61E84">
      <w:pPr>
        <w:jc w:val="both"/>
        <w:rPr>
          <w:rFonts w:cstheme="minorHAnsi"/>
          <w:sz w:val="24"/>
          <w:szCs w:val="24"/>
        </w:rPr>
      </w:pPr>
      <w:bookmarkStart w:id="88" w:name="_Toc433623766"/>
      <w:r w:rsidRPr="00E61E84">
        <w:rPr>
          <w:rFonts w:cstheme="minorHAnsi"/>
          <w:sz w:val="24"/>
          <w:szCs w:val="24"/>
        </w:rPr>
        <w:t>Project Monitoring:</w:t>
      </w:r>
      <w:bookmarkEnd w:id="88"/>
    </w:p>
    <w:p w14:paraId="5E317731" w14:textId="77777777" w:rsidR="009A2C2E" w:rsidRPr="00E61E84" w:rsidRDefault="009A2C2E" w:rsidP="00E61E84">
      <w:pPr>
        <w:jc w:val="both"/>
        <w:rPr>
          <w:rFonts w:cstheme="minorHAnsi"/>
          <w:sz w:val="24"/>
          <w:szCs w:val="24"/>
        </w:rPr>
      </w:pPr>
      <w:bookmarkStart w:id="89" w:name="_Toc433623767"/>
      <w:r w:rsidRPr="00E61E84">
        <w:rPr>
          <w:rFonts w:cstheme="minorHAnsi"/>
          <w:sz w:val="24"/>
          <w:szCs w:val="24"/>
        </w:rPr>
        <w:t xml:space="preserve">Commerce conducts a risk assessment of each project, utilizing the department’s Determination of On-site Monitoring criteria to establish if the project will require on-site monitoring or if the desk monitoring process will be sufficient.   Commerce monitors all CDBG funded projects and reviews the local government’s financial audits.  </w:t>
      </w:r>
      <w:proofErr w:type="gramStart"/>
      <w:r w:rsidRPr="00E61E84">
        <w:rPr>
          <w:rFonts w:cstheme="minorHAnsi"/>
          <w:sz w:val="24"/>
          <w:szCs w:val="24"/>
        </w:rPr>
        <w:t>During the course of</w:t>
      </w:r>
      <w:proofErr w:type="gramEnd"/>
      <w:r w:rsidRPr="00E61E84">
        <w:rPr>
          <w:rFonts w:cstheme="minorHAnsi"/>
          <w:sz w:val="24"/>
          <w:szCs w:val="24"/>
        </w:rPr>
        <w:t xml:space="preserve"> a project Commerce staff is continually monitoring the following applicable project components:</w:t>
      </w:r>
      <w:bookmarkEnd w:id="89"/>
    </w:p>
    <w:tbl>
      <w:tblPr>
        <w:tblW w:w="0" w:type="auto"/>
        <w:tblLook w:val="04A0" w:firstRow="1" w:lastRow="0" w:firstColumn="1" w:lastColumn="0" w:noHBand="0" w:noVBand="1"/>
      </w:tblPr>
      <w:tblGrid>
        <w:gridCol w:w="3125"/>
        <w:gridCol w:w="3119"/>
        <w:gridCol w:w="3116"/>
      </w:tblGrid>
      <w:tr w:rsidR="009A2C2E" w:rsidRPr="00E61E84" w14:paraId="11C65C19" w14:textId="77777777" w:rsidTr="00E53512">
        <w:tc>
          <w:tcPr>
            <w:tcW w:w="3432" w:type="dxa"/>
          </w:tcPr>
          <w:p w14:paraId="2AB684C5" w14:textId="77777777" w:rsidR="009A2C2E" w:rsidRPr="00E61E84" w:rsidRDefault="009A2C2E" w:rsidP="00E61E84">
            <w:pPr>
              <w:jc w:val="both"/>
              <w:rPr>
                <w:rFonts w:cstheme="minorHAnsi"/>
                <w:sz w:val="24"/>
                <w:szCs w:val="24"/>
              </w:rPr>
            </w:pPr>
            <w:bookmarkStart w:id="90" w:name="_Toc433623768"/>
            <w:r w:rsidRPr="00E61E84">
              <w:rPr>
                <w:rFonts w:cstheme="minorHAnsi"/>
                <w:sz w:val="24"/>
                <w:szCs w:val="24"/>
              </w:rPr>
              <w:t>Financial Management</w:t>
            </w:r>
            <w:bookmarkEnd w:id="90"/>
            <w:r w:rsidRPr="00E61E84">
              <w:rPr>
                <w:rFonts w:cstheme="minorHAnsi"/>
                <w:sz w:val="24"/>
                <w:szCs w:val="24"/>
              </w:rPr>
              <w:t xml:space="preserve"> </w:t>
            </w:r>
          </w:p>
        </w:tc>
        <w:tc>
          <w:tcPr>
            <w:tcW w:w="3432" w:type="dxa"/>
          </w:tcPr>
          <w:p w14:paraId="3710379C" w14:textId="77777777" w:rsidR="009A2C2E" w:rsidRPr="00E61E84" w:rsidRDefault="009A2C2E" w:rsidP="00E61E84">
            <w:pPr>
              <w:jc w:val="both"/>
              <w:rPr>
                <w:rFonts w:cstheme="minorHAnsi"/>
                <w:sz w:val="24"/>
                <w:szCs w:val="24"/>
              </w:rPr>
            </w:pPr>
            <w:bookmarkStart w:id="91" w:name="_Toc433623769"/>
            <w:r w:rsidRPr="00E61E84">
              <w:rPr>
                <w:rFonts w:cstheme="minorHAnsi"/>
                <w:sz w:val="24"/>
                <w:szCs w:val="24"/>
              </w:rPr>
              <w:t>Procurement</w:t>
            </w:r>
            <w:bookmarkEnd w:id="91"/>
          </w:p>
        </w:tc>
        <w:tc>
          <w:tcPr>
            <w:tcW w:w="3432" w:type="dxa"/>
          </w:tcPr>
          <w:p w14:paraId="04321E70" w14:textId="77777777" w:rsidR="009A2C2E" w:rsidRPr="00E61E84" w:rsidRDefault="009A2C2E" w:rsidP="00E61E84">
            <w:pPr>
              <w:jc w:val="both"/>
              <w:rPr>
                <w:rFonts w:cstheme="minorHAnsi"/>
                <w:sz w:val="24"/>
                <w:szCs w:val="24"/>
              </w:rPr>
            </w:pPr>
            <w:bookmarkStart w:id="92" w:name="_Toc433623770"/>
            <w:r w:rsidRPr="00E61E84">
              <w:rPr>
                <w:rFonts w:cstheme="minorHAnsi"/>
                <w:sz w:val="24"/>
                <w:szCs w:val="24"/>
              </w:rPr>
              <w:t>Labor Standards</w:t>
            </w:r>
            <w:bookmarkEnd w:id="92"/>
          </w:p>
        </w:tc>
      </w:tr>
      <w:tr w:rsidR="009A2C2E" w:rsidRPr="00E61E84" w14:paraId="26254B1A" w14:textId="77777777" w:rsidTr="00E53512">
        <w:tc>
          <w:tcPr>
            <w:tcW w:w="3432" w:type="dxa"/>
          </w:tcPr>
          <w:p w14:paraId="01C7E169" w14:textId="77777777" w:rsidR="009A2C2E" w:rsidRPr="00E61E84" w:rsidRDefault="009A2C2E" w:rsidP="00E61E84">
            <w:pPr>
              <w:jc w:val="both"/>
              <w:rPr>
                <w:rFonts w:cstheme="minorHAnsi"/>
                <w:sz w:val="24"/>
                <w:szCs w:val="24"/>
              </w:rPr>
            </w:pPr>
            <w:bookmarkStart w:id="93" w:name="_Toc433623771"/>
            <w:r w:rsidRPr="00E61E84">
              <w:rPr>
                <w:rFonts w:cstheme="minorHAnsi"/>
                <w:sz w:val="24"/>
                <w:szCs w:val="24"/>
              </w:rPr>
              <w:t>Acquisition &amp; Relocation</w:t>
            </w:r>
            <w:bookmarkEnd w:id="93"/>
          </w:p>
        </w:tc>
        <w:tc>
          <w:tcPr>
            <w:tcW w:w="3432" w:type="dxa"/>
          </w:tcPr>
          <w:p w14:paraId="6C1F20B4" w14:textId="77777777" w:rsidR="009A2C2E" w:rsidRPr="00E61E84" w:rsidRDefault="009A2C2E" w:rsidP="00E61E84">
            <w:pPr>
              <w:jc w:val="both"/>
              <w:rPr>
                <w:rFonts w:cstheme="minorHAnsi"/>
                <w:sz w:val="24"/>
                <w:szCs w:val="24"/>
              </w:rPr>
            </w:pPr>
            <w:bookmarkStart w:id="94" w:name="_Toc433623772"/>
            <w:r w:rsidRPr="00E61E84">
              <w:rPr>
                <w:rFonts w:cstheme="minorHAnsi"/>
                <w:sz w:val="24"/>
                <w:szCs w:val="24"/>
              </w:rPr>
              <w:t>Civil Rights</w:t>
            </w:r>
            <w:bookmarkEnd w:id="94"/>
          </w:p>
        </w:tc>
        <w:tc>
          <w:tcPr>
            <w:tcW w:w="3432" w:type="dxa"/>
          </w:tcPr>
          <w:p w14:paraId="01369601" w14:textId="77777777" w:rsidR="009A2C2E" w:rsidRPr="00E61E84" w:rsidRDefault="009A2C2E" w:rsidP="00E61E84">
            <w:pPr>
              <w:jc w:val="both"/>
              <w:rPr>
                <w:rFonts w:cstheme="minorHAnsi"/>
                <w:sz w:val="24"/>
                <w:szCs w:val="24"/>
              </w:rPr>
            </w:pPr>
            <w:bookmarkStart w:id="95" w:name="_Toc433623773"/>
            <w:r w:rsidRPr="00E61E84">
              <w:rPr>
                <w:rFonts w:cstheme="minorHAnsi"/>
                <w:sz w:val="24"/>
                <w:szCs w:val="24"/>
              </w:rPr>
              <w:t>Fair Housing Activities</w:t>
            </w:r>
            <w:bookmarkEnd w:id="95"/>
          </w:p>
        </w:tc>
      </w:tr>
      <w:tr w:rsidR="009A2C2E" w:rsidRPr="00E61E84" w14:paraId="11F64F86" w14:textId="77777777" w:rsidTr="00E53512">
        <w:tc>
          <w:tcPr>
            <w:tcW w:w="3432" w:type="dxa"/>
          </w:tcPr>
          <w:p w14:paraId="7FBEFAC3" w14:textId="77777777" w:rsidR="009A2C2E" w:rsidRPr="00E61E84" w:rsidRDefault="009A2C2E" w:rsidP="00E61E84">
            <w:pPr>
              <w:jc w:val="both"/>
              <w:rPr>
                <w:rFonts w:cstheme="minorHAnsi"/>
                <w:sz w:val="24"/>
                <w:szCs w:val="24"/>
              </w:rPr>
            </w:pPr>
            <w:bookmarkStart w:id="96" w:name="_Toc433623774"/>
            <w:r w:rsidRPr="00E61E84">
              <w:rPr>
                <w:rFonts w:cstheme="minorHAnsi"/>
                <w:sz w:val="24"/>
                <w:szCs w:val="24"/>
              </w:rPr>
              <w:t>Citizen Participation</w:t>
            </w:r>
            <w:bookmarkEnd w:id="96"/>
          </w:p>
        </w:tc>
        <w:tc>
          <w:tcPr>
            <w:tcW w:w="3432" w:type="dxa"/>
          </w:tcPr>
          <w:p w14:paraId="5CA6F9C5" w14:textId="77777777" w:rsidR="009A2C2E" w:rsidRPr="00E61E84" w:rsidRDefault="009A2C2E" w:rsidP="00E61E84">
            <w:pPr>
              <w:jc w:val="both"/>
              <w:rPr>
                <w:rFonts w:cstheme="minorHAnsi"/>
                <w:sz w:val="24"/>
                <w:szCs w:val="24"/>
              </w:rPr>
            </w:pPr>
            <w:bookmarkStart w:id="97" w:name="_Toc433623775"/>
            <w:r w:rsidRPr="00E61E84">
              <w:rPr>
                <w:rFonts w:cstheme="minorHAnsi"/>
                <w:sz w:val="24"/>
                <w:szCs w:val="24"/>
              </w:rPr>
              <w:t>Section 504 ADA Standards</w:t>
            </w:r>
            <w:bookmarkEnd w:id="97"/>
          </w:p>
        </w:tc>
        <w:tc>
          <w:tcPr>
            <w:tcW w:w="3432" w:type="dxa"/>
          </w:tcPr>
          <w:p w14:paraId="0CC8E498" w14:textId="77777777" w:rsidR="009A2C2E" w:rsidRPr="00E61E84" w:rsidRDefault="009A2C2E" w:rsidP="00E61E84">
            <w:pPr>
              <w:jc w:val="both"/>
              <w:rPr>
                <w:rFonts w:cstheme="minorHAnsi"/>
                <w:sz w:val="24"/>
                <w:szCs w:val="24"/>
              </w:rPr>
            </w:pPr>
            <w:bookmarkStart w:id="98" w:name="_Toc433623776"/>
            <w:r w:rsidRPr="00E61E84">
              <w:rPr>
                <w:rFonts w:cstheme="minorHAnsi"/>
                <w:sz w:val="24"/>
                <w:szCs w:val="24"/>
              </w:rPr>
              <w:t>Performance</w:t>
            </w:r>
            <w:bookmarkEnd w:id="98"/>
          </w:p>
        </w:tc>
      </w:tr>
    </w:tbl>
    <w:p w14:paraId="315572EA" w14:textId="0549F279" w:rsidR="009A2C2E" w:rsidRPr="00E61E84" w:rsidRDefault="009A2C2E" w:rsidP="00E61E84">
      <w:pPr>
        <w:jc w:val="both"/>
        <w:rPr>
          <w:sz w:val="24"/>
          <w:szCs w:val="24"/>
        </w:rPr>
      </w:pPr>
      <w:bookmarkStart w:id="99" w:name="_Toc433623777"/>
      <w:r w:rsidRPr="00E61E84">
        <w:rPr>
          <w:sz w:val="24"/>
          <w:szCs w:val="24"/>
        </w:rPr>
        <w:t xml:space="preserve">Following project award Commerce will take steps to ensure Minority/Women-owned business enterprises, </w:t>
      </w:r>
      <w:r w:rsidR="7B270814" w:rsidRPr="00E61E84">
        <w:rPr>
          <w:sz w:val="24"/>
          <w:szCs w:val="24"/>
        </w:rPr>
        <w:t>HU</w:t>
      </w:r>
      <w:r w:rsidR="5EA978A0" w:rsidRPr="00E61E84">
        <w:rPr>
          <w:sz w:val="24"/>
          <w:szCs w:val="24"/>
        </w:rPr>
        <w:t>B</w:t>
      </w:r>
      <w:r w:rsidRPr="00E61E84">
        <w:rPr>
          <w:sz w:val="24"/>
          <w:szCs w:val="24"/>
        </w:rPr>
        <w:t xml:space="preserve"> Zone businesses, disabled veteran-owned businesses and SBA Section 8(a) businesses in Idaho are notified of opportunities to provide goods and services through </w:t>
      </w:r>
      <w:r w:rsidR="6F2DBBEB" w:rsidRPr="00E61E84">
        <w:rPr>
          <w:sz w:val="24"/>
          <w:szCs w:val="24"/>
        </w:rPr>
        <w:t>Idaho APEX Accelerator procurement center</w:t>
      </w:r>
      <w:r w:rsidRPr="00E61E84">
        <w:rPr>
          <w:sz w:val="24"/>
          <w:szCs w:val="24"/>
        </w:rPr>
        <w:t xml:space="preserve">. </w:t>
      </w:r>
      <w:bookmarkEnd w:id="99"/>
      <w:r w:rsidRPr="00E61E84">
        <w:rPr>
          <w:sz w:val="24"/>
          <w:szCs w:val="24"/>
        </w:rPr>
        <w:t xml:space="preserve"> </w:t>
      </w:r>
    </w:p>
    <w:p w14:paraId="36264D6E" w14:textId="207A287B" w:rsidR="009A2C2E" w:rsidRPr="00E61E84" w:rsidRDefault="009A2C2E" w:rsidP="00E61E84">
      <w:pPr>
        <w:jc w:val="both"/>
        <w:rPr>
          <w:sz w:val="24"/>
          <w:szCs w:val="24"/>
        </w:rPr>
      </w:pPr>
      <w:bookmarkStart w:id="100" w:name="_Toc433623778"/>
      <w:r w:rsidRPr="00E61E84">
        <w:rPr>
          <w:sz w:val="24"/>
          <w:szCs w:val="24"/>
        </w:rPr>
        <w:t xml:space="preserve">Commerce has chosen to implement the CDBG funded projects notification to </w:t>
      </w:r>
      <w:r w:rsidR="2A92F9D2" w:rsidRPr="00E61E84">
        <w:rPr>
          <w:sz w:val="24"/>
          <w:szCs w:val="24"/>
        </w:rPr>
        <w:t>APEX</w:t>
      </w:r>
      <w:r w:rsidRPr="00E61E84">
        <w:rPr>
          <w:sz w:val="24"/>
          <w:szCs w:val="24"/>
        </w:rPr>
        <w:t xml:space="preserve"> directly, rather than rely on the CDBG grantee to submit their invitation to bid to the </w:t>
      </w:r>
      <w:r w:rsidR="34D13BB2" w:rsidRPr="00E61E84">
        <w:rPr>
          <w:sz w:val="24"/>
          <w:szCs w:val="24"/>
        </w:rPr>
        <w:t>APEX</w:t>
      </w:r>
      <w:r w:rsidRPr="00E61E84">
        <w:rPr>
          <w:sz w:val="24"/>
          <w:szCs w:val="24"/>
        </w:rPr>
        <w:t xml:space="preserve">.  This provides for an earlier notification to potential contractors.  Early notification helps to ensure that potential contractors know well in advance of upcoming projects, rather than a two-week bid solicitation period.  This provides </w:t>
      </w:r>
      <w:r w:rsidR="7B270814" w:rsidRPr="00E61E84">
        <w:rPr>
          <w:sz w:val="24"/>
          <w:szCs w:val="24"/>
        </w:rPr>
        <w:t>disadvantage</w:t>
      </w:r>
      <w:r w:rsidR="7CE94062" w:rsidRPr="00E61E84">
        <w:rPr>
          <w:sz w:val="24"/>
          <w:szCs w:val="24"/>
        </w:rPr>
        <w:t>d</w:t>
      </w:r>
      <w:r w:rsidRPr="00E61E84">
        <w:rPr>
          <w:sz w:val="24"/>
          <w:szCs w:val="24"/>
        </w:rPr>
        <w:t xml:space="preserve"> businesses, with limited resources and time, a better opportunity for submitting and possibly obligating themselves to a bid.</w:t>
      </w:r>
      <w:bookmarkEnd w:id="100"/>
      <w:r w:rsidRPr="00E61E84">
        <w:rPr>
          <w:sz w:val="24"/>
          <w:szCs w:val="24"/>
        </w:rPr>
        <w:t xml:space="preserve">   Commerce does request and receive a list from </w:t>
      </w:r>
      <w:r w:rsidR="795327E9" w:rsidRPr="00E61E84">
        <w:rPr>
          <w:sz w:val="24"/>
          <w:szCs w:val="24"/>
        </w:rPr>
        <w:t>A</w:t>
      </w:r>
      <w:r w:rsidR="57829280" w:rsidRPr="00E61E84">
        <w:rPr>
          <w:sz w:val="24"/>
          <w:szCs w:val="24"/>
        </w:rPr>
        <w:t>PEX o</w:t>
      </w:r>
      <w:r w:rsidRPr="00E61E84">
        <w:rPr>
          <w:sz w:val="24"/>
          <w:szCs w:val="24"/>
        </w:rPr>
        <w:t xml:space="preserve">f the business that received the notification and their applicable preference. </w:t>
      </w:r>
    </w:p>
    <w:p w14:paraId="7675474E" w14:textId="72A691C8" w:rsidR="009A2C2E" w:rsidRPr="00E61E84" w:rsidRDefault="009A2C2E" w:rsidP="00E61E84">
      <w:pPr>
        <w:jc w:val="both"/>
        <w:rPr>
          <w:sz w:val="24"/>
          <w:szCs w:val="24"/>
        </w:rPr>
      </w:pPr>
      <w:bookmarkStart w:id="101" w:name="_Toc433623779"/>
      <w:r w:rsidRPr="00E61E84">
        <w:rPr>
          <w:sz w:val="24"/>
          <w:szCs w:val="24"/>
        </w:rPr>
        <w:t xml:space="preserve">Commerce does require, however, </w:t>
      </w:r>
      <w:r w:rsidR="00CB2FFB">
        <w:rPr>
          <w:sz w:val="24"/>
          <w:szCs w:val="24"/>
        </w:rPr>
        <w:t xml:space="preserve">that </w:t>
      </w:r>
      <w:r w:rsidRPr="00E61E84">
        <w:rPr>
          <w:sz w:val="24"/>
          <w:szCs w:val="24"/>
        </w:rPr>
        <w:t xml:space="preserve">the CDBG grantee submit a </w:t>
      </w:r>
      <w:r w:rsidR="6DA6614F" w:rsidRPr="00E61E84">
        <w:rPr>
          <w:sz w:val="24"/>
          <w:szCs w:val="24"/>
        </w:rPr>
        <w:t>R</w:t>
      </w:r>
      <w:r w:rsidR="7B270814" w:rsidRPr="00E61E84">
        <w:rPr>
          <w:sz w:val="24"/>
          <w:szCs w:val="24"/>
        </w:rPr>
        <w:t>equest</w:t>
      </w:r>
      <w:r w:rsidRPr="00E61E84">
        <w:rPr>
          <w:sz w:val="24"/>
          <w:szCs w:val="24"/>
        </w:rPr>
        <w:t xml:space="preserve"> for </w:t>
      </w:r>
      <w:r w:rsidR="53540DFF" w:rsidRPr="00E61E84">
        <w:rPr>
          <w:sz w:val="24"/>
          <w:szCs w:val="24"/>
        </w:rPr>
        <w:t>P</w:t>
      </w:r>
      <w:r w:rsidR="7B270814" w:rsidRPr="00E61E84">
        <w:rPr>
          <w:sz w:val="24"/>
          <w:szCs w:val="24"/>
        </w:rPr>
        <w:t>roposals</w:t>
      </w:r>
      <w:r w:rsidRPr="00E61E84">
        <w:rPr>
          <w:sz w:val="24"/>
          <w:szCs w:val="24"/>
        </w:rPr>
        <w:t xml:space="preserve"> (RFP) for design professional and grant administration services directly to the </w:t>
      </w:r>
      <w:r w:rsidR="3E2F4498" w:rsidRPr="00E61E84">
        <w:rPr>
          <w:sz w:val="24"/>
          <w:szCs w:val="24"/>
        </w:rPr>
        <w:t>APEX</w:t>
      </w:r>
      <w:r w:rsidR="5A31CA43" w:rsidRPr="00E61E84">
        <w:rPr>
          <w:sz w:val="24"/>
          <w:szCs w:val="24"/>
        </w:rPr>
        <w:t>.</w:t>
      </w:r>
      <w:r w:rsidRPr="00E61E84">
        <w:rPr>
          <w:sz w:val="24"/>
          <w:szCs w:val="24"/>
        </w:rPr>
        <w:t xml:space="preserve"> The </w:t>
      </w:r>
      <w:r w:rsidR="76DF01AA" w:rsidRPr="00E61E84">
        <w:rPr>
          <w:sz w:val="24"/>
          <w:szCs w:val="24"/>
        </w:rPr>
        <w:t>APEX</w:t>
      </w:r>
      <w:r w:rsidRPr="00E61E84">
        <w:rPr>
          <w:sz w:val="24"/>
          <w:szCs w:val="24"/>
        </w:rPr>
        <w:t xml:space="preserve"> sends the summary RFP out to its clients via email.</w:t>
      </w:r>
      <w:bookmarkEnd w:id="101"/>
    </w:p>
    <w:p w14:paraId="2B8E67EA" w14:textId="3AEB6A2A" w:rsidR="009A2C2E" w:rsidRPr="00E61E84" w:rsidRDefault="009A2C2E" w:rsidP="00E61E84">
      <w:pPr>
        <w:jc w:val="both"/>
        <w:rPr>
          <w:rFonts w:cstheme="minorBidi"/>
          <w:sz w:val="24"/>
          <w:szCs w:val="24"/>
        </w:rPr>
      </w:pPr>
      <w:bookmarkStart w:id="102" w:name="_Toc433623781"/>
      <w:r w:rsidRPr="00E61E84">
        <w:rPr>
          <w:rFonts w:cstheme="minorBidi"/>
          <w:sz w:val="24"/>
          <w:szCs w:val="24"/>
        </w:rPr>
        <w:t xml:space="preserve">Commerce utilizes its in-house monitoring guide that is required to be completed by staff </w:t>
      </w:r>
      <w:r w:rsidR="57316241" w:rsidRPr="00E61E84">
        <w:rPr>
          <w:rFonts w:cstheme="minorBidi"/>
          <w:sz w:val="24"/>
          <w:szCs w:val="24"/>
        </w:rPr>
        <w:t>s</w:t>
      </w:r>
      <w:r w:rsidR="7B270814" w:rsidRPr="00E61E84">
        <w:rPr>
          <w:rFonts w:cstheme="minorBidi"/>
          <w:sz w:val="24"/>
          <w:szCs w:val="24"/>
        </w:rPr>
        <w:t>pecialist</w:t>
      </w:r>
      <w:r w:rsidRPr="00E61E84">
        <w:rPr>
          <w:rFonts w:cstheme="minorBidi"/>
          <w:sz w:val="24"/>
          <w:szCs w:val="24"/>
        </w:rPr>
        <w:t xml:space="preserve"> prior to project closeout.  Commerce Specialists review and approve every CDBG request for payment.  This requires the Specialist to ensure </w:t>
      </w:r>
      <w:r w:rsidR="7B270814" w:rsidRPr="00E61E84">
        <w:rPr>
          <w:rFonts w:cstheme="minorBidi"/>
          <w:sz w:val="24"/>
          <w:szCs w:val="24"/>
        </w:rPr>
        <w:t>request</w:t>
      </w:r>
      <w:r w:rsidR="341BA16F" w:rsidRPr="00E61E84">
        <w:rPr>
          <w:rFonts w:cstheme="minorBidi"/>
          <w:sz w:val="24"/>
          <w:szCs w:val="24"/>
        </w:rPr>
        <w:t>ed</w:t>
      </w:r>
      <w:r w:rsidRPr="00E61E84">
        <w:rPr>
          <w:rFonts w:cstheme="minorBidi"/>
          <w:sz w:val="24"/>
          <w:szCs w:val="24"/>
        </w:rPr>
        <w:t xml:space="preserve"> CDBG expenditures are allowable and appropriate.  Requests for payment are required to be supported by an invoice and executed contract.  Commerce has an established process of receiving and reviewing a local government’s independent financial audit for any open project or project closed out within one </w:t>
      </w:r>
      <w:r w:rsidRPr="00E61E84">
        <w:rPr>
          <w:rFonts w:cstheme="minorBidi"/>
          <w:sz w:val="24"/>
          <w:szCs w:val="24"/>
        </w:rPr>
        <w:lastRenderedPageBreak/>
        <w:t>year.  The audit is reviewed by Commerce to determine if there are any findings and if so, do they affect the CDBG funds.</w:t>
      </w:r>
      <w:bookmarkEnd w:id="102"/>
    </w:p>
    <w:p w14:paraId="11355912" w14:textId="77777777" w:rsidR="009A2C2E" w:rsidRPr="00E61E84" w:rsidRDefault="009A2C2E" w:rsidP="00E61E84">
      <w:pPr>
        <w:jc w:val="both"/>
        <w:rPr>
          <w:rFonts w:cstheme="minorHAnsi"/>
          <w:sz w:val="24"/>
          <w:szCs w:val="24"/>
        </w:rPr>
      </w:pPr>
      <w:bookmarkStart w:id="103" w:name="_Toc433623782"/>
      <w:r w:rsidRPr="00E61E84">
        <w:rPr>
          <w:rFonts w:cstheme="minorHAnsi"/>
          <w:sz w:val="24"/>
          <w:szCs w:val="24"/>
        </w:rPr>
        <w:t>On-Site Monitoring:</w:t>
      </w:r>
      <w:bookmarkEnd w:id="103"/>
    </w:p>
    <w:p w14:paraId="46A6D1F1" w14:textId="77777777" w:rsidR="009A2C2E" w:rsidRPr="00E61E84" w:rsidRDefault="009A2C2E" w:rsidP="00E61E84">
      <w:pPr>
        <w:jc w:val="both"/>
        <w:rPr>
          <w:rFonts w:cstheme="minorHAnsi"/>
          <w:sz w:val="24"/>
          <w:szCs w:val="24"/>
        </w:rPr>
      </w:pPr>
      <w:bookmarkStart w:id="104" w:name="_Toc433623783"/>
      <w:r w:rsidRPr="00E61E84">
        <w:rPr>
          <w:rFonts w:cstheme="minorHAnsi"/>
          <w:sz w:val="24"/>
          <w:szCs w:val="24"/>
        </w:rPr>
        <w:t>Commerce plans to conduct an on-site monitoring of at least 25% of open CDBG grants during each program year, regardless of the program year in which the CDBG was funded.  On-site monitoring consists of review of the local government’s (grantee) project files, interviewing grantee staff, and site observation.</w:t>
      </w:r>
      <w:bookmarkEnd w:id="104"/>
    </w:p>
    <w:p w14:paraId="52F5E98E" w14:textId="2968A77B" w:rsidR="009A2C2E" w:rsidRPr="00E61E84" w:rsidRDefault="009A2C2E" w:rsidP="00E61E84">
      <w:pPr>
        <w:jc w:val="both"/>
        <w:rPr>
          <w:sz w:val="24"/>
          <w:szCs w:val="24"/>
        </w:rPr>
      </w:pPr>
      <w:bookmarkStart w:id="105" w:name="_Toc433623784"/>
      <w:r w:rsidRPr="00E61E84">
        <w:rPr>
          <w:rFonts w:cstheme="minorHAnsi"/>
          <w:sz w:val="24"/>
          <w:szCs w:val="24"/>
        </w:rPr>
        <w:t>Before closeout of a CDBG funded project, the local government chief official is required to submit a final financial and performance report.  The report is review by a Commerce Specialist for accuracy and comparable with Commerce monitoring documentation.</w:t>
      </w:r>
      <w:bookmarkEnd w:id="105"/>
      <w:r w:rsidRPr="00E61E84">
        <w:rPr>
          <w:rFonts w:cstheme="minorHAnsi"/>
          <w:sz w:val="24"/>
          <w:szCs w:val="24"/>
        </w:rPr>
        <w:t xml:space="preserve"> </w:t>
      </w:r>
    </w:p>
    <w:p w14:paraId="3F0DE0BA" w14:textId="4AB4954B" w:rsidR="009A2C2E" w:rsidRPr="00E61E84" w:rsidRDefault="009A2C2E" w:rsidP="00E61E84">
      <w:pPr>
        <w:jc w:val="both"/>
        <w:rPr>
          <w:b/>
          <w:bCs/>
          <w:sz w:val="24"/>
          <w:szCs w:val="24"/>
        </w:rPr>
      </w:pPr>
      <w:bookmarkStart w:id="106" w:name="_Toc424903526"/>
      <w:bookmarkStart w:id="107" w:name="_Toc424903527"/>
      <w:r w:rsidRPr="00E61E84">
        <w:rPr>
          <w:b/>
          <w:bCs/>
          <w:sz w:val="24"/>
          <w:szCs w:val="24"/>
        </w:rPr>
        <w:t>Idaho Housing and Finance Association</w:t>
      </w:r>
      <w:bookmarkEnd w:id="106"/>
      <w:r w:rsidR="04580F0C" w:rsidRPr="00E61E84">
        <w:rPr>
          <w:b/>
          <w:bCs/>
          <w:sz w:val="24"/>
          <w:szCs w:val="24"/>
        </w:rPr>
        <w:t xml:space="preserve"> (IHFA)</w:t>
      </w:r>
    </w:p>
    <w:p w14:paraId="127307E1" w14:textId="77777777" w:rsidR="009A2C2E" w:rsidRPr="00E61E84" w:rsidRDefault="009A2C2E" w:rsidP="00E61E84">
      <w:pPr>
        <w:pStyle w:val="Normal1"/>
        <w:jc w:val="both"/>
        <w:rPr>
          <w:sz w:val="24"/>
        </w:rPr>
      </w:pPr>
      <w:r w:rsidRPr="00E61E84">
        <w:rPr>
          <w:sz w:val="24"/>
        </w:rPr>
        <w:t>HOME Program</w:t>
      </w:r>
      <w:bookmarkEnd w:id="107"/>
    </w:p>
    <w:p w14:paraId="62020114" w14:textId="5250773D" w:rsidR="009A2C2E" w:rsidRPr="00E61E84" w:rsidRDefault="7B270814" w:rsidP="00E61E84">
      <w:pPr>
        <w:jc w:val="both"/>
        <w:rPr>
          <w:rFonts w:cstheme="minorBidi"/>
          <w:sz w:val="24"/>
          <w:szCs w:val="24"/>
        </w:rPr>
      </w:pPr>
      <w:r w:rsidRPr="00E61E84">
        <w:rPr>
          <w:rFonts w:cstheme="minorBidi"/>
          <w:sz w:val="24"/>
          <w:szCs w:val="24"/>
        </w:rPr>
        <w:t>IHFA</w:t>
      </w:r>
      <w:r w:rsidR="0280FDA4" w:rsidRPr="00E61E84">
        <w:rPr>
          <w:rFonts w:cstheme="minorBidi"/>
          <w:sz w:val="24"/>
          <w:szCs w:val="24"/>
        </w:rPr>
        <w:t xml:space="preserve">’s </w:t>
      </w:r>
      <w:r w:rsidR="009A2C2E" w:rsidRPr="00E61E84">
        <w:rPr>
          <w:rFonts w:cstheme="minorBidi"/>
          <w:sz w:val="24"/>
          <w:szCs w:val="24"/>
        </w:rPr>
        <w:t xml:space="preserve">HOME Department is responsible for ensuring HOME activities are monitored for compliance. </w:t>
      </w:r>
      <w:r w:rsidR="00CB2FFB">
        <w:rPr>
          <w:rFonts w:cstheme="minorBidi"/>
          <w:sz w:val="24"/>
          <w:szCs w:val="24"/>
        </w:rPr>
        <w:t xml:space="preserve">IHFA uses </w:t>
      </w:r>
      <w:r w:rsidR="009A2C2E" w:rsidRPr="00E61E84">
        <w:rPr>
          <w:rFonts w:cstheme="minorBidi"/>
          <w:sz w:val="24"/>
          <w:szCs w:val="24"/>
        </w:rPr>
        <w:t xml:space="preserve">legal instruments that include the HOME, federal, state, local, </w:t>
      </w:r>
      <w:r w:rsidR="62690F3E" w:rsidRPr="00E61E84">
        <w:rPr>
          <w:rFonts w:cstheme="minorBidi"/>
          <w:sz w:val="24"/>
          <w:szCs w:val="24"/>
        </w:rPr>
        <w:t xml:space="preserve">and </w:t>
      </w:r>
      <w:r w:rsidR="009A2C2E" w:rsidRPr="00E61E84">
        <w:rPr>
          <w:rFonts w:cstheme="minorBidi"/>
          <w:sz w:val="24"/>
          <w:szCs w:val="24"/>
        </w:rPr>
        <w:t>IHFA requirements</w:t>
      </w:r>
      <w:r w:rsidR="00CB2FFB">
        <w:rPr>
          <w:rFonts w:cstheme="minorBidi"/>
          <w:sz w:val="24"/>
          <w:szCs w:val="24"/>
        </w:rPr>
        <w:t xml:space="preserve"> as well as </w:t>
      </w:r>
      <w:r w:rsidR="009A2C2E" w:rsidRPr="00E61E84">
        <w:rPr>
          <w:rFonts w:cstheme="minorBidi"/>
          <w:sz w:val="24"/>
          <w:szCs w:val="24"/>
        </w:rPr>
        <w:t xml:space="preserve">remedies for breach of contract or failure to follow requirements.  The written agreement with the owner is executed prior to the disbursement of HOME funds, as described at §92.254 for homebuyer activities and §92.504 for rental activities. For HOME activities that involve development (rehabilitation, construction), </w:t>
      </w:r>
      <w:r w:rsidRPr="00E61E84">
        <w:rPr>
          <w:rFonts w:cstheme="minorBidi"/>
          <w:sz w:val="24"/>
          <w:szCs w:val="24"/>
        </w:rPr>
        <w:t>IHFA</w:t>
      </w:r>
      <w:r w:rsidR="29FE19E3" w:rsidRPr="00E61E84">
        <w:rPr>
          <w:rFonts w:cstheme="minorBidi"/>
          <w:sz w:val="24"/>
          <w:szCs w:val="24"/>
        </w:rPr>
        <w:t xml:space="preserve">’s </w:t>
      </w:r>
      <w:r w:rsidR="009A2C2E" w:rsidRPr="00E61E84">
        <w:rPr>
          <w:rFonts w:cstheme="minorBidi"/>
          <w:sz w:val="24"/>
          <w:szCs w:val="24"/>
        </w:rPr>
        <w:t xml:space="preserve">HOME Department is responsible for ensuring inspections are conducted during the development phase and prior to completion in </w:t>
      </w:r>
      <w:r w:rsidR="00CB2FFB">
        <w:rPr>
          <w:rFonts w:cstheme="minorBidi"/>
          <w:sz w:val="24"/>
          <w:szCs w:val="24"/>
        </w:rPr>
        <w:t>HUD’s Integrated Disbursement and Information System (</w:t>
      </w:r>
      <w:r w:rsidR="009A2C2E" w:rsidRPr="00E61E84">
        <w:rPr>
          <w:rFonts w:cstheme="minorBidi"/>
          <w:sz w:val="24"/>
          <w:szCs w:val="24"/>
        </w:rPr>
        <w:t>IDIS</w:t>
      </w:r>
      <w:r w:rsidR="00CB2FFB">
        <w:rPr>
          <w:rFonts w:cstheme="minorBidi"/>
          <w:sz w:val="24"/>
          <w:szCs w:val="24"/>
        </w:rPr>
        <w:t>)</w:t>
      </w:r>
      <w:r w:rsidR="009A2C2E" w:rsidRPr="00E61E84">
        <w:rPr>
          <w:rFonts w:cstheme="minorBidi"/>
          <w:sz w:val="24"/>
          <w:szCs w:val="24"/>
        </w:rPr>
        <w:t xml:space="preserve">. This includes an initial, progress, and final inspection to ensure the development activity is complete prior to sale or completion in IDIS. </w:t>
      </w:r>
      <w:r w:rsidR="00F55976">
        <w:rPr>
          <w:rFonts w:cstheme="minorBidi"/>
          <w:sz w:val="24"/>
          <w:szCs w:val="24"/>
        </w:rPr>
        <w:t xml:space="preserve">(IDIS is </w:t>
      </w:r>
      <w:r w:rsidR="00F55976" w:rsidRPr="00F55976">
        <w:rPr>
          <w:rFonts w:cstheme="minorBidi"/>
          <w:sz w:val="24"/>
          <w:szCs w:val="24"/>
        </w:rPr>
        <w:t>a management information system used by HUD for tracking and managing funds for its Community Planning and Development (CPD) formula grant programs</w:t>
      </w:r>
      <w:r w:rsidR="00F55976">
        <w:rPr>
          <w:rFonts w:cstheme="minorBidi"/>
          <w:sz w:val="24"/>
          <w:szCs w:val="24"/>
        </w:rPr>
        <w:t>, including CDBG, HOME, HTF, and ESG.)</w:t>
      </w:r>
    </w:p>
    <w:p w14:paraId="01F03AE7" w14:textId="735E2456" w:rsidR="009A2C2E" w:rsidRPr="00E61E84" w:rsidRDefault="009A2C2E" w:rsidP="00E61E84">
      <w:pPr>
        <w:spacing w:beforeAutospacing="1" w:afterAutospacing="1"/>
        <w:jc w:val="both"/>
        <w:rPr>
          <w:rFonts w:cs="Arial"/>
          <w:sz w:val="24"/>
          <w:szCs w:val="24"/>
        </w:rPr>
      </w:pPr>
      <w:r w:rsidRPr="00E61E84">
        <w:rPr>
          <w:rFonts w:cs="Arial"/>
          <w:sz w:val="24"/>
          <w:szCs w:val="24"/>
        </w:rPr>
        <w:t xml:space="preserve">When HUD funds are used to create multifamily affordable housing, HUD's Section 3 and Minority and Women-Owned Business Entities (MBE/WBE) requirements help target local economic development to low-income residents and business entities, as well as MBE/WBE. Section 3 outreach requirements are determined </w:t>
      </w:r>
      <w:proofErr w:type="gramStart"/>
      <w:r w:rsidRPr="00E61E84">
        <w:rPr>
          <w:rFonts w:cs="Arial"/>
          <w:sz w:val="24"/>
          <w:szCs w:val="24"/>
        </w:rPr>
        <w:t>on the basis of</w:t>
      </w:r>
      <w:proofErr w:type="gramEnd"/>
      <w:r w:rsidRPr="00E61E84">
        <w:rPr>
          <w:rFonts w:cs="Arial"/>
          <w:sz w:val="24"/>
          <w:szCs w:val="24"/>
        </w:rPr>
        <w:t xml:space="preserve"> the entire project's aggregate federal funding. Examples of local outreach can include advertising potential employment opportunities in the area the project will be located and submitting the project information Idaho's and HUD's Section 3 Business Entity Registration. Section 3 and MBE/WBE requirements are identified in the HOME Administrative Plan and are included in HOME written agreements and Loan and Regulatory </w:t>
      </w:r>
      <w:r w:rsidR="71A7FB07" w:rsidRPr="00E61E84">
        <w:rPr>
          <w:rFonts w:cs="Arial"/>
          <w:sz w:val="24"/>
          <w:szCs w:val="24"/>
        </w:rPr>
        <w:t>A</w:t>
      </w:r>
      <w:r w:rsidR="7B270814" w:rsidRPr="00E61E84">
        <w:rPr>
          <w:rFonts w:cs="Arial"/>
          <w:sz w:val="24"/>
          <w:szCs w:val="24"/>
        </w:rPr>
        <w:t>greement</w:t>
      </w:r>
      <w:r w:rsidRPr="00E61E84">
        <w:rPr>
          <w:rFonts w:cs="Arial"/>
          <w:sz w:val="24"/>
          <w:szCs w:val="24"/>
        </w:rPr>
        <w:t xml:space="preserve"> as they apply to the project. </w:t>
      </w:r>
      <w:r w:rsidRPr="00E61E84">
        <w:rPr>
          <w:sz w:val="24"/>
          <w:szCs w:val="24"/>
        </w:rPr>
        <w:t xml:space="preserve">Each developer for each project self certifies they are meeting the HUD Section 3 and MBE/WBE requirements. </w:t>
      </w:r>
    </w:p>
    <w:p w14:paraId="78107333" w14:textId="77777777" w:rsidR="009A2C2E" w:rsidRPr="00E61E84" w:rsidRDefault="009A2C2E" w:rsidP="00E61E84">
      <w:pPr>
        <w:spacing w:after="120" w:line="240" w:lineRule="auto"/>
        <w:jc w:val="both"/>
        <w:rPr>
          <w:rFonts w:asciiTheme="minorHAnsi" w:hAnsiTheme="minorHAnsi" w:cstheme="minorHAnsi"/>
          <w:sz w:val="24"/>
          <w:szCs w:val="24"/>
          <w:u w:val="single"/>
        </w:rPr>
      </w:pPr>
      <w:r w:rsidRPr="00E61E84">
        <w:rPr>
          <w:rFonts w:asciiTheme="minorHAnsi" w:hAnsiTheme="minorHAnsi" w:cstheme="minorHAnsi"/>
          <w:sz w:val="24"/>
          <w:szCs w:val="24"/>
          <w:u w:val="single"/>
        </w:rPr>
        <w:lastRenderedPageBreak/>
        <w:t>Homebuyer Properties Activities</w:t>
      </w:r>
    </w:p>
    <w:p w14:paraId="07C14DE3" w14:textId="50C19070" w:rsidR="7B270814" w:rsidRPr="00E61E84" w:rsidRDefault="7B270814" w:rsidP="00E61E84">
      <w:pPr>
        <w:pStyle w:val="NormalWeb"/>
        <w:spacing w:after="0"/>
        <w:jc w:val="both"/>
        <w:rPr>
          <w:rFonts w:asciiTheme="minorHAnsi" w:hAnsiTheme="minorHAnsi" w:cstheme="minorBidi"/>
          <w:u w:val="single"/>
        </w:rPr>
      </w:pPr>
      <w:r w:rsidRPr="00E61E84">
        <w:rPr>
          <w:rFonts w:asciiTheme="minorHAnsi" w:hAnsiTheme="minorHAnsi" w:cstheme="minorBidi"/>
        </w:rPr>
        <w:t>IHFA</w:t>
      </w:r>
      <w:r w:rsidR="6DBB9F3C" w:rsidRPr="00E61E84">
        <w:rPr>
          <w:rFonts w:asciiTheme="minorHAnsi" w:hAnsiTheme="minorHAnsi" w:cstheme="minorBidi"/>
        </w:rPr>
        <w:t xml:space="preserve">’s </w:t>
      </w:r>
      <w:r w:rsidRPr="00E61E84">
        <w:rPr>
          <w:rFonts w:asciiTheme="minorHAnsi" w:hAnsiTheme="minorHAnsi" w:cstheme="minorBidi"/>
        </w:rPr>
        <w:t xml:space="preserve">HOME </w:t>
      </w:r>
      <w:r w:rsidR="08CFB3F5" w:rsidRPr="00E61E84">
        <w:rPr>
          <w:rFonts w:asciiTheme="minorHAnsi" w:hAnsiTheme="minorHAnsi" w:cstheme="minorBidi"/>
        </w:rPr>
        <w:t xml:space="preserve">Department </w:t>
      </w:r>
      <w:r w:rsidRPr="00E61E84">
        <w:rPr>
          <w:rFonts w:asciiTheme="minorHAnsi" w:hAnsiTheme="minorHAnsi" w:cstheme="minorBidi"/>
        </w:rPr>
        <w:t xml:space="preserve">conducts a compliance monitor </w:t>
      </w:r>
      <w:r w:rsidR="22E9E25E" w:rsidRPr="00E61E84">
        <w:rPr>
          <w:rFonts w:asciiTheme="minorHAnsi" w:hAnsiTheme="minorHAnsi" w:cstheme="minorBidi"/>
        </w:rPr>
        <w:t xml:space="preserve">of </w:t>
      </w:r>
      <w:r w:rsidRPr="00E61E84">
        <w:rPr>
          <w:rFonts w:asciiTheme="minorHAnsi" w:hAnsiTheme="minorHAnsi" w:cstheme="minorBidi"/>
        </w:rPr>
        <w:t xml:space="preserve">all HOME-assisted homeowner units annually to determine the homebuyer continues to meet the HOME </w:t>
      </w:r>
      <w:proofErr w:type="gramStart"/>
      <w:r w:rsidRPr="00E61E84">
        <w:rPr>
          <w:rFonts w:asciiTheme="minorHAnsi" w:hAnsiTheme="minorHAnsi" w:cstheme="minorBidi"/>
        </w:rPr>
        <w:t>program's  Principle</w:t>
      </w:r>
      <w:proofErr w:type="gramEnd"/>
      <w:r w:rsidRPr="00E61E84">
        <w:rPr>
          <w:rFonts w:asciiTheme="minorHAnsi" w:hAnsiTheme="minorHAnsi" w:cstheme="minorBidi"/>
        </w:rPr>
        <w:t xml:space="preserve"> Residence requirement during the period of affordability.  This requirement is described in the homebuyer Occupancy Certification and the Deed of Trust.  If IHFA's monitoring determines the HOME-assisted homebuyer no longer resides in the HOME-assisted unit during the period of affordability and hasn't received a military or full-time student exception from IHFA-HOME, IHFA will take steps to attempt to get the homeowner to return to the HOME-assisted unit. However, if the HOME-assisted unit is not occupied as the homebuyer's </w:t>
      </w:r>
      <w:proofErr w:type="gramStart"/>
      <w:r w:rsidRPr="00E61E84">
        <w:rPr>
          <w:rFonts w:asciiTheme="minorHAnsi" w:hAnsiTheme="minorHAnsi" w:cstheme="minorBidi"/>
        </w:rPr>
        <w:t>Principle</w:t>
      </w:r>
      <w:proofErr w:type="gramEnd"/>
      <w:r w:rsidRPr="00E61E84">
        <w:rPr>
          <w:rFonts w:asciiTheme="minorHAnsi" w:hAnsiTheme="minorHAnsi" w:cstheme="minorBidi"/>
        </w:rPr>
        <w:t xml:space="preserve"> Residence, IHFA will take appropriate action to recover the HOME funds invested in the unit as identified in the Occupancy Certification and Deed of Trust Note. </w:t>
      </w:r>
    </w:p>
    <w:p w14:paraId="6ACE007D" w14:textId="45E09623" w:rsidR="098FA5AC" w:rsidRPr="00E61E84" w:rsidRDefault="098FA5AC" w:rsidP="00E61E84">
      <w:pPr>
        <w:pStyle w:val="NormalWeb"/>
        <w:spacing w:after="0"/>
        <w:jc w:val="both"/>
        <w:rPr>
          <w:rFonts w:asciiTheme="minorHAnsi" w:hAnsiTheme="minorHAnsi" w:cstheme="minorBidi"/>
        </w:rPr>
      </w:pPr>
    </w:p>
    <w:p w14:paraId="5FBDA7A7" w14:textId="77777777" w:rsidR="009A2C2E" w:rsidRPr="00E61E84" w:rsidRDefault="009A2C2E" w:rsidP="00E61E84">
      <w:pPr>
        <w:pStyle w:val="NormalWeb"/>
        <w:spacing w:after="120"/>
        <w:jc w:val="both"/>
        <w:rPr>
          <w:rFonts w:asciiTheme="minorHAnsi" w:hAnsiTheme="minorHAnsi" w:cstheme="minorHAnsi"/>
          <w:u w:val="single"/>
        </w:rPr>
      </w:pPr>
      <w:r w:rsidRPr="00E61E84">
        <w:rPr>
          <w:rFonts w:asciiTheme="minorHAnsi" w:hAnsiTheme="minorHAnsi" w:cstheme="minorHAnsi"/>
          <w:u w:val="single"/>
        </w:rPr>
        <w:t>Rental Activities</w:t>
      </w:r>
    </w:p>
    <w:p w14:paraId="09D59673" w14:textId="614BEC40" w:rsidR="009A2C2E" w:rsidRPr="00E61E84" w:rsidRDefault="7B270814" w:rsidP="00E61E84">
      <w:pPr>
        <w:pStyle w:val="NormalWeb"/>
        <w:spacing w:after="0"/>
        <w:jc w:val="both"/>
        <w:rPr>
          <w:rFonts w:asciiTheme="minorHAnsi" w:hAnsiTheme="minorHAnsi" w:cstheme="minorBidi"/>
          <w:i/>
          <w:iCs/>
          <w:color w:val="FF0000"/>
        </w:rPr>
      </w:pPr>
      <w:r w:rsidRPr="00E61E84">
        <w:rPr>
          <w:rFonts w:asciiTheme="minorHAnsi" w:hAnsiTheme="minorHAnsi" w:cstheme="minorBidi"/>
        </w:rPr>
        <w:t>IHFA</w:t>
      </w:r>
      <w:r w:rsidR="7B3F1BE2" w:rsidRPr="00E61E84">
        <w:rPr>
          <w:rFonts w:asciiTheme="minorHAnsi" w:hAnsiTheme="minorHAnsi" w:cstheme="minorBidi"/>
        </w:rPr>
        <w:t xml:space="preserve">’s </w:t>
      </w:r>
      <w:r w:rsidR="009A2C2E" w:rsidRPr="00E61E84">
        <w:rPr>
          <w:rFonts w:asciiTheme="minorHAnsi" w:hAnsiTheme="minorHAnsi" w:cstheme="minorBidi"/>
        </w:rPr>
        <w:t xml:space="preserve">HOME </w:t>
      </w:r>
      <w:r w:rsidR="38170BCB" w:rsidRPr="00E61E84">
        <w:rPr>
          <w:rFonts w:asciiTheme="minorHAnsi" w:hAnsiTheme="minorHAnsi" w:cstheme="minorBidi"/>
        </w:rPr>
        <w:t>D</w:t>
      </w:r>
      <w:r w:rsidRPr="00E61E84">
        <w:rPr>
          <w:rFonts w:asciiTheme="minorHAnsi" w:hAnsiTheme="minorHAnsi" w:cstheme="minorBidi"/>
        </w:rPr>
        <w:t>epartment conduct</w:t>
      </w:r>
      <w:r w:rsidR="32DC9111" w:rsidRPr="00E61E84">
        <w:rPr>
          <w:rFonts w:asciiTheme="minorHAnsi" w:hAnsiTheme="minorHAnsi" w:cstheme="minorBidi"/>
        </w:rPr>
        <w:t>s</w:t>
      </w:r>
      <w:r w:rsidR="009A2C2E" w:rsidRPr="00E61E84">
        <w:rPr>
          <w:rFonts w:asciiTheme="minorHAnsi" w:hAnsiTheme="minorHAnsi" w:cstheme="minorBidi"/>
        </w:rPr>
        <w:t xml:space="preserve"> periodic progress inspections and a final inspection during the development phase of the activity. Within </w:t>
      </w:r>
      <w:r w:rsidR="65429FB4" w:rsidRPr="00E61E84">
        <w:rPr>
          <w:rFonts w:asciiTheme="minorHAnsi" w:hAnsiTheme="minorHAnsi" w:cstheme="minorBidi"/>
        </w:rPr>
        <w:t>twelve (</w:t>
      </w:r>
      <w:r w:rsidR="009A2C2E" w:rsidRPr="00E61E84">
        <w:rPr>
          <w:rFonts w:asciiTheme="minorHAnsi" w:hAnsiTheme="minorHAnsi" w:cstheme="minorBidi"/>
        </w:rPr>
        <w:t>12</w:t>
      </w:r>
      <w:r w:rsidR="2E12B8FE" w:rsidRPr="00E61E84">
        <w:rPr>
          <w:rFonts w:asciiTheme="minorHAnsi" w:hAnsiTheme="minorHAnsi" w:cstheme="minorBidi"/>
        </w:rPr>
        <w:t>)</w:t>
      </w:r>
      <w:r w:rsidR="009A2C2E" w:rsidRPr="00E61E84">
        <w:rPr>
          <w:rFonts w:asciiTheme="minorHAnsi" w:hAnsiTheme="minorHAnsi" w:cstheme="minorBidi"/>
        </w:rPr>
        <w:t xml:space="preserve"> months of project completion and every </w:t>
      </w:r>
      <w:r w:rsidR="0066278A" w:rsidRPr="00E61E84">
        <w:rPr>
          <w:rFonts w:asciiTheme="minorHAnsi" w:hAnsiTheme="minorHAnsi" w:cstheme="minorBidi"/>
        </w:rPr>
        <w:t>three (</w:t>
      </w:r>
      <w:r w:rsidR="009A2C2E" w:rsidRPr="00E61E84">
        <w:rPr>
          <w:rFonts w:asciiTheme="minorHAnsi" w:hAnsiTheme="minorHAnsi" w:cstheme="minorBidi"/>
        </w:rPr>
        <w:t>3</w:t>
      </w:r>
      <w:r w:rsidR="0066278A" w:rsidRPr="00E61E84">
        <w:rPr>
          <w:rFonts w:asciiTheme="minorHAnsi" w:hAnsiTheme="minorHAnsi" w:cstheme="minorBidi"/>
        </w:rPr>
        <w:t>)</w:t>
      </w:r>
      <w:r w:rsidR="009A2C2E" w:rsidRPr="00E61E84">
        <w:rPr>
          <w:rFonts w:asciiTheme="minorHAnsi" w:hAnsiTheme="minorHAnsi" w:cstheme="minorBidi"/>
        </w:rPr>
        <w:t xml:space="preserve"> years thereafter, </w:t>
      </w:r>
      <w:r w:rsidRPr="00E61E84">
        <w:rPr>
          <w:rFonts w:asciiTheme="minorHAnsi" w:hAnsiTheme="minorHAnsi" w:cstheme="minorBidi"/>
        </w:rPr>
        <w:t>IHFA</w:t>
      </w:r>
      <w:r w:rsidR="57756CB6" w:rsidRPr="00E61E84">
        <w:rPr>
          <w:rFonts w:asciiTheme="minorHAnsi" w:hAnsiTheme="minorHAnsi" w:cstheme="minorBidi"/>
        </w:rPr>
        <w:t>’s</w:t>
      </w:r>
      <w:r w:rsidR="009A2C2E" w:rsidRPr="00E61E84">
        <w:rPr>
          <w:rFonts w:asciiTheme="minorHAnsi" w:hAnsiTheme="minorHAnsi" w:cstheme="minorBidi"/>
        </w:rPr>
        <w:t xml:space="preserve"> Compliance staff will conduct physical inspections of the property to ensure continuing compliance with state and local housing </w:t>
      </w:r>
      <w:r w:rsidRPr="00E61E84">
        <w:rPr>
          <w:rFonts w:asciiTheme="minorHAnsi" w:hAnsiTheme="minorHAnsi" w:cstheme="minorBidi"/>
        </w:rPr>
        <w:t>code</w:t>
      </w:r>
      <w:r w:rsidR="12079F78" w:rsidRPr="00E61E84">
        <w:rPr>
          <w:rFonts w:asciiTheme="minorHAnsi" w:hAnsiTheme="minorHAnsi" w:cstheme="minorBidi"/>
        </w:rPr>
        <w:t>s</w:t>
      </w:r>
      <w:r w:rsidR="009A2C2E" w:rsidRPr="00E61E84">
        <w:rPr>
          <w:rFonts w:asciiTheme="minorHAnsi" w:hAnsiTheme="minorHAnsi" w:cstheme="minorBidi"/>
        </w:rPr>
        <w:t xml:space="preserve"> and HOME's property </w:t>
      </w:r>
      <w:r w:rsidR="12079F78" w:rsidRPr="00E61E84">
        <w:rPr>
          <w:rFonts w:asciiTheme="minorHAnsi" w:hAnsiTheme="minorHAnsi" w:cstheme="minorBidi"/>
        </w:rPr>
        <w:t xml:space="preserve">standards. </w:t>
      </w:r>
      <w:proofErr w:type="spellStart"/>
      <w:r w:rsidR="45C24EAA" w:rsidRPr="00E61E84">
        <w:rPr>
          <w:rFonts w:asciiTheme="minorHAnsi" w:hAnsiTheme="minorHAnsi" w:cstheme="minorBidi"/>
        </w:rPr>
        <w:t>n</w:t>
      </w:r>
      <w:proofErr w:type="spellEnd"/>
      <w:r w:rsidR="009A2C2E" w:rsidRPr="00E61E84">
        <w:rPr>
          <w:rFonts w:asciiTheme="minorHAnsi" w:hAnsiTheme="minorHAnsi" w:cstheme="minorBidi"/>
        </w:rPr>
        <w:t xml:space="preserve"> addition, IHFA Compliance staff will review and approve each </w:t>
      </w:r>
      <w:r w:rsidR="45C24EAA" w:rsidRPr="00E61E84">
        <w:rPr>
          <w:rFonts w:asciiTheme="minorHAnsi" w:hAnsiTheme="minorHAnsi" w:cstheme="minorBidi"/>
        </w:rPr>
        <w:t>owner’s</w:t>
      </w:r>
      <w:r w:rsidR="009A2C2E" w:rsidRPr="00E61E84">
        <w:rPr>
          <w:rFonts w:asciiTheme="minorHAnsi" w:hAnsiTheme="minorHAnsi" w:cstheme="minorBidi"/>
        </w:rPr>
        <w:t xml:space="preserve"> annual certification of continuing compliance with HOME rent restrictions, HOME </w:t>
      </w:r>
      <w:r w:rsidR="45C24EAA" w:rsidRPr="00E61E84">
        <w:rPr>
          <w:rFonts w:asciiTheme="minorHAnsi" w:hAnsiTheme="minorHAnsi" w:cstheme="minorBidi"/>
        </w:rPr>
        <w:t>unit</w:t>
      </w:r>
      <w:r w:rsidR="009A2C2E" w:rsidRPr="00E61E84">
        <w:rPr>
          <w:rFonts w:asciiTheme="minorHAnsi" w:hAnsiTheme="minorHAnsi" w:cstheme="minorBidi"/>
        </w:rPr>
        <w:t xml:space="preserve"> tenant income, and continuing suitability for occupancy according to local health, </w:t>
      </w:r>
      <w:r w:rsidR="45C24EAA" w:rsidRPr="00E61E84">
        <w:rPr>
          <w:rFonts w:asciiTheme="minorHAnsi" w:hAnsiTheme="minorHAnsi" w:cstheme="minorBidi"/>
        </w:rPr>
        <w:t>safety</w:t>
      </w:r>
      <w:r w:rsidR="009A2C2E" w:rsidRPr="00E61E84">
        <w:rPr>
          <w:rFonts w:asciiTheme="minorHAnsi" w:hAnsiTheme="minorHAnsi" w:cstheme="minorBidi"/>
        </w:rPr>
        <w:t xml:space="preserve">, and building </w:t>
      </w:r>
      <w:r w:rsidR="45C24EAA" w:rsidRPr="00E61E84">
        <w:rPr>
          <w:rFonts w:asciiTheme="minorHAnsi" w:hAnsiTheme="minorHAnsi" w:cstheme="minorBidi"/>
        </w:rPr>
        <w:t>codes, as well as</w:t>
      </w:r>
      <w:r w:rsidR="009A2C2E" w:rsidRPr="00E61E84">
        <w:rPr>
          <w:rFonts w:asciiTheme="minorHAnsi" w:hAnsiTheme="minorHAnsi" w:cstheme="minorBidi"/>
        </w:rPr>
        <w:t xml:space="preserve"> HOME property standards</w:t>
      </w:r>
      <w:r w:rsidR="45C24EAA" w:rsidRPr="00E61E84">
        <w:rPr>
          <w:rFonts w:asciiTheme="minorHAnsi" w:hAnsiTheme="minorHAnsi" w:cstheme="minorBidi"/>
        </w:rPr>
        <w:t>.</w:t>
      </w:r>
      <w:r w:rsidR="1F4F1944" w:rsidRPr="00E61E84">
        <w:rPr>
          <w:rFonts w:asciiTheme="minorHAnsi" w:hAnsiTheme="minorHAnsi" w:cstheme="minorBidi"/>
        </w:rPr>
        <w:t xml:space="preserve"> They will also assess the owner’s</w:t>
      </w:r>
      <w:r w:rsidR="009A2C2E" w:rsidRPr="00E61E84">
        <w:rPr>
          <w:rFonts w:asciiTheme="minorHAnsi" w:hAnsiTheme="minorHAnsi" w:cstheme="minorBidi"/>
        </w:rPr>
        <w:t xml:space="preserve"> reasonable attempts to rent all vacant low-income units before </w:t>
      </w:r>
      <w:r w:rsidR="1F4F1944" w:rsidRPr="00E61E84">
        <w:rPr>
          <w:rFonts w:asciiTheme="minorHAnsi" w:hAnsiTheme="minorHAnsi" w:cstheme="minorBidi"/>
        </w:rPr>
        <w:t xml:space="preserve">renting </w:t>
      </w:r>
      <w:r w:rsidR="009A2C2E" w:rsidRPr="00E61E84">
        <w:rPr>
          <w:rFonts w:asciiTheme="minorHAnsi" w:hAnsiTheme="minorHAnsi" w:cstheme="minorBidi"/>
        </w:rPr>
        <w:t xml:space="preserve">units of comparable size to tenants who did not have qualifying income, adherence to </w:t>
      </w:r>
      <w:r w:rsidR="1F4F1944" w:rsidRPr="00E61E84">
        <w:rPr>
          <w:rFonts w:asciiTheme="minorHAnsi" w:hAnsiTheme="minorHAnsi" w:cstheme="minorBidi"/>
        </w:rPr>
        <w:t xml:space="preserve">the </w:t>
      </w:r>
      <w:r w:rsidR="009A2C2E" w:rsidRPr="00E61E84">
        <w:rPr>
          <w:rFonts w:asciiTheme="minorHAnsi" w:hAnsiTheme="minorHAnsi" w:cstheme="minorBidi"/>
        </w:rPr>
        <w:t xml:space="preserve">HOME floating or fixed </w:t>
      </w:r>
      <w:r w:rsidR="27718941" w:rsidRPr="00E61E84">
        <w:rPr>
          <w:rFonts w:asciiTheme="minorHAnsi" w:hAnsiTheme="minorHAnsi" w:cstheme="minorBidi"/>
        </w:rPr>
        <w:t>units'</w:t>
      </w:r>
      <w:r w:rsidR="009A2C2E" w:rsidRPr="00E61E84">
        <w:rPr>
          <w:rFonts w:asciiTheme="minorHAnsi" w:hAnsiTheme="minorHAnsi" w:cstheme="minorBidi"/>
        </w:rPr>
        <w:t xml:space="preserve"> rule and </w:t>
      </w:r>
      <w:r w:rsidR="219818D1" w:rsidRPr="00E61E84">
        <w:rPr>
          <w:rFonts w:asciiTheme="minorHAnsi" w:hAnsiTheme="minorHAnsi" w:cstheme="minorBidi"/>
        </w:rPr>
        <w:t xml:space="preserve">its </w:t>
      </w:r>
      <w:r w:rsidR="009A2C2E" w:rsidRPr="00E61E84">
        <w:rPr>
          <w:rFonts w:asciiTheme="minorHAnsi" w:hAnsiTheme="minorHAnsi" w:cstheme="minorBidi"/>
        </w:rPr>
        <w:t xml:space="preserve">application, and </w:t>
      </w:r>
      <w:r w:rsidR="219818D1" w:rsidRPr="00E61E84">
        <w:rPr>
          <w:rFonts w:asciiTheme="minorHAnsi" w:hAnsiTheme="minorHAnsi" w:cstheme="minorBidi"/>
        </w:rPr>
        <w:t xml:space="preserve">compliance with </w:t>
      </w:r>
      <w:r w:rsidR="009A2C2E" w:rsidRPr="00E61E84">
        <w:rPr>
          <w:rFonts w:asciiTheme="minorHAnsi" w:hAnsiTheme="minorHAnsi" w:cstheme="minorBidi"/>
        </w:rPr>
        <w:t xml:space="preserve">cross-cutting laws and regulations. HOME rental housing compliance monitoring policies and procedures are identified in the </w:t>
      </w:r>
      <w:r w:rsidR="009A2C2E" w:rsidRPr="00E61E84">
        <w:rPr>
          <w:rFonts w:asciiTheme="minorHAnsi" w:hAnsiTheme="minorHAnsi" w:cstheme="minorBidi"/>
          <w:i/>
          <w:iCs/>
        </w:rPr>
        <w:t>IHFA Compliance Monitoring Manual. See</w:t>
      </w:r>
      <w:r w:rsidR="009A2C2E" w:rsidRPr="00E61E84">
        <w:rPr>
          <w:rFonts w:asciiTheme="minorHAnsi" w:hAnsiTheme="minorHAnsi" w:cstheme="minorBidi"/>
          <w:i/>
          <w:iCs/>
          <w:color w:val="FF0000"/>
        </w:rPr>
        <w:t xml:space="preserve"> </w:t>
      </w:r>
      <w:hyperlink r:id="rId23">
        <w:r w:rsidR="009A2C2E" w:rsidRPr="00E61E84">
          <w:rPr>
            <w:rStyle w:val="Hyperlink"/>
            <w:rFonts w:asciiTheme="minorHAnsi" w:hAnsiTheme="minorHAnsi" w:cstheme="minorBidi"/>
          </w:rPr>
          <w:t>http://www.rentalcompliance.org/housing-compliance-services/tax-credit-home.aspx</w:t>
        </w:r>
      </w:hyperlink>
      <w:r w:rsidR="009A2C2E" w:rsidRPr="00E61E84">
        <w:rPr>
          <w:rFonts w:asciiTheme="minorHAnsi" w:hAnsiTheme="minorHAnsi" w:cstheme="minorBidi"/>
          <w:i/>
          <w:iCs/>
          <w:color w:val="FF0000"/>
        </w:rPr>
        <w:t xml:space="preserve"> </w:t>
      </w:r>
    </w:p>
    <w:p w14:paraId="31AFA018" w14:textId="6B2A50D6" w:rsidR="098FA5AC" w:rsidRPr="00E61E84" w:rsidRDefault="098FA5AC" w:rsidP="00E61E84">
      <w:pPr>
        <w:pStyle w:val="NormalWeb"/>
        <w:spacing w:after="0"/>
        <w:jc w:val="both"/>
        <w:rPr>
          <w:rFonts w:asciiTheme="minorHAnsi" w:hAnsiTheme="minorHAnsi" w:cstheme="minorBidi"/>
          <w:i/>
          <w:iCs/>
          <w:color w:val="FF0000"/>
        </w:rPr>
      </w:pPr>
    </w:p>
    <w:p w14:paraId="61F97904" w14:textId="77777777" w:rsidR="009A2C2E" w:rsidRPr="00E61E84" w:rsidRDefault="009A2C2E" w:rsidP="00E61E84">
      <w:pPr>
        <w:pStyle w:val="NormalWeb"/>
        <w:jc w:val="both"/>
        <w:rPr>
          <w:rFonts w:asciiTheme="minorHAnsi" w:hAnsiTheme="minorHAnsi" w:cstheme="minorBidi"/>
          <w:u w:val="single"/>
        </w:rPr>
      </w:pPr>
      <w:r w:rsidRPr="00E61E84">
        <w:rPr>
          <w:rFonts w:asciiTheme="minorHAnsi" w:hAnsiTheme="minorHAnsi" w:cstheme="minorBidi"/>
          <w:u w:val="single"/>
        </w:rPr>
        <w:t>Rental Housing Risk-based Financial Assessment</w:t>
      </w:r>
    </w:p>
    <w:p w14:paraId="3AA473FB" w14:textId="2A648595" w:rsidR="009A2C2E" w:rsidRPr="00E61E84" w:rsidRDefault="7B270814" w:rsidP="00E61E84">
      <w:pPr>
        <w:pStyle w:val="NormalWeb"/>
        <w:jc w:val="both"/>
        <w:rPr>
          <w:rFonts w:asciiTheme="minorHAnsi" w:hAnsiTheme="minorHAnsi" w:cstheme="minorBidi"/>
        </w:rPr>
      </w:pPr>
      <w:r w:rsidRPr="00E61E84">
        <w:rPr>
          <w:rFonts w:asciiTheme="minorHAnsi" w:hAnsiTheme="minorHAnsi" w:cstheme="minorBidi"/>
        </w:rPr>
        <w:t>IHF</w:t>
      </w:r>
      <w:r w:rsidR="237EB5C5" w:rsidRPr="00E61E84">
        <w:rPr>
          <w:rFonts w:asciiTheme="minorHAnsi" w:hAnsiTheme="minorHAnsi" w:cstheme="minorBidi"/>
        </w:rPr>
        <w:t xml:space="preserve">A’s </w:t>
      </w:r>
      <w:r w:rsidR="009A2C2E" w:rsidRPr="00E61E84">
        <w:rPr>
          <w:rFonts w:asciiTheme="minorHAnsi" w:hAnsiTheme="minorHAnsi" w:cstheme="minorBidi"/>
        </w:rPr>
        <w:t xml:space="preserve">HOME staff will annually assess the financial viability of HOME-assisted rental projects following a written procedure. The assessment includes input from the </w:t>
      </w:r>
      <w:r w:rsidRPr="00E61E84">
        <w:rPr>
          <w:rFonts w:asciiTheme="minorHAnsi" w:hAnsiTheme="minorHAnsi" w:cstheme="minorBidi"/>
        </w:rPr>
        <w:t>IHFA</w:t>
      </w:r>
      <w:r w:rsidR="5C72A079" w:rsidRPr="00E61E84">
        <w:rPr>
          <w:rFonts w:asciiTheme="minorHAnsi" w:hAnsiTheme="minorHAnsi" w:cstheme="minorBidi"/>
        </w:rPr>
        <w:t>’s</w:t>
      </w:r>
      <w:r w:rsidR="009A2C2E" w:rsidRPr="00E61E84">
        <w:rPr>
          <w:rFonts w:asciiTheme="minorHAnsi" w:hAnsiTheme="minorHAnsi" w:cstheme="minorBidi"/>
        </w:rPr>
        <w:t xml:space="preserve"> Compliance </w:t>
      </w:r>
      <w:r w:rsidR="3DC9AA13" w:rsidRPr="00E61E84">
        <w:rPr>
          <w:rFonts w:asciiTheme="minorHAnsi" w:hAnsiTheme="minorHAnsi" w:cstheme="minorBidi"/>
        </w:rPr>
        <w:t>s</w:t>
      </w:r>
      <w:r w:rsidRPr="00E61E84">
        <w:rPr>
          <w:rFonts w:asciiTheme="minorHAnsi" w:hAnsiTheme="minorHAnsi" w:cstheme="minorBidi"/>
        </w:rPr>
        <w:t>taff</w:t>
      </w:r>
      <w:r w:rsidR="009A2C2E" w:rsidRPr="00E61E84">
        <w:rPr>
          <w:rFonts w:asciiTheme="minorHAnsi" w:hAnsiTheme="minorHAnsi" w:cstheme="minorBidi"/>
        </w:rPr>
        <w:t xml:space="preserve"> based on their physical inspections, tenant file reviews, and owners' certification of continuing compliance.  The following projects have been determined to have a greater than average risk:  </w:t>
      </w:r>
    </w:p>
    <w:p w14:paraId="520242BE" w14:textId="20C8D687" w:rsidR="009A2C2E" w:rsidRPr="00E61E84" w:rsidRDefault="009A2C2E" w:rsidP="00351170">
      <w:pPr>
        <w:pStyle w:val="ListParagraph"/>
        <w:numPr>
          <w:ilvl w:val="0"/>
          <w:numId w:val="18"/>
        </w:numPr>
        <w:spacing w:after="0" w:line="240" w:lineRule="auto"/>
        <w:ind w:left="1440"/>
        <w:rPr>
          <w:sz w:val="24"/>
          <w:szCs w:val="24"/>
        </w:rPr>
      </w:pPr>
      <w:r w:rsidRPr="00E61E84">
        <w:rPr>
          <w:sz w:val="24"/>
          <w:szCs w:val="24"/>
        </w:rPr>
        <w:t xml:space="preserve">Projects within </w:t>
      </w:r>
      <w:r w:rsidR="5860E37C" w:rsidRPr="00E61E84">
        <w:rPr>
          <w:sz w:val="24"/>
          <w:szCs w:val="24"/>
        </w:rPr>
        <w:t>five (</w:t>
      </w:r>
      <w:r w:rsidRPr="00E61E84">
        <w:rPr>
          <w:sz w:val="24"/>
          <w:szCs w:val="24"/>
        </w:rPr>
        <w:t>5</w:t>
      </w:r>
      <w:r w:rsidR="3CBAACAE" w:rsidRPr="00E61E84">
        <w:rPr>
          <w:sz w:val="24"/>
          <w:szCs w:val="24"/>
        </w:rPr>
        <w:t>)</w:t>
      </w:r>
      <w:r w:rsidRPr="00E61E84">
        <w:rPr>
          <w:sz w:val="24"/>
          <w:szCs w:val="24"/>
        </w:rPr>
        <w:t xml:space="preserve"> years of the end of the HOME affordability period</w:t>
      </w:r>
    </w:p>
    <w:p w14:paraId="3BC755B4" w14:textId="46672208" w:rsidR="009A2C2E" w:rsidRPr="00E61E84" w:rsidRDefault="009A2C2E" w:rsidP="00351170">
      <w:pPr>
        <w:pStyle w:val="ListParagraph"/>
        <w:numPr>
          <w:ilvl w:val="0"/>
          <w:numId w:val="18"/>
        </w:numPr>
        <w:spacing w:after="0" w:line="240" w:lineRule="auto"/>
        <w:ind w:left="1440"/>
        <w:rPr>
          <w:sz w:val="24"/>
          <w:szCs w:val="24"/>
        </w:rPr>
      </w:pPr>
      <w:r w:rsidRPr="00E61E84">
        <w:rPr>
          <w:sz w:val="24"/>
          <w:szCs w:val="24"/>
        </w:rPr>
        <w:t>Projects with HOME loan terms of Due-on-Sale or Net Operating Income</w:t>
      </w:r>
      <w:r w:rsidR="13169B4F" w:rsidRPr="00E61E84">
        <w:rPr>
          <w:sz w:val="24"/>
          <w:szCs w:val="24"/>
        </w:rPr>
        <w:t xml:space="preserve"> (</w:t>
      </w:r>
      <w:r w:rsidRPr="00E61E84">
        <w:rPr>
          <w:sz w:val="24"/>
          <w:szCs w:val="24"/>
        </w:rPr>
        <w:t>NOI)</w:t>
      </w:r>
    </w:p>
    <w:p w14:paraId="692FBCB2" w14:textId="7CEB65E5" w:rsidR="009A2C2E" w:rsidRPr="00E61E84" w:rsidRDefault="009A2C2E" w:rsidP="00351170">
      <w:pPr>
        <w:pStyle w:val="ListParagraph"/>
        <w:numPr>
          <w:ilvl w:val="0"/>
          <w:numId w:val="18"/>
        </w:numPr>
        <w:spacing w:after="0" w:line="240" w:lineRule="auto"/>
        <w:ind w:left="1440"/>
        <w:rPr>
          <w:sz w:val="24"/>
          <w:szCs w:val="24"/>
        </w:rPr>
      </w:pPr>
      <w:r w:rsidRPr="00E61E84">
        <w:rPr>
          <w:sz w:val="24"/>
          <w:szCs w:val="24"/>
        </w:rPr>
        <w:t xml:space="preserve">Projects on the ‘watch’ list, as determined by IHFA Compliance </w:t>
      </w:r>
      <w:r w:rsidR="2B84A8FB" w:rsidRPr="00E61E84">
        <w:rPr>
          <w:sz w:val="24"/>
          <w:szCs w:val="24"/>
        </w:rPr>
        <w:t>s</w:t>
      </w:r>
      <w:r w:rsidR="7B270814" w:rsidRPr="00E61E84">
        <w:rPr>
          <w:sz w:val="24"/>
          <w:szCs w:val="24"/>
        </w:rPr>
        <w:t>taff</w:t>
      </w:r>
    </w:p>
    <w:p w14:paraId="6766DE7D" w14:textId="77777777" w:rsidR="009A2C2E" w:rsidRPr="00E61E84" w:rsidRDefault="009A2C2E" w:rsidP="00351170">
      <w:pPr>
        <w:pStyle w:val="ListParagraph"/>
        <w:numPr>
          <w:ilvl w:val="0"/>
          <w:numId w:val="18"/>
        </w:numPr>
        <w:spacing w:after="0" w:line="240" w:lineRule="auto"/>
        <w:ind w:left="1440"/>
        <w:rPr>
          <w:sz w:val="24"/>
          <w:szCs w:val="24"/>
        </w:rPr>
      </w:pPr>
      <w:r w:rsidRPr="00E61E84">
        <w:rPr>
          <w:sz w:val="24"/>
          <w:szCs w:val="24"/>
        </w:rPr>
        <w:t xml:space="preserve">Projects with inconsistent or nonpayment history </w:t>
      </w:r>
    </w:p>
    <w:p w14:paraId="4BA940A3" w14:textId="7E98C150" w:rsidR="009A2C2E" w:rsidRDefault="009A2C2E" w:rsidP="098FA5AC">
      <w:pPr>
        <w:pStyle w:val="ListParagraph"/>
        <w:numPr>
          <w:ilvl w:val="0"/>
          <w:numId w:val="18"/>
        </w:numPr>
        <w:spacing w:after="0" w:line="240" w:lineRule="auto"/>
        <w:ind w:left="1440"/>
        <w:rPr>
          <w:sz w:val="24"/>
          <w:szCs w:val="24"/>
        </w:rPr>
      </w:pPr>
      <w:r w:rsidRPr="00E61E84">
        <w:rPr>
          <w:sz w:val="24"/>
          <w:szCs w:val="24"/>
        </w:rPr>
        <w:lastRenderedPageBreak/>
        <w:t xml:space="preserve">Projects with </w:t>
      </w:r>
      <w:r w:rsidR="57A27B21" w:rsidRPr="00E61E84">
        <w:rPr>
          <w:sz w:val="24"/>
          <w:szCs w:val="24"/>
        </w:rPr>
        <w:t>ten (</w:t>
      </w:r>
      <w:r w:rsidRPr="00E61E84">
        <w:rPr>
          <w:sz w:val="24"/>
          <w:szCs w:val="24"/>
        </w:rPr>
        <w:t>10</w:t>
      </w:r>
      <w:r w:rsidR="3ECF28DA" w:rsidRPr="00E61E84">
        <w:rPr>
          <w:sz w:val="24"/>
          <w:szCs w:val="24"/>
        </w:rPr>
        <w:t>)</w:t>
      </w:r>
      <w:r w:rsidRPr="00E61E84">
        <w:rPr>
          <w:sz w:val="24"/>
          <w:szCs w:val="24"/>
        </w:rPr>
        <w:t xml:space="preserve"> or more HOME units, which require a HUD mandated financial assessment</w:t>
      </w:r>
      <w:r w:rsidR="441E82C4" w:rsidRPr="00E61E84">
        <w:rPr>
          <w:sz w:val="24"/>
          <w:szCs w:val="24"/>
        </w:rPr>
        <w:t xml:space="preserve">. </w:t>
      </w:r>
      <w:r w:rsidRPr="00E61E84">
        <w:rPr>
          <w:sz w:val="24"/>
          <w:szCs w:val="24"/>
        </w:rPr>
        <w:t xml:space="preserve">The most current financial statements are reviewed using a Tier 1 Easy Risk Assessment Tool (Easy RAT).  The quick financial calculation helps determine two aspects: Is the project generating a positive cash flow; is there available cash sufficient to pay accounts payable.  Consideration is given for other issues such as whether the auditor/accountant has concerns or required replacement reserve deposits are adequate. </w:t>
      </w:r>
    </w:p>
    <w:p w14:paraId="7BD9EC09" w14:textId="77777777" w:rsidR="00E61E84" w:rsidRPr="00E61E84" w:rsidRDefault="00E61E84" w:rsidP="00E61E84">
      <w:pPr>
        <w:pStyle w:val="ListParagraph"/>
        <w:spacing w:after="0" w:line="240" w:lineRule="auto"/>
        <w:ind w:left="1440"/>
        <w:rPr>
          <w:sz w:val="24"/>
          <w:szCs w:val="24"/>
        </w:rPr>
      </w:pPr>
    </w:p>
    <w:p w14:paraId="37218C00" w14:textId="42FBB950" w:rsidR="009A2C2E" w:rsidRPr="00E61E84" w:rsidRDefault="009A2C2E" w:rsidP="00E61E84">
      <w:pPr>
        <w:jc w:val="both"/>
        <w:rPr>
          <w:sz w:val="24"/>
          <w:szCs w:val="24"/>
        </w:rPr>
      </w:pPr>
      <w:r w:rsidRPr="00E61E84">
        <w:rPr>
          <w:sz w:val="24"/>
          <w:szCs w:val="24"/>
        </w:rPr>
        <w:t>The result of the Easy RAT is a ‘Pass’ or ‘</w:t>
      </w:r>
      <w:r w:rsidR="7B270814" w:rsidRPr="00E61E84">
        <w:rPr>
          <w:sz w:val="24"/>
          <w:szCs w:val="24"/>
        </w:rPr>
        <w:t>Fail</w:t>
      </w:r>
      <w:r w:rsidR="03491A35" w:rsidRPr="00E61E84">
        <w:rPr>
          <w:sz w:val="24"/>
          <w:szCs w:val="24"/>
        </w:rPr>
        <w:t>,</w:t>
      </w:r>
      <w:r w:rsidR="7B270814" w:rsidRPr="00E61E84">
        <w:rPr>
          <w:sz w:val="24"/>
          <w:szCs w:val="24"/>
        </w:rPr>
        <w:t>’</w:t>
      </w:r>
      <w:r w:rsidRPr="00E61E84">
        <w:rPr>
          <w:sz w:val="24"/>
          <w:szCs w:val="24"/>
        </w:rPr>
        <w:t xml:space="preserve"> which determines the next step</w:t>
      </w:r>
      <w:r w:rsidR="0180EBCC" w:rsidRPr="00E61E84">
        <w:rPr>
          <w:sz w:val="24"/>
          <w:szCs w:val="24"/>
        </w:rPr>
        <w:t>.</w:t>
      </w:r>
    </w:p>
    <w:p w14:paraId="1D04AD3A" w14:textId="5450EC2B" w:rsidR="009A2C2E" w:rsidRPr="00E61E84" w:rsidRDefault="009A2C2E" w:rsidP="00E61E84">
      <w:pPr>
        <w:jc w:val="both"/>
        <w:rPr>
          <w:sz w:val="24"/>
          <w:szCs w:val="24"/>
        </w:rPr>
      </w:pPr>
      <w:r w:rsidRPr="00E61E84">
        <w:rPr>
          <w:sz w:val="24"/>
          <w:szCs w:val="24"/>
        </w:rPr>
        <w:t xml:space="preserve">Projects that </w:t>
      </w:r>
      <w:r w:rsidR="63E0D279" w:rsidRPr="00E61E84">
        <w:rPr>
          <w:sz w:val="24"/>
          <w:szCs w:val="24"/>
        </w:rPr>
        <w:t>“</w:t>
      </w:r>
      <w:r w:rsidRPr="00E61E84">
        <w:rPr>
          <w:sz w:val="24"/>
          <w:szCs w:val="24"/>
        </w:rPr>
        <w:t>Pass</w:t>
      </w:r>
      <w:r w:rsidR="303B7D71" w:rsidRPr="00E61E84">
        <w:rPr>
          <w:sz w:val="24"/>
          <w:szCs w:val="24"/>
        </w:rPr>
        <w:t>”</w:t>
      </w:r>
      <w:r w:rsidRPr="00E61E84">
        <w:rPr>
          <w:sz w:val="24"/>
          <w:szCs w:val="24"/>
        </w:rPr>
        <w:t xml:space="preserve"> the Easy RAT and have no other significant areas of concern are determined to be in a stable financial position.  Additional review may be conducted because of other specific triggers. </w:t>
      </w:r>
    </w:p>
    <w:p w14:paraId="577639A6" w14:textId="153287C9" w:rsidR="009A2C2E" w:rsidRPr="00E61E84" w:rsidRDefault="009A2C2E" w:rsidP="00E61E84">
      <w:pPr>
        <w:jc w:val="both"/>
        <w:rPr>
          <w:sz w:val="24"/>
          <w:szCs w:val="24"/>
        </w:rPr>
      </w:pPr>
      <w:r w:rsidRPr="00E61E84">
        <w:rPr>
          <w:sz w:val="24"/>
          <w:szCs w:val="24"/>
        </w:rPr>
        <w:t xml:space="preserve">Projects that </w:t>
      </w:r>
      <w:r w:rsidR="23C9653B" w:rsidRPr="00E61E84">
        <w:rPr>
          <w:sz w:val="24"/>
          <w:szCs w:val="24"/>
        </w:rPr>
        <w:t>“</w:t>
      </w:r>
      <w:r w:rsidRPr="00E61E84">
        <w:rPr>
          <w:sz w:val="24"/>
          <w:szCs w:val="24"/>
        </w:rPr>
        <w:t>Fail</w:t>
      </w:r>
      <w:r w:rsidR="599F63A0" w:rsidRPr="00E61E84">
        <w:rPr>
          <w:sz w:val="24"/>
          <w:szCs w:val="24"/>
        </w:rPr>
        <w:t>”</w:t>
      </w:r>
      <w:r w:rsidRPr="00E61E84">
        <w:rPr>
          <w:sz w:val="24"/>
          <w:szCs w:val="24"/>
        </w:rPr>
        <w:t xml:space="preserve"> the Easy RAT are further assessed, beginning with Tier </w:t>
      </w:r>
      <w:r w:rsidR="3A97A79E" w:rsidRPr="00E61E84">
        <w:rPr>
          <w:sz w:val="24"/>
          <w:szCs w:val="24"/>
        </w:rPr>
        <w:t>two (</w:t>
      </w:r>
      <w:r w:rsidRPr="00E61E84">
        <w:rPr>
          <w:sz w:val="24"/>
          <w:szCs w:val="24"/>
        </w:rPr>
        <w:t>2</w:t>
      </w:r>
      <w:r w:rsidR="6EBD14DC" w:rsidRPr="00E61E84">
        <w:rPr>
          <w:sz w:val="24"/>
          <w:szCs w:val="24"/>
        </w:rPr>
        <w:t>)</w:t>
      </w:r>
      <w:r w:rsidRPr="00E61E84">
        <w:rPr>
          <w:sz w:val="24"/>
          <w:szCs w:val="24"/>
        </w:rPr>
        <w:t xml:space="preserve"> Assessment. This phase looks at factors beyond simply operating cash and short-term debt.  Aspects such as vacancy rate, HOME unit mix, location, and geographic factors, are reviewed for their impact on rental demand. </w:t>
      </w:r>
    </w:p>
    <w:p w14:paraId="6D8E7C41" w14:textId="737F23B8" w:rsidR="009A2C2E" w:rsidRPr="00E61E84" w:rsidRDefault="009A2C2E" w:rsidP="00E61E84">
      <w:pPr>
        <w:jc w:val="both"/>
        <w:rPr>
          <w:sz w:val="24"/>
          <w:szCs w:val="24"/>
        </w:rPr>
      </w:pPr>
      <w:r w:rsidRPr="00E61E84">
        <w:rPr>
          <w:sz w:val="24"/>
          <w:szCs w:val="24"/>
        </w:rPr>
        <w:t xml:space="preserve">In some cases, based on the Tier </w:t>
      </w:r>
      <w:r w:rsidR="3CECBF34" w:rsidRPr="00E61E84">
        <w:rPr>
          <w:sz w:val="24"/>
          <w:szCs w:val="24"/>
        </w:rPr>
        <w:t>two (</w:t>
      </w:r>
      <w:r w:rsidRPr="00E61E84">
        <w:rPr>
          <w:sz w:val="24"/>
          <w:szCs w:val="24"/>
        </w:rPr>
        <w:t>2</w:t>
      </w:r>
      <w:r w:rsidR="21C3FAD5" w:rsidRPr="00E61E84">
        <w:rPr>
          <w:sz w:val="24"/>
          <w:szCs w:val="24"/>
        </w:rPr>
        <w:t>)</w:t>
      </w:r>
      <w:r w:rsidRPr="00E61E84">
        <w:rPr>
          <w:sz w:val="24"/>
          <w:szCs w:val="24"/>
        </w:rPr>
        <w:t xml:space="preserve"> Assessment outcome, a historical spreadsheet may be created. The purpose of this additional assessment is to provide a comprehensive review from the perspective of the project.  It may provide options and recommendations for IHFA and/or the project Owner/Manager.  </w:t>
      </w:r>
    </w:p>
    <w:p w14:paraId="0E41B97C" w14:textId="0B807EEA" w:rsidR="009A2C2E" w:rsidRPr="00E61E84" w:rsidRDefault="009A2C2E" w:rsidP="00E61E84">
      <w:pPr>
        <w:pStyle w:val="NormalWeb"/>
        <w:jc w:val="both"/>
        <w:rPr>
          <w:rFonts w:asciiTheme="minorHAnsi" w:hAnsiTheme="minorHAnsi" w:cstheme="minorBidi"/>
        </w:rPr>
      </w:pPr>
      <w:r w:rsidRPr="00E61E84">
        <w:rPr>
          <w:rFonts w:asciiTheme="minorHAnsi" w:hAnsiTheme="minorHAnsi" w:cstheme="minorBidi"/>
        </w:rPr>
        <w:t xml:space="preserve">The </w:t>
      </w:r>
      <w:r w:rsidR="7B270814" w:rsidRPr="00E61E84">
        <w:rPr>
          <w:rFonts w:asciiTheme="minorHAnsi" w:hAnsiTheme="minorHAnsi" w:cstheme="minorBidi"/>
        </w:rPr>
        <w:t>IHFA</w:t>
      </w:r>
      <w:r w:rsidR="3878F236" w:rsidRPr="00E61E84">
        <w:rPr>
          <w:rFonts w:asciiTheme="minorHAnsi" w:hAnsiTheme="minorHAnsi" w:cstheme="minorBidi"/>
        </w:rPr>
        <w:t>’s</w:t>
      </w:r>
      <w:r w:rsidRPr="00E61E84">
        <w:rPr>
          <w:rFonts w:asciiTheme="minorHAnsi" w:hAnsiTheme="minorHAnsi" w:cstheme="minorBidi"/>
        </w:rPr>
        <w:t xml:space="preserve"> HOME Department is ultimately responsible for ensuring the compliance of all HOME-assisted activities.  The monitoring procedures are identified in the HOME Administrative Plan, the IHFA Compliance Monitoring Manual</w:t>
      </w:r>
      <w:r w:rsidR="0066278A" w:rsidRPr="00E61E84">
        <w:rPr>
          <w:rFonts w:asciiTheme="minorHAnsi" w:hAnsiTheme="minorHAnsi" w:cstheme="minorBidi"/>
        </w:rPr>
        <w:t xml:space="preserve"> </w:t>
      </w:r>
      <w:r w:rsidRPr="00E61E84">
        <w:rPr>
          <w:rFonts w:asciiTheme="minorHAnsi" w:hAnsiTheme="minorHAnsi" w:cstheme="minorBidi"/>
        </w:rPr>
        <w:t xml:space="preserve">(rental housing activities), and the HOME Written Procedures Manual. </w:t>
      </w:r>
    </w:p>
    <w:p w14:paraId="0A7584DF" w14:textId="76840F90" w:rsidR="009A2C2E" w:rsidRPr="00E61E84" w:rsidRDefault="78ED7425" w:rsidP="00E61E84">
      <w:pPr>
        <w:pStyle w:val="NormalWeb"/>
        <w:spacing w:after="120"/>
        <w:jc w:val="both"/>
        <w:rPr>
          <w:rFonts w:asciiTheme="minorHAnsi" w:hAnsiTheme="minorHAnsi" w:cstheme="minorBidi"/>
          <w:u w:val="single"/>
        </w:rPr>
      </w:pPr>
      <w:r w:rsidRPr="00E61E84">
        <w:rPr>
          <w:rFonts w:asciiTheme="minorHAnsi" w:hAnsiTheme="minorHAnsi" w:cstheme="minorBidi"/>
          <w:u w:val="single"/>
        </w:rPr>
        <w:t>Community Housing Developme</w:t>
      </w:r>
      <w:r w:rsidR="74CC7045" w:rsidRPr="00E61E84">
        <w:rPr>
          <w:rFonts w:asciiTheme="minorHAnsi" w:hAnsiTheme="minorHAnsi" w:cstheme="minorBidi"/>
          <w:u w:val="single"/>
        </w:rPr>
        <w:t>n</w:t>
      </w:r>
      <w:r w:rsidRPr="00E61E84">
        <w:rPr>
          <w:rFonts w:asciiTheme="minorHAnsi" w:hAnsiTheme="minorHAnsi" w:cstheme="minorBidi"/>
          <w:u w:val="single"/>
        </w:rPr>
        <w:t xml:space="preserve">t </w:t>
      </w:r>
      <w:r w:rsidR="3678EEE3" w:rsidRPr="00E61E84">
        <w:rPr>
          <w:rFonts w:asciiTheme="minorHAnsi" w:hAnsiTheme="minorHAnsi" w:cstheme="minorBidi"/>
          <w:u w:val="single"/>
        </w:rPr>
        <w:t>Organization</w:t>
      </w:r>
      <w:r w:rsidR="28BAE2A8" w:rsidRPr="00E61E84">
        <w:rPr>
          <w:rFonts w:asciiTheme="minorHAnsi" w:hAnsiTheme="minorHAnsi" w:cstheme="minorBidi"/>
          <w:u w:val="single"/>
        </w:rPr>
        <w:t>s</w:t>
      </w:r>
      <w:r w:rsidR="3678EEE3" w:rsidRPr="00E61E84">
        <w:rPr>
          <w:rFonts w:asciiTheme="minorHAnsi" w:hAnsiTheme="minorHAnsi" w:cstheme="minorBidi"/>
          <w:u w:val="single"/>
        </w:rPr>
        <w:t xml:space="preserve"> (</w:t>
      </w:r>
      <w:r w:rsidR="0FD17104" w:rsidRPr="00E61E84">
        <w:rPr>
          <w:rFonts w:asciiTheme="minorHAnsi" w:hAnsiTheme="minorHAnsi" w:cstheme="minorBidi"/>
          <w:u w:val="single"/>
        </w:rPr>
        <w:t>C</w:t>
      </w:r>
      <w:r w:rsidR="7B270814" w:rsidRPr="00E61E84">
        <w:rPr>
          <w:rFonts w:asciiTheme="minorHAnsi" w:hAnsiTheme="minorHAnsi" w:cstheme="minorBidi"/>
          <w:u w:val="single"/>
        </w:rPr>
        <w:t>HDO</w:t>
      </w:r>
      <w:r w:rsidR="1B7E44B9" w:rsidRPr="00E61E84">
        <w:rPr>
          <w:rFonts w:asciiTheme="minorHAnsi" w:hAnsiTheme="minorHAnsi" w:cstheme="minorBidi"/>
          <w:u w:val="single"/>
        </w:rPr>
        <w:t>)</w:t>
      </w:r>
    </w:p>
    <w:p w14:paraId="57CDFDB1" w14:textId="77777777" w:rsidR="00F55976" w:rsidRDefault="009A2C2E" w:rsidP="00F55976">
      <w:pPr>
        <w:spacing w:after="160" w:line="259" w:lineRule="auto"/>
        <w:jc w:val="both"/>
        <w:rPr>
          <w:rFonts w:asciiTheme="minorHAnsi" w:hAnsiTheme="minorHAnsi" w:cstheme="minorBidi"/>
          <w:sz w:val="24"/>
          <w:szCs w:val="24"/>
        </w:rPr>
      </w:pPr>
      <w:r w:rsidRPr="00E61E84">
        <w:rPr>
          <w:rFonts w:asciiTheme="minorHAnsi" w:hAnsiTheme="minorHAnsi" w:cstheme="minorBidi"/>
          <w:sz w:val="24"/>
          <w:szCs w:val="24"/>
        </w:rPr>
        <w:t xml:space="preserve">IHFA conducts annual certification of all CHDOs to ensure they continue to meet all CHDO requirements. </w:t>
      </w:r>
      <w:r w:rsidR="0066278A" w:rsidRPr="00E61E84">
        <w:rPr>
          <w:rFonts w:asciiTheme="minorHAnsi" w:hAnsiTheme="minorHAnsi" w:cstheme="minorBidi"/>
          <w:sz w:val="24"/>
          <w:szCs w:val="24"/>
        </w:rPr>
        <w:t>Organizations</w:t>
      </w:r>
      <w:r w:rsidRPr="00E61E84">
        <w:rPr>
          <w:rFonts w:asciiTheme="minorHAnsi" w:hAnsiTheme="minorHAnsi" w:cstheme="minorBidi"/>
          <w:sz w:val="24"/>
          <w:szCs w:val="24"/>
        </w:rPr>
        <w:t xml:space="preserve"> are allowed to certify at </w:t>
      </w:r>
      <w:proofErr w:type="spellStart"/>
      <w:r w:rsidRPr="00E61E84">
        <w:rPr>
          <w:rFonts w:asciiTheme="minorHAnsi" w:hAnsiTheme="minorHAnsi" w:cstheme="minorBidi"/>
          <w:sz w:val="24"/>
          <w:szCs w:val="24"/>
        </w:rPr>
        <w:t>anytime</w:t>
      </w:r>
      <w:proofErr w:type="spellEnd"/>
      <w:r w:rsidRPr="00E61E84">
        <w:rPr>
          <w:rFonts w:asciiTheme="minorHAnsi" w:hAnsiTheme="minorHAnsi" w:cstheme="minorBidi"/>
          <w:sz w:val="24"/>
          <w:szCs w:val="24"/>
        </w:rPr>
        <w:t xml:space="preserve"> throughout the year, they must be certified (again) prior to each commitment of CHDO Set-aside </w:t>
      </w:r>
      <w:r w:rsidR="36C8D4D0" w:rsidRPr="00E61E84">
        <w:rPr>
          <w:rFonts w:asciiTheme="minorHAnsi" w:hAnsiTheme="minorHAnsi" w:cstheme="minorBidi"/>
          <w:sz w:val="24"/>
          <w:szCs w:val="24"/>
        </w:rPr>
        <w:t>F</w:t>
      </w:r>
      <w:r w:rsidR="7B270814" w:rsidRPr="00E61E84">
        <w:rPr>
          <w:rFonts w:asciiTheme="minorHAnsi" w:hAnsiTheme="minorHAnsi" w:cstheme="minorBidi"/>
          <w:sz w:val="24"/>
          <w:szCs w:val="24"/>
        </w:rPr>
        <w:t>unds.</w:t>
      </w:r>
      <w:r w:rsidRPr="00E61E84">
        <w:rPr>
          <w:rFonts w:asciiTheme="minorHAnsi" w:hAnsiTheme="minorHAnsi" w:cstheme="minorBidi"/>
          <w:sz w:val="24"/>
          <w:szCs w:val="24"/>
        </w:rPr>
        <w:t xml:space="preserve"> The certification process includes</w:t>
      </w:r>
      <w:r w:rsidR="00F55976">
        <w:rPr>
          <w:rFonts w:asciiTheme="minorHAnsi" w:hAnsiTheme="minorHAnsi" w:cstheme="minorBidi"/>
          <w:sz w:val="24"/>
          <w:szCs w:val="24"/>
        </w:rPr>
        <w:t xml:space="preserve"> </w:t>
      </w:r>
      <w:r w:rsidRPr="00F55976">
        <w:rPr>
          <w:rFonts w:asciiTheme="minorHAnsi" w:hAnsiTheme="minorHAnsi" w:cstheme="minorBidi"/>
          <w:sz w:val="24"/>
          <w:szCs w:val="24"/>
        </w:rPr>
        <w:t>the submission of</w:t>
      </w:r>
      <w:r w:rsidR="00F55976">
        <w:rPr>
          <w:rFonts w:asciiTheme="minorHAnsi" w:hAnsiTheme="minorHAnsi" w:cstheme="minorBidi"/>
          <w:sz w:val="24"/>
          <w:szCs w:val="24"/>
        </w:rPr>
        <w:t>:</w:t>
      </w:r>
      <w:r w:rsidRPr="00F55976">
        <w:rPr>
          <w:rFonts w:asciiTheme="minorHAnsi" w:hAnsiTheme="minorHAnsi" w:cstheme="minorBidi"/>
          <w:sz w:val="24"/>
          <w:szCs w:val="24"/>
        </w:rPr>
        <w:t xml:space="preserve"> </w:t>
      </w:r>
    </w:p>
    <w:p w14:paraId="3C67EC41" w14:textId="0FD33E30" w:rsidR="00F55976" w:rsidRDefault="00F55976" w:rsidP="00F55976">
      <w:pPr>
        <w:pStyle w:val="ListParagraph"/>
        <w:numPr>
          <w:ilvl w:val="0"/>
          <w:numId w:val="30"/>
        </w:numPr>
        <w:spacing w:after="160" w:line="259" w:lineRule="auto"/>
        <w:jc w:val="both"/>
        <w:rPr>
          <w:rFonts w:asciiTheme="minorHAnsi" w:hAnsiTheme="minorHAnsi" w:cstheme="minorBidi"/>
          <w:sz w:val="24"/>
          <w:szCs w:val="24"/>
        </w:rPr>
      </w:pPr>
      <w:r>
        <w:rPr>
          <w:rFonts w:asciiTheme="minorHAnsi" w:hAnsiTheme="minorHAnsi" w:cstheme="minorBidi"/>
          <w:sz w:val="24"/>
          <w:szCs w:val="24"/>
        </w:rPr>
        <w:t>I</w:t>
      </w:r>
      <w:r w:rsidR="009A2C2E" w:rsidRPr="00F55976">
        <w:rPr>
          <w:rFonts w:asciiTheme="minorHAnsi" w:hAnsiTheme="minorHAnsi" w:cstheme="minorBidi"/>
          <w:sz w:val="24"/>
          <w:szCs w:val="24"/>
        </w:rPr>
        <w:t xml:space="preserve">ndividual board member certifications (to determine low-income/public sector status), </w:t>
      </w:r>
    </w:p>
    <w:p w14:paraId="0896FA47" w14:textId="12E80D28" w:rsidR="00F55976" w:rsidRDefault="00F55976" w:rsidP="00F55976">
      <w:pPr>
        <w:pStyle w:val="ListParagraph"/>
        <w:numPr>
          <w:ilvl w:val="0"/>
          <w:numId w:val="30"/>
        </w:numPr>
        <w:spacing w:after="160" w:line="259" w:lineRule="auto"/>
        <w:jc w:val="both"/>
        <w:rPr>
          <w:rFonts w:asciiTheme="minorHAnsi" w:hAnsiTheme="minorHAnsi" w:cstheme="minorBidi"/>
          <w:sz w:val="24"/>
          <w:szCs w:val="24"/>
        </w:rPr>
      </w:pPr>
      <w:r>
        <w:rPr>
          <w:rFonts w:asciiTheme="minorHAnsi" w:hAnsiTheme="minorHAnsi" w:cstheme="minorBidi"/>
          <w:sz w:val="24"/>
          <w:szCs w:val="24"/>
        </w:rPr>
        <w:t>C</w:t>
      </w:r>
      <w:r w:rsidR="009A2C2E" w:rsidRPr="00F55976">
        <w:rPr>
          <w:rFonts w:asciiTheme="minorHAnsi" w:hAnsiTheme="minorHAnsi" w:cstheme="minorBidi"/>
          <w:sz w:val="24"/>
          <w:szCs w:val="24"/>
        </w:rPr>
        <w:t xml:space="preserve">urrent By-laws, </w:t>
      </w:r>
    </w:p>
    <w:p w14:paraId="1C61B322" w14:textId="77777777" w:rsidR="00F55976" w:rsidRDefault="009A2C2E" w:rsidP="00F55976">
      <w:pPr>
        <w:pStyle w:val="ListParagraph"/>
        <w:numPr>
          <w:ilvl w:val="0"/>
          <w:numId w:val="30"/>
        </w:numPr>
        <w:spacing w:after="160" w:line="259" w:lineRule="auto"/>
        <w:jc w:val="both"/>
        <w:rPr>
          <w:rFonts w:asciiTheme="minorHAnsi" w:hAnsiTheme="minorHAnsi" w:cstheme="minorBidi"/>
          <w:sz w:val="24"/>
          <w:szCs w:val="24"/>
        </w:rPr>
      </w:pPr>
      <w:r w:rsidRPr="00F55976">
        <w:rPr>
          <w:rFonts w:asciiTheme="minorHAnsi" w:hAnsiTheme="minorHAnsi" w:cstheme="minorBidi"/>
          <w:sz w:val="24"/>
          <w:szCs w:val="24"/>
        </w:rPr>
        <w:t>Articles of Incorporation</w:t>
      </w:r>
    </w:p>
    <w:p w14:paraId="77B49423" w14:textId="77777777" w:rsidR="00F55976" w:rsidRDefault="00F55976" w:rsidP="00F55976">
      <w:pPr>
        <w:pStyle w:val="ListParagraph"/>
        <w:numPr>
          <w:ilvl w:val="0"/>
          <w:numId w:val="30"/>
        </w:numPr>
        <w:spacing w:after="160" w:line="259" w:lineRule="auto"/>
        <w:jc w:val="both"/>
        <w:rPr>
          <w:rFonts w:asciiTheme="minorHAnsi" w:hAnsiTheme="minorHAnsi" w:cstheme="minorBidi"/>
          <w:sz w:val="24"/>
          <w:szCs w:val="24"/>
        </w:rPr>
      </w:pPr>
      <w:r>
        <w:rPr>
          <w:rFonts w:asciiTheme="minorHAnsi" w:hAnsiTheme="minorHAnsi" w:cstheme="minorBidi"/>
          <w:sz w:val="24"/>
          <w:szCs w:val="24"/>
        </w:rPr>
        <w:t>E</w:t>
      </w:r>
      <w:r w:rsidR="009A2C2E" w:rsidRPr="00F55976">
        <w:rPr>
          <w:rFonts w:asciiTheme="minorHAnsi" w:hAnsiTheme="minorHAnsi" w:cstheme="minorBidi"/>
          <w:sz w:val="24"/>
          <w:szCs w:val="24"/>
        </w:rPr>
        <w:t>vidence of legal status</w:t>
      </w:r>
    </w:p>
    <w:p w14:paraId="4107B6F0" w14:textId="7D6FF969" w:rsidR="008B48CD" w:rsidRDefault="008B48CD" w:rsidP="00F55976">
      <w:pPr>
        <w:pStyle w:val="ListParagraph"/>
        <w:numPr>
          <w:ilvl w:val="0"/>
          <w:numId w:val="30"/>
        </w:numPr>
        <w:spacing w:after="160" w:line="259" w:lineRule="auto"/>
        <w:jc w:val="both"/>
        <w:rPr>
          <w:rFonts w:asciiTheme="minorHAnsi" w:hAnsiTheme="minorHAnsi" w:cstheme="minorBidi"/>
          <w:sz w:val="24"/>
          <w:szCs w:val="24"/>
        </w:rPr>
      </w:pPr>
      <w:r>
        <w:rPr>
          <w:rFonts w:asciiTheme="minorHAnsi" w:hAnsiTheme="minorHAnsi" w:cstheme="minorBidi"/>
          <w:sz w:val="24"/>
          <w:szCs w:val="24"/>
        </w:rPr>
        <w:t>Description of c</w:t>
      </w:r>
      <w:r w:rsidR="009A2C2E" w:rsidRPr="00F55976">
        <w:rPr>
          <w:rFonts w:asciiTheme="minorHAnsi" w:hAnsiTheme="minorHAnsi" w:cstheme="minorBidi"/>
          <w:sz w:val="24"/>
          <w:szCs w:val="24"/>
        </w:rPr>
        <w:t>urrent formal process to include low-income beneficiaries in the siting, development</w:t>
      </w:r>
      <w:r w:rsidR="0017433B">
        <w:rPr>
          <w:rFonts w:asciiTheme="minorHAnsi" w:hAnsiTheme="minorHAnsi" w:cstheme="minorBidi"/>
          <w:sz w:val="24"/>
          <w:szCs w:val="24"/>
        </w:rPr>
        <w:t>,</w:t>
      </w:r>
      <w:r w:rsidR="009A2C2E" w:rsidRPr="00F55976">
        <w:rPr>
          <w:rFonts w:asciiTheme="minorHAnsi" w:hAnsiTheme="minorHAnsi" w:cstheme="minorBidi"/>
          <w:sz w:val="24"/>
          <w:szCs w:val="24"/>
        </w:rPr>
        <w:t xml:space="preserve"> and management of affordable housing,</w:t>
      </w:r>
    </w:p>
    <w:p w14:paraId="6B916E17" w14:textId="77777777" w:rsidR="008B48CD" w:rsidRDefault="008B48CD" w:rsidP="00F55976">
      <w:pPr>
        <w:pStyle w:val="ListParagraph"/>
        <w:numPr>
          <w:ilvl w:val="0"/>
          <w:numId w:val="30"/>
        </w:numPr>
        <w:spacing w:after="160" w:line="259" w:lineRule="auto"/>
        <w:jc w:val="both"/>
        <w:rPr>
          <w:rFonts w:asciiTheme="minorHAnsi" w:hAnsiTheme="minorHAnsi" w:cstheme="minorBidi"/>
          <w:sz w:val="24"/>
          <w:szCs w:val="24"/>
        </w:rPr>
      </w:pPr>
      <w:r>
        <w:rPr>
          <w:rFonts w:asciiTheme="minorHAnsi" w:hAnsiTheme="minorHAnsi" w:cstheme="minorBidi"/>
          <w:sz w:val="24"/>
          <w:szCs w:val="24"/>
        </w:rPr>
        <w:t>R</w:t>
      </w:r>
      <w:r w:rsidR="009A2C2E" w:rsidRPr="00F55976">
        <w:rPr>
          <w:rFonts w:asciiTheme="minorHAnsi" w:hAnsiTheme="minorHAnsi" w:cstheme="minorBidi"/>
          <w:sz w:val="24"/>
          <w:szCs w:val="24"/>
        </w:rPr>
        <w:t>esumes of all CHDO staff</w:t>
      </w:r>
      <w:r>
        <w:rPr>
          <w:rFonts w:asciiTheme="minorHAnsi" w:hAnsiTheme="minorHAnsi" w:cstheme="minorBidi"/>
          <w:sz w:val="24"/>
          <w:szCs w:val="24"/>
        </w:rPr>
        <w:t xml:space="preserve"> </w:t>
      </w:r>
      <w:r w:rsidR="009A2C2E" w:rsidRPr="00F55976">
        <w:rPr>
          <w:rFonts w:asciiTheme="minorHAnsi" w:hAnsiTheme="minorHAnsi" w:cstheme="minorBidi"/>
          <w:sz w:val="24"/>
          <w:szCs w:val="24"/>
        </w:rPr>
        <w:t>(including development staff for capacity)</w:t>
      </w:r>
    </w:p>
    <w:p w14:paraId="5E729CAD" w14:textId="77777777" w:rsidR="008B48CD" w:rsidRDefault="008B48CD" w:rsidP="00F55976">
      <w:pPr>
        <w:pStyle w:val="ListParagraph"/>
        <w:numPr>
          <w:ilvl w:val="0"/>
          <w:numId w:val="30"/>
        </w:numPr>
        <w:spacing w:after="160" w:line="259" w:lineRule="auto"/>
        <w:jc w:val="both"/>
        <w:rPr>
          <w:rFonts w:asciiTheme="minorHAnsi" w:hAnsiTheme="minorHAnsi" w:cstheme="minorBidi"/>
          <w:sz w:val="24"/>
          <w:szCs w:val="24"/>
        </w:rPr>
      </w:pPr>
      <w:r>
        <w:rPr>
          <w:rFonts w:asciiTheme="minorHAnsi" w:hAnsiTheme="minorHAnsi" w:cstheme="minorBidi"/>
          <w:sz w:val="24"/>
          <w:szCs w:val="24"/>
        </w:rPr>
        <w:lastRenderedPageBreak/>
        <w:t>T</w:t>
      </w:r>
      <w:r w:rsidR="009A2C2E" w:rsidRPr="00F55976">
        <w:rPr>
          <w:rFonts w:asciiTheme="minorHAnsi" w:hAnsiTheme="minorHAnsi" w:cstheme="minorBidi"/>
          <w:sz w:val="24"/>
          <w:szCs w:val="24"/>
        </w:rPr>
        <w:t>he most current financial statement</w:t>
      </w:r>
    </w:p>
    <w:p w14:paraId="25010DF9" w14:textId="77777777" w:rsidR="008B48CD" w:rsidRDefault="008B48CD" w:rsidP="00F55976">
      <w:pPr>
        <w:pStyle w:val="ListParagraph"/>
        <w:numPr>
          <w:ilvl w:val="0"/>
          <w:numId w:val="30"/>
        </w:numPr>
        <w:spacing w:after="160" w:line="259" w:lineRule="auto"/>
        <w:jc w:val="both"/>
        <w:rPr>
          <w:rFonts w:asciiTheme="minorHAnsi" w:hAnsiTheme="minorHAnsi" w:cstheme="minorBidi"/>
          <w:sz w:val="24"/>
          <w:szCs w:val="24"/>
        </w:rPr>
      </w:pPr>
      <w:r>
        <w:rPr>
          <w:rFonts w:asciiTheme="minorHAnsi" w:hAnsiTheme="minorHAnsi" w:cstheme="minorBidi"/>
          <w:sz w:val="24"/>
          <w:szCs w:val="24"/>
        </w:rPr>
        <w:t>C</w:t>
      </w:r>
      <w:r w:rsidR="0066278A" w:rsidRPr="00F55976">
        <w:rPr>
          <w:rFonts w:asciiTheme="minorHAnsi" w:hAnsiTheme="minorHAnsi" w:cstheme="minorBidi"/>
          <w:sz w:val="24"/>
          <w:szCs w:val="24"/>
        </w:rPr>
        <w:t>onflicts of interest</w:t>
      </w:r>
      <w:r>
        <w:rPr>
          <w:rFonts w:asciiTheme="minorHAnsi" w:hAnsiTheme="minorHAnsi" w:cstheme="minorBidi"/>
          <w:sz w:val="24"/>
          <w:szCs w:val="24"/>
        </w:rPr>
        <w:t xml:space="preserve"> policies </w:t>
      </w:r>
      <w:r w:rsidR="009A2C2E" w:rsidRPr="00F55976">
        <w:rPr>
          <w:rFonts w:asciiTheme="minorHAnsi" w:hAnsiTheme="minorHAnsi" w:cstheme="minorBidi"/>
          <w:sz w:val="24"/>
          <w:szCs w:val="24"/>
        </w:rPr>
        <w:t xml:space="preserve">and </w:t>
      </w:r>
    </w:p>
    <w:p w14:paraId="597702AD" w14:textId="5B7C32BC" w:rsidR="009A2C2E" w:rsidRPr="00F55976" w:rsidRDefault="008B48CD" w:rsidP="00F55976">
      <w:pPr>
        <w:pStyle w:val="ListParagraph"/>
        <w:numPr>
          <w:ilvl w:val="0"/>
          <w:numId w:val="30"/>
        </w:numPr>
        <w:spacing w:after="160" w:line="259" w:lineRule="auto"/>
        <w:jc w:val="both"/>
        <w:rPr>
          <w:rFonts w:asciiTheme="minorHAnsi" w:hAnsiTheme="minorHAnsi" w:cstheme="minorBidi"/>
          <w:sz w:val="24"/>
          <w:szCs w:val="24"/>
        </w:rPr>
      </w:pPr>
      <w:r>
        <w:rPr>
          <w:rFonts w:asciiTheme="minorHAnsi" w:hAnsiTheme="minorHAnsi" w:cstheme="minorBidi"/>
          <w:sz w:val="24"/>
          <w:szCs w:val="24"/>
        </w:rPr>
        <w:t>E</w:t>
      </w:r>
      <w:r w:rsidR="009A2C2E" w:rsidRPr="00F55976">
        <w:rPr>
          <w:rFonts w:asciiTheme="minorHAnsi" w:hAnsiTheme="minorHAnsi" w:cstheme="minorBidi"/>
          <w:sz w:val="24"/>
          <w:szCs w:val="24"/>
        </w:rPr>
        <w:t xml:space="preserve">vidence of adherence to HOME's Financial Management Standards. </w:t>
      </w:r>
    </w:p>
    <w:p w14:paraId="45AE925F" w14:textId="6861330C" w:rsidR="009A2C2E" w:rsidRPr="00E61E84" w:rsidRDefault="7B270814" w:rsidP="00E61E84">
      <w:pPr>
        <w:pStyle w:val="Normal1"/>
        <w:jc w:val="both"/>
        <w:rPr>
          <w:sz w:val="24"/>
        </w:rPr>
      </w:pPr>
      <w:r w:rsidRPr="00E61E84">
        <w:rPr>
          <w:sz w:val="24"/>
        </w:rPr>
        <w:t>E</w:t>
      </w:r>
      <w:r w:rsidR="2E7B0674" w:rsidRPr="00E61E84">
        <w:rPr>
          <w:sz w:val="24"/>
        </w:rPr>
        <w:t xml:space="preserve">mergency </w:t>
      </w:r>
      <w:r w:rsidRPr="00E61E84">
        <w:rPr>
          <w:sz w:val="24"/>
        </w:rPr>
        <w:t>S</w:t>
      </w:r>
      <w:r w:rsidR="74418C73" w:rsidRPr="00E61E84">
        <w:rPr>
          <w:sz w:val="24"/>
        </w:rPr>
        <w:t xml:space="preserve">olutions </w:t>
      </w:r>
      <w:r w:rsidRPr="00E61E84">
        <w:rPr>
          <w:sz w:val="24"/>
        </w:rPr>
        <w:t>G</w:t>
      </w:r>
      <w:r w:rsidR="3F5FDA98" w:rsidRPr="00E61E84">
        <w:rPr>
          <w:sz w:val="24"/>
        </w:rPr>
        <w:t>rant (</w:t>
      </w:r>
      <w:r w:rsidR="009A2C2E" w:rsidRPr="00E61E84">
        <w:rPr>
          <w:sz w:val="24"/>
        </w:rPr>
        <w:t>ESG</w:t>
      </w:r>
      <w:r w:rsidR="3F5FDA98" w:rsidRPr="00E61E84">
        <w:rPr>
          <w:sz w:val="24"/>
        </w:rPr>
        <w:t>)</w:t>
      </w:r>
      <w:r w:rsidR="009A2C2E" w:rsidRPr="00E61E84">
        <w:rPr>
          <w:sz w:val="24"/>
        </w:rPr>
        <w:t xml:space="preserve"> Program Monitoring</w:t>
      </w:r>
    </w:p>
    <w:p w14:paraId="55321316" w14:textId="7F32712E" w:rsidR="009A2C2E" w:rsidRPr="00E61E84" w:rsidRDefault="009A2C2E" w:rsidP="00E61E84">
      <w:pPr>
        <w:widowControl w:val="0"/>
        <w:spacing w:before="31"/>
        <w:ind w:right="137"/>
        <w:jc w:val="both"/>
        <w:rPr>
          <w:rFonts w:cs="Calibri"/>
          <w:sz w:val="24"/>
          <w:szCs w:val="24"/>
        </w:rPr>
      </w:pPr>
      <w:r w:rsidRPr="00E61E84">
        <w:rPr>
          <w:rFonts w:cs="Calibri"/>
          <w:sz w:val="24"/>
          <w:szCs w:val="24"/>
        </w:rPr>
        <w:t xml:space="preserve">Multiple forms of </w:t>
      </w:r>
      <w:r w:rsidR="0F6FE764" w:rsidRPr="00E61E84">
        <w:rPr>
          <w:rFonts w:cs="Calibri"/>
          <w:sz w:val="24"/>
          <w:szCs w:val="24"/>
        </w:rPr>
        <w:t xml:space="preserve">ESG </w:t>
      </w:r>
      <w:r w:rsidRPr="00E61E84">
        <w:rPr>
          <w:rFonts w:cs="Calibri"/>
          <w:sz w:val="24"/>
          <w:szCs w:val="24"/>
        </w:rPr>
        <w:t xml:space="preserve">monitoring </w:t>
      </w:r>
      <w:proofErr w:type="gramStart"/>
      <w:r w:rsidRPr="00E61E84">
        <w:rPr>
          <w:rFonts w:cs="Calibri"/>
          <w:sz w:val="24"/>
          <w:szCs w:val="24"/>
        </w:rPr>
        <w:t>exist:</w:t>
      </w:r>
      <w:proofErr w:type="gramEnd"/>
      <w:r w:rsidRPr="00E61E84">
        <w:rPr>
          <w:rFonts w:cs="Calibri"/>
          <w:sz w:val="24"/>
          <w:szCs w:val="24"/>
        </w:rPr>
        <w:t xml:space="preserve"> project, performance, and HMIS/CMIS. Project compliance will be carried out by the Collaborative Applicant. Performance compliance will be enforced by </w:t>
      </w:r>
      <w:r w:rsidR="122F8B98" w:rsidRPr="00E61E84">
        <w:rPr>
          <w:rFonts w:cs="Calibri"/>
          <w:sz w:val="24"/>
          <w:szCs w:val="24"/>
        </w:rPr>
        <w:t>the Balance of State (BoS) Continuum of Care (</w:t>
      </w:r>
      <w:r w:rsidRPr="00E61E84">
        <w:rPr>
          <w:rFonts w:cs="Calibri"/>
          <w:sz w:val="24"/>
          <w:szCs w:val="24"/>
        </w:rPr>
        <w:t>CoC</w:t>
      </w:r>
      <w:r w:rsidR="19410CAD" w:rsidRPr="00E61E84">
        <w:rPr>
          <w:rFonts w:cs="Calibri"/>
          <w:sz w:val="24"/>
          <w:szCs w:val="24"/>
        </w:rPr>
        <w:t>)</w:t>
      </w:r>
      <w:r w:rsidRPr="00E61E84">
        <w:rPr>
          <w:rFonts w:cs="Calibri"/>
          <w:sz w:val="24"/>
          <w:szCs w:val="24"/>
        </w:rPr>
        <w:t xml:space="preserve"> committees and the Collaborative Applicant. HMIS/CMIS compliance will be conducted and enforced by the HMIS Lead Agency</w:t>
      </w:r>
      <w:r w:rsidR="7AB61765" w:rsidRPr="00E61E84">
        <w:rPr>
          <w:rFonts w:cs="Calibri"/>
          <w:sz w:val="24"/>
          <w:szCs w:val="24"/>
        </w:rPr>
        <w:t>, which is also IHFA</w:t>
      </w:r>
      <w:r w:rsidRPr="00E61E84">
        <w:rPr>
          <w:rFonts w:cs="Calibri"/>
          <w:sz w:val="24"/>
          <w:szCs w:val="24"/>
        </w:rPr>
        <w:t>.</w:t>
      </w:r>
    </w:p>
    <w:p w14:paraId="7D132541" w14:textId="680C4770" w:rsidR="009A2C2E" w:rsidRPr="00E61E84" w:rsidRDefault="009A2C2E" w:rsidP="00E61E84">
      <w:pPr>
        <w:widowControl w:val="0"/>
        <w:spacing w:before="31"/>
        <w:ind w:right="137"/>
        <w:jc w:val="both"/>
        <w:rPr>
          <w:rFonts w:cs="Calibri"/>
          <w:sz w:val="24"/>
          <w:szCs w:val="24"/>
        </w:rPr>
      </w:pPr>
      <w:r w:rsidRPr="00E61E84">
        <w:rPr>
          <w:rFonts w:cs="Calibri"/>
          <w:sz w:val="24"/>
          <w:szCs w:val="24"/>
        </w:rPr>
        <w:t xml:space="preserve">In executing project compliance, the Collaborative Applicant will establish and maintain standard procedures for ensuring that CoC and ESG Program funds are used in accordance with federal </w:t>
      </w:r>
      <w:proofErr w:type="gramStart"/>
      <w:r w:rsidRPr="00E61E84">
        <w:rPr>
          <w:rFonts w:cs="Calibri"/>
          <w:sz w:val="24"/>
          <w:szCs w:val="24"/>
        </w:rPr>
        <w:t>requirements, and</w:t>
      </w:r>
      <w:proofErr w:type="gramEnd"/>
      <w:r w:rsidRPr="00E61E84">
        <w:rPr>
          <w:rFonts w:cs="Calibri"/>
          <w:sz w:val="24"/>
          <w:szCs w:val="24"/>
        </w:rPr>
        <w:t xml:space="preserve"> will establish and maintain sufficient records to enable the U.S. Department of Housing and Urban Development (HUD) to determine whether subrecipients are meeting the requirements of 2 CFR 200.</w:t>
      </w:r>
    </w:p>
    <w:p w14:paraId="62892EE4" w14:textId="4D635B02" w:rsidR="009A2C2E" w:rsidRPr="00E61E84" w:rsidRDefault="009A2C2E" w:rsidP="00E61E84">
      <w:pPr>
        <w:widowControl w:val="0"/>
        <w:spacing w:before="31"/>
        <w:ind w:right="137"/>
        <w:jc w:val="both"/>
        <w:rPr>
          <w:rFonts w:cs="Calibri"/>
          <w:sz w:val="24"/>
          <w:szCs w:val="24"/>
        </w:rPr>
      </w:pPr>
      <w:r w:rsidRPr="00E61E84">
        <w:rPr>
          <w:rFonts w:cs="Calibri"/>
          <w:sz w:val="24"/>
          <w:szCs w:val="24"/>
        </w:rPr>
        <w:t>CoC and ESG Program monitoring activities will include financial</w:t>
      </w:r>
      <w:r w:rsidR="70E7DDE1" w:rsidRPr="00E61E84">
        <w:rPr>
          <w:rFonts w:cs="Calibri"/>
          <w:sz w:val="24"/>
          <w:szCs w:val="24"/>
        </w:rPr>
        <w:t>,</w:t>
      </w:r>
      <w:r w:rsidRPr="00E61E84">
        <w:rPr>
          <w:rFonts w:cs="Calibri"/>
          <w:sz w:val="24"/>
          <w:szCs w:val="24"/>
        </w:rPr>
        <w:t xml:space="preserve"> and project compliance outlined in 2 CFR 200 and identified in this policy and the supporting CoC and ESG Project Monitoring Checklists.</w:t>
      </w:r>
    </w:p>
    <w:p w14:paraId="43D8B978" w14:textId="0AD0BD99" w:rsidR="009A2C2E" w:rsidRPr="00E61E84" w:rsidRDefault="009A2C2E" w:rsidP="00E61E84">
      <w:pPr>
        <w:widowControl w:val="0"/>
        <w:spacing w:before="31"/>
        <w:ind w:right="137"/>
        <w:jc w:val="both"/>
        <w:rPr>
          <w:rFonts w:cs="Calibri"/>
          <w:sz w:val="24"/>
          <w:szCs w:val="24"/>
        </w:rPr>
      </w:pPr>
      <w:r w:rsidRPr="00E61E84">
        <w:rPr>
          <w:rFonts w:cs="Calibri"/>
          <w:sz w:val="24"/>
          <w:szCs w:val="24"/>
        </w:rPr>
        <w:t>HUD maintains responsibility for monitoring all CoC and ESG recipients, including monitoring a sample of subrecipients when a recipient is selected for HUD program monitoring. Noncompliance with HUD</w:t>
      </w:r>
      <w:r w:rsidR="456A22B3" w:rsidRPr="00E61E84">
        <w:rPr>
          <w:rFonts w:cs="Calibri"/>
          <w:sz w:val="24"/>
          <w:szCs w:val="24"/>
        </w:rPr>
        <w:t>,</w:t>
      </w:r>
      <w:r w:rsidRPr="00E61E84">
        <w:rPr>
          <w:rFonts w:cs="Calibri"/>
          <w:sz w:val="24"/>
          <w:szCs w:val="24"/>
        </w:rPr>
        <w:t xml:space="preserve"> and local regulation</w:t>
      </w:r>
      <w:r w:rsidR="3C4338F9" w:rsidRPr="00E61E84">
        <w:rPr>
          <w:rFonts w:cs="Calibri"/>
          <w:sz w:val="24"/>
          <w:szCs w:val="24"/>
        </w:rPr>
        <w:t>,</w:t>
      </w:r>
      <w:r w:rsidRPr="00E61E84">
        <w:rPr>
          <w:rFonts w:cs="Calibri"/>
          <w:sz w:val="24"/>
          <w:szCs w:val="24"/>
        </w:rPr>
        <w:t xml:space="preserve"> and policy may result in the full or partial defunding of a grant, required technical assistance and/or training, required transfer of the grant to a new subrecipient, or a variation of the remedies herein.</w:t>
      </w:r>
    </w:p>
    <w:p w14:paraId="6C5005DC" w14:textId="293F544E" w:rsidR="009A2C2E" w:rsidRPr="00E61E84" w:rsidRDefault="009A2C2E" w:rsidP="00E61E84">
      <w:pPr>
        <w:widowControl w:val="0"/>
        <w:spacing w:before="31"/>
        <w:ind w:right="137"/>
        <w:jc w:val="both"/>
        <w:rPr>
          <w:rFonts w:cs="Calibri"/>
          <w:sz w:val="24"/>
          <w:szCs w:val="24"/>
        </w:rPr>
      </w:pPr>
      <w:r w:rsidRPr="00E61E84">
        <w:rPr>
          <w:rFonts w:cs="Calibri"/>
          <w:sz w:val="24"/>
          <w:szCs w:val="24"/>
        </w:rPr>
        <w:t xml:space="preserve">Performance compliance will be carried out by the Strategic Planning Committee, </w:t>
      </w:r>
      <w:r w:rsidR="70D38A54" w:rsidRPr="00E61E84">
        <w:rPr>
          <w:rFonts w:cs="Calibri"/>
          <w:sz w:val="24"/>
          <w:szCs w:val="24"/>
        </w:rPr>
        <w:t xml:space="preserve">in conjunction with BoS CoC committees, </w:t>
      </w:r>
      <w:r w:rsidRPr="00E61E84">
        <w:rPr>
          <w:rFonts w:cs="Calibri"/>
          <w:sz w:val="24"/>
          <w:szCs w:val="24"/>
        </w:rPr>
        <w:t>with support from the HMIS Lead Agency</w:t>
      </w:r>
      <w:r w:rsidR="22DCCE51" w:rsidRPr="00E61E84">
        <w:rPr>
          <w:rFonts w:cs="Calibri"/>
          <w:sz w:val="24"/>
          <w:szCs w:val="24"/>
        </w:rPr>
        <w:t>.</w:t>
      </w:r>
      <w:r w:rsidRPr="00E61E84">
        <w:rPr>
          <w:rFonts w:cs="Calibri"/>
          <w:sz w:val="24"/>
          <w:szCs w:val="24"/>
        </w:rPr>
        <w:t xml:space="preserve"> Performance includes adherence to system performance, data quality, and data completeness measures or standards. Any defunding or reassigning of grant activities must be approved by the </w:t>
      </w:r>
      <w:r w:rsidR="30DBFEEE" w:rsidRPr="00E61E84">
        <w:rPr>
          <w:rFonts w:cs="Calibri"/>
          <w:sz w:val="24"/>
          <w:szCs w:val="24"/>
        </w:rPr>
        <w:t xml:space="preserve">BoS </w:t>
      </w:r>
      <w:r w:rsidR="3CD7B941" w:rsidRPr="00E61E84">
        <w:rPr>
          <w:rFonts w:cs="Calibri"/>
          <w:sz w:val="24"/>
          <w:szCs w:val="24"/>
        </w:rPr>
        <w:t>CoC</w:t>
      </w:r>
      <w:r w:rsidR="0FF116E8" w:rsidRPr="00E61E84">
        <w:rPr>
          <w:rFonts w:cs="Calibri"/>
          <w:sz w:val="24"/>
          <w:szCs w:val="24"/>
        </w:rPr>
        <w:t>’s</w:t>
      </w:r>
      <w:r w:rsidRPr="00E61E84">
        <w:rPr>
          <w:rFonts w:cs="Calibri"/>
          <w:sz w:val="24"/>
          <w:szCs w:val="24"/>
        </w:rPr>
        <w:t xml:space="preserve"> Board. Additional detail regarding this process is included in </w:t>
      </w:r>
      <w:r w:rsidR="0E1C90D6" w:rsidRPr="00E61E84">
        <w:rPr>
          <w:rFonts w:cs="Calibri"/>
          <w:sz w:val="24"/>
          <w:szCs w:val="24"/>
        </w:rPr>
        <w:t>the BoS Written Standards under</w:t>
      </w:r>
      <w:r w:rsidRPr="00E61E84">
        <w:rPr>
          <w:rFonts w:cs="Calibri"/>
          <w:sz w:val="24"/>
          <w:szCs w:val="24"/>
        </w:rPr>
        <w:t xml:space="preserve"> Systemwide Performance Measures. </w:t>
      </w:r>
    </w:p>
    <w:p w14:paraId="54FDBDE2" w14:textId="1FE145AB" w:rsidR="009A2C2E" w:rsidRPr="00E61E84" w:rsidRDefault="794ECED9" w:rsidP="00E61E84">
      <w:pPr>
        <w:widowControl w:val="0"/>
        <w:spacing w:before="31"/>
        <w:ind w:right="137"/>
        <w:jc w:val="both"/>
        <w:rPr>
          <w:rFonts w:cs="Calibri"/>
          <w:sz w:val="24"/>
          <w:szCs w:val="24"/>
        </w:rPr>
      </w:pPr>
      <w:r w:rsidRPr="00E61E84">
        <w:rPr>
          <w:rFonts w:cs="Calibri"/>
          <w:sz w:val="24"/>
          <w:szCs w:val="24"/>
        </w:rPr>
        <w:t>E</w:t>
      </w:r>
      <w:r w:rsidR="7B270814" w:rsidRPr="00E61E84">
        <w:rPr>
          <w:rFonts w:cs="Calibri"/>
          <w:sz w:val="24"/>
          <w:szCs w:val="24"/>
        </w:rPr>
        <w:t>xecution</w:t>
      </w:r>
      <w:r w:rsidR="009A2C2E" w:rsidRPr="00E61E84">
        <w:rPr>
          <w:rFonts w:cs="Calibri"/>
          <w:sz w:val="24"/>
          <w:szCs w:val="24"/>
        </w:rPr>
        <w:t xml:space="preserve"> of HMIS/CMIS monitoring will be completed by the HMIS Lead Agency. All HMIS/CMIS users and HMIS/CMIS-participating agencies will be monitored at least annually. All agencies required to participate in HMIS or CMIS through CoC or ESG</w:t>
      </w:r>
      <w:r w:rsidR="7B270814" w:rsidRPr="00E61E84">
        <w:rPr>
          <w:rFonts w:cs="Calibri"/>
          <w:sz w:val="24"/>
          <w:szCs w:val="24"/>
        </w:rPr>
        <w:t xml:space="preserve"> </w:t>
      </w:r>
      <w:r w:rsidR="47A3AAE8" w:rsidRPr="00E61E84">
        <w:rPr>
          <w:rFonts w:cs="Calibri"/>
          <w:sz w:val="24"/>
          <w:szCs w:val="24"/>
        </w:rPr>
        <w:t>grant</w:t>
      </w:r>
      <w:r w:rsidR="009A2C2E" w:rsidRPr="00E61E84">
        <w:rPr>
          <w:rFonts w:cs="Calibri"/>
          <w:sz w:val="24"/>
          <w:szCs w:val="24"/>
        </w:rPr>
        <w:t xml:space="preserve"> awards may experience delays in reimbursement payments from the Collaborative Applicant for failure to comply with HMIS or CMIS collection and reporting standards until such time that the agency </w:t>
      </w:r>
      <w:proofErr w:type="gramStart"/>
      <w:r w:rsidR="009A2C2E" w:rsidRPr="00E61E84">
        <w:rPr>
          <w:rFonts w:cs="Calibri"/>
          <w:sz w:val="24"/>
          <w:szCs w:val="24"/>
        </w:rPr>
        <w:t>is in compliance</w:t>
      </w:r>
      <w:proofErr w:type="gramEnd"/>
      <w:r w:rsidR="009A2C2E" w:rsidRPr="00E61E84">
        <w:rPr>
          <w:rFonts w:cs="Calibri"/>
          <w:sz w:val="24"/>
          <w:szCs w:val="24"/>
        </w:rPr>
        <w:t>.</w:t>
      </w:r>
    </w:p>
    <w:p w14:paraId="256A75C6" w14:textId="77777777" w:rsidR="009A2C2E" w:rsidRPr="00E61E84" w:rsidRDefault="009A2C2E" w:rsidP="00E61E84">
      <w:pPr>
        <w:spacing w:beforeAutospacing="1" w:afterAutospacing="1"/>
        <w:jc w:val="both"/>
        <w:rPr>
          <w:rFonts w:cs="Arial"/>
          <w:iCs/>
          <w:sz w:val="24"/>
          <w:szCs w:val="24"/>
        </w:rPr>
      </w:pPr>
    </w:p>
    <w:p w14:paraId="093294B4" w14:textId="20660D93" w:rsidR="009A2C2E" w:rsidRDefault="009A2C2E" w:rsidP="00F974B3">
      <w:pPr>
        <w:pStyle w:val="Heading1"/>
        <w:pageBreakBefore/>
        <w:rPr>
          <w:rFonts w:ascii="Calibri" w:hAnsi="Calibri"/>
          <w:color w:val="auto"/>
          <w:sz w:val="32"/>
          <w:szCs w:val="32"/>
        </w:rPr>
      </w:pPr>
      <w:r>
        <w:rPr>
          <w:rFonts w:cs="Arial"/>
          <w:i/>
        </w:rPr>
        <w:lastRenderedPageBreak/>
        <w:br w:type="page"/>
      </w:r>
      <w:bookmarkStart w:id="108" w:name="_Toc191358748"/>
      <w:bookmarkStart w:id="109" w:name="_Toc194673871"/>
      <w:r w:rsidRPr="00F974B3">
        <w:lastRenderedPageBreak/>
        <w:t>Expected Resources</w:t>
      </w:r>
      <w:bookmarkEnd w:id="108"/>
      <w:bookmarkEnd w:id="109"/>
    </w:p>
    <w:p w14:paraId="747F80AD" w14:textId="77777777" w:rsidR="009A2C2E" w:rsidRDefault="009A2C2E" w:rsidP="009A2C2E">
      <w:pPr>
        <w:pStyle w:val="Heading2"/>
        <w:rPr>
          <w:rFonts w:ascii="Calibri" w:hAnsi="Calibri"/>
          <w:i/>
        </w:rPr>
      </w:pPr>
      <w:bookmarkStart w:id="110" w:name="_Toc191358749"/>
      <w:bookmarkStart w:id="111" w:name="_Toc194673872"/>
      <w:r>
        <w:rPr>
          <w:rFonts w:ascii="Calibri" w:hAnsi="Calibri"/>
        </w:rPr>
        <w:t>AP-15 Expected Resources – 91.320(c</w:t>
      </w:r>
      <w:proofErr w:type="gramStart"/>
      <w:r>
        <w:rPr>
          <w:rFonts w:ascii="Calibri" w:hAnsi="Calibri"/>
        </w:rPr>
        <w:t>)(</w:t>
      </w:r>
      <w:proofErr w:type="gramEnd"/>
      <w:r>
        <w:rPr>
          <w:rFonts w:ascii="Calibri" w:hAnsi="Calibri"/>
        </w:rPr>
        <w:t>1,2)</w:t>
      </w:r>
      <w:bookmarkEnd w:id="110"/>
      <w:bookmarkEnd w:id="111"/>
    </w:p>
    <w:p w14:paraId="5A785968" w14:textId="77777777" w:rsidR="009A2C2E" w:rsidRDefault="009A2C2E" w:rsidP="009A2C2E">
      <w:pPr>
        <w:keepNext/>
        <w:widowControl w:val="0"/>
        <w:spacing w:line="204" w:lineRule="auto"/>
        <w:rPr>
          <w:b/>
          <w:sz w:val="28"/>
          <w:szCs w:val="28"/>
        </w:rPr>
      </w:pPr>
      <w:r>
        <w:rPr>
          <w:b/>
          <w:sz w:val="24"/>
          <w:szCs w:val="24"/>
        </w:rPr>
        <w:t>Introduction</w:t>
      </w:r>
    </w:p>
    <w:p w14:paraId="54689D36" w14:textId="74C4A032" w:rsidR="003D336B" w:rsidRPr="0017433B" w:rsidRDefault="009A2C2E" w:rsidP="0017433B">
      <w:pPr>
        <w:keepNext/>
        <w:widowControl w:val="0"/>
        <w:spacing w:before="100" w:beforeAutospacing="1" w:after="100" w:afterAutospacing="1"/>
        <w:jc w:val="both"/>
        <w:rPr>
          <w:sz w:val="24"/>
          <w:szCs w:val="24"/>
        </w:rPr>
      </w:pPr>
      <w:r w:rsidRPr="0017433B">
        <w:rPr>
          <w:sz w:val="24"/>
          <w:szCs w:val="24"/>
        </w:rPr>
        <w:t xml:space="preserve">Idaho Housing and Finance Association </w:t>
      </w:r>
      <w:r w:rsidR="6C7136E0" w:rsidRPr="0017433B">
        <w:rPr>
          <w:sz w:val="24"/>
          <w:szCs w:val="24"/>
        </w:rPr>
        <w:t>(IHFA)</w:t>
      </w:r>
      <w:r w:rsidR="7B270814" w:rsidRPr="0017433B">
        <w:rPr>
          <w:sz w:val="24"/>
          <w:szCs w:val="24"/>
        </w:rPr>
        <w:t xml:space="preserve"> </w:t>
      </w:r>
      <w:r w:rsidRPr="0017433B">
        <w:rPr>
          <w:sz w:val="24"/>
          <w:szCs w:val="24"/>
        </w:rPr>
        <w:t xml:space="preserve">is the </w:t>
      </w:r>
      <w:r w:rsidR="0066278A" w:rsidRPr="0017433B">
        <w:rPr>
          <w:sz w:val="24"/>
          <w:szCs w:val="24"/>
        </w:rPr>
        <w:t>a</w:t>
      </w:r>
      <w:r w:rsidRPr="0017433B">
        <w:rPr>
          <w:sz w:val="24"/>
          <w:szCs w:val="24"/>
        </w:rPr>
        <w:t xml:space="preserve">llocating </w:t>
      </w:r>
      <w:r w:rsidR="0066278A" w:rsidRPr="0017433B">
        <w:rPr>
          <w:sz w:val="24"/>
          <w:szCs w:val="24"/>
        </w:rPr>
        <w:t>a</w:t>
      </w:r>
      <w:r w:rsidRPr="0017433B">
        <w:rPr>
          <w:sz w:val="24"/>
          <w:szCs w:val="24"/>
        </w:rPr>
        <w:t>gency for Idaho's Low-Income Tax Credit program (LIHTC), the designated administrator for Idaho's HOME Investment Partnership Program</w:t>
      </w:r>
      <w:r w:rsidR="2A51F1E4" w:rsidRPr="0017433B">
        <w:rPr>
          <w:sz w:val="24"/>
          <w:szCs w:val="24"/>
        </w:rPr>
        <w:t xml:space="preserve"> (HOME)</w:t>
      </w:r>
      <w:r w:rsidR="7B270814" w:rsidRPr="0017433B">
        <w:rPr>
          <w:sz w:val="24"/>
          <w:szCs w:val="24"/>
        </w:rPr>
        <w:t>,</w:t>
      </w:r>
      <w:r w:rsidRPr="0017433B">
        <w:rPr>
          <w:sz w:val="24"/>
          <w:szCs w:val="24"/>
        </w:rPr>
        <w:t xml:space="preserve"> National Housing Trust Fund Program</w:t>
      </w:r>
      <w:r w:rsidR="4F4D03C0" w:rsidRPr="0017433B">
        <w:rPr>
          <w:sz w:val="24"/>
          <w:szCs w:val="24"/>
        </w:rPr>
        <w:t xml:space="preserve"> (</w:t>
      </w:r>
      <w:r w:rsidR="3E1DD871" w:rsidRPr="0017433B">
        <w:rPr>
          <w:sz w:val="24"/>
          <w:szCs w:val="24"/>
        </w:rPr>
        <w:t>N</w:t>
      </w:r>
      <w:r w:rsidR="4F4D03C0" w:rsidRPr="0017433B">
        <w:rPr>
          <w:sz w:val="24"/>
          <w:szCs w:val="24"/>
        </w:rPr>
        <w:t>HFT)</w:t>
      </w:r>
      <w:r w:rsidR="0D703D41" w:rsidRPr="0017433B">
        <w:rPr>
          <w:sz w:val="24"/>
          <w:szCs w:val="24"/>
        </w:rPr>
        <w:t>,</w:t>
      </w:r>
      <w:r w:rsidR="0066278A" w:rsidRPr="0017433B">
        <w:rPr>
          <w:sz w:val="24"/>
          <w:szCs w:val="24"/>
        </w:rPr>
        <w:t xml:space="preserve"> </w:t>
      </w:r>
      <w:r w:rsidRPr="0017433B">
        <w:rPr>
          <w:sz w:val="24"/>
          <w:szCs w:val="24"/>
        </w:rPr>
        <w:t>and the Emergency Solutions Grant Program</w:t>
      </w:r>
      <w:r w:rsidR="5FD1EEA6" w:rsidRPr="0017433B">
        <w:rPr>
          <w:sz w:val="24"/>
          <w:szCs w:val="24"/>
        </w:rPr>
        <w:t xml:space="preserve"> (ESG)</w:t>
      </w:r>
      <w:r w:rsidR="7B270814" w:rsidRPr="0017433B">
        <w:rPr>
          <w:sz w:val="24"/>
          <w:szCs w:val="24"/>
        </w:rPr>
        <w:t>.</w:t>
      </w:r>
      <w:r w:rsidRPr="0017433B">
        <w:rPr>
          <w:sz w:val="24"/>
          <w:szCs w:val="24"/>
        </w:rPr>
        <w:t xml:space="preserve"> The Idaho Department of Commerce </w:t>
      </w:r>
      <w:r w:rsidR="7619497D" w:rsidRPr="0017433B">
        <w:rPr>
          <w:sz w:val="24"/>
          <w:szCs w:val="24"/>
        </w:rPr>
        <w:t>(Commerce)</w:t>
      </w:r>
      <w:r w:rsidR="7B270814" w:rsidRPr="0017433B">
        <w:rPr>
          <w:sz w:val="24"/>
          <w:szCs w:val="24"/>
        </w:rPr>
        <w:t xml:space="preserve"> </w:t>
      </w:r>
      <w:r w:rsidRPr="0017433B">
        <w:rPr>
          <w:sz w:val="24"/>
          <w:szCs w:val="24"/>
        </w:rPr>
        <w:t xml:space="preserve">is the designated Administrator of </w:t>
      </w:r>
      <w:r w:rsidR="003D336B" w:rsidRPr="0017433B">
        <w:rPr>
          <w:sz w:val="24"/>
          <w:szCs w:val="24"/>
        </w:rPr>
        <w:t>I</w:t>
      </w:r>
      <w:r w:rsidRPr="0017433B">
        <w:rPr>
          <w:sz w:val="24"/>
          <w:szCs w:val="24"/>
        </w:rPr>
        <w:t xml:space="preserve">daho's </w:t>
      </w:r>
      <w:r w:rsidR="2DD43AAF" w:rsidRPr="0017433B">
        <w:rPr>
          <w:sz w:val="24"/>
          <w:szCs w:val="24"/>
        </w:rPr>
        <w:t>Community Development Block Grant</w:t>
      </w:r>
      <w:r w:rsidRPr="0017433B">
        <w:rPr>
          <w:sz w:val="24"/>
          <w:szCs w:val="24"/>
        </w:rPr>
        <w:t xml:space="preserve"> Program</w:t>
      </w:r>
      <w:r w:rsidR="2DD43AAF" w:rsidRPr="0017433B">
        <w:rPr>
          <w:sz w:val="24"/>
          <w:szCs w:val="24"/>
        </w:rPr>
        <w:t xml:space="preserve"> (</w:t>
      </w:r>
      <w:r w:rsidR="7B270814" w:rsidRPr="0017433B">
        <w:rPr>
          <w:sz w:val="24"/>
          <w:szCs w:val="24"/>
        </w:rPr>
        <w:t>CDBG</w:t>
      </w:r>
      <w:r w:rsidR="3259D544" w:rsidRPr="0017433B">
        <w:rPr>
          <w:sz w:val="24"/>
          <w:szCs w:val="24"/>
        </w:rPr>
        <w:t>)</w:t>
      </w:r>
      <w:r w:rsidR="7B270814" w:rsidRPr="0017433B">
        <w:rPr>
          <w:sz w:val="24"/>
          <w:szCs w:val="24"/>
        </w:rPr>
        <w:t>.</w:t>
      </w:r>
    </w:p>
    <w:p w14:paraId="1CE346E7" w14:textId="0F5D7E40" w:rsidR="003D336B" w:rsidRPr="0017433B" w:rsidRDefault="003D336B" w:rsidP="0017433B">
      <w:pPr>
        <w:spacing w:before="100" w:beforeAutospacing="1" w:after="100" w:afterAutospacing="1"/>
        <w:jc w:val="both"/>
        <w:rPr>
          <w:rFonts w:cs="Calibri"/>
          <w:sz w:val="24"/>
          <w:szCs w:val="24"/>
        </w:rPr>
      </w:pPr>
      <w:r w:rsidRPr="0017433B">
        <w:rPr>
          <w:rFonts w:cs="Calibri"/>
          <w:sz w:val="24"/>
          <w:szCs w:val="24"/>
        </w:rPr>
        <w:t xml:space="preserve">The Anticipated Resources Matrix below outlines each of these funds, expected amounts available in Year </w:t>
      </w:r>
      <w:r w:rsidR="66127800" w:rsidRPr="0017433B">
        <w:rPr>
          <w:rFonts w:cs="Calibri"/>
          <w:sz w:val="24"/>
          <w:szCs w:val="24"/>
        </w:rPr>
        <w:t>one (</w:t>
      </w:r>
      <w:r w:rsidRPr="0017433B">
        <w:rPr>
          <w:rFonts w:cs="Calibri"/>
          <w:sz w:val="24"/>
          <w:szCs w:val="24"/>
        </w:rPr>
        <w:t>1</w:t>
      </w:r>
      <w:r w:rsidR="271EE771" w:rsidRPr="0017433B">
        <w:rPr>
          <w:rFonts w:cs="Calibri"/>
          <w:sz w:val="24"/>
          <w:szCs w:val="24"/>
        </w:rPr>
        <w:t>)</w:t>
      </w:r>
      <w:r w:rsidRPr="0017433B">
        <w:rPr>
          <w:rFonts w:cs="Calibri"/>
          <w:sz w:val="24"/>
          <w:szCs w:val="24"/>
        </w:rPr>
        <w:t xml:space="preserve"> and a projection of resources between fiscal year 202</w:t>
      </w:r>
      <w:r w:rsidR="0017433B">
        <w:rPr>
          <w:rFonts w:cs="Calibri"/>
          <w:sz w:val="24"/>
          <w:szCs w:val="24"/>
        </w:rPr>
        <w:t xml:space="preserve">6 </w:t>
      </w:r>
      <w:r w:rsidRPr="0017433B">
        <w:rPr>
          <w:rFonts w:cs="Calibri"/>
          <w:sz w:val="24"/>
          <w:szCs w:val="24"/>
        </w:rPr>
        <w:t>and fiscal year 2029. Estimates are based on 2024 allocation amounts. If the total grant received by the State is lower or higher than the funds allocated to the goals in SP-45, then each goal amount will be reduced or increased in the same proportion as the percentage difference between the estimated total grant and the actual total grant.</w:t>
      </w:r>
    </w:p>
    <w:p w14:paraId="65824BEC" w14:textId="254E5D00" w:rsidR="003D336B" w:rsidRPr="0017433B" w:rsidRDefault="005345AC" w:rsidP="0017433B">
      <w:pPr>
        <w:keepNext/>
        <w:widowControl w:val="0"/>
        <w:jc w:val="both"/>
        <w:rPr>
          <w:rFonts w:cs="Calibri"/>
          <w:sz w:val="24"/>
          <w:szCs w:val="24"/>
        </w:rPr>
        <w:sectPr w:rsidR="003D336B" w:rsidRPr="0017433B" w:rsidSect="003D336B">
          <w:type w:val="continuous"/>
          <w:pgSz w:w="12240" w:h="15840" w:code="1"/>
          <w:pgMar w:top="1440" w:right="1440" w:bottom="1440" w:left="1440" w:header="720" w:footer="720" w:gutter="0"/>
          <w:cols w:space="720"/>
          <w:docGrid w:linePitch="360"/>
        </w:sectPr>
      </w:pPr>
      <w:r w:rsidRPr="0017433B">
        <w:rPr>
          <w:rFonts w:cs="Calibri"/>
          <w:sz w:val="24"/>
          <w:szCs w:val="24"/>
        </w:rPr>
        <w:t xml:space="preserve">The Amount for the remainder of the Plan is the </w:t>
      </w:r>
      <w:r w:rsidR="0066278A" w:rsidRPr="0017433B">
        <w:rPr>
          <w:rFonts w:cs="Calibri"/>
          <w:sz w:val="24"/>
          <w:szCs w:val="24"/>
        </w:rPr>
        <w:t>first-</w:t>
      </w:r>
      <w:r w:rsidRPr="0017433B">
        <w:rPr>
          <w:rFonts w:cs="Calibri"/>
          <w:sz w:val="24"/>
          <w:szCs w:val="24"/>
        </w:rPr>
        <w:t>year total multiplied by</w:t>
      </w:r>
      <w:r w:rsidR="0066278A" w:rsidRPr="0017433B">
        <w:rPr>
          <w:rFonts w:cs="Calibri"/>
          <w:sz w:val="24"/>
          <w:szCs w:val="24"/>
        </w:rPr>
        <w:t xml:space="preserve"> four</w:t>
      </w:r>
      <w:r w:rsidRPr="0017433B">
        <w:rPr>
          <w:rFonts w:cs="Calibri"/>
          <w:sz w:val="24"/>
          <w:szCs w:val="24"/>
        </w:rPr>
        <w:t xml:space="preserve"> </w:t>
      </w:r>
      <w:r w:rsidR="0066278A" w:rsidRPr="0017433B">
        <w:rPr>
          <w:rFonts w:cs="Calibri"/>
          <w:sz w:val="24"/>
          <w:szCs w:val="24"/>
        </w:rPr>
        <w:t>(</w:t>
      </w:r>
      <w:r w:rsidRPr="0017433B">
        <w:rPr>
          <w:rFonts w:cs="Calibri"/>
          <w:sz w:val="24"/>
          <w:szCs w:val="24"/>
        </w:rPr>
        <w:t>4</w:t>
      </w:r>
      <w:r w:rsidR="0066278A" w:rsidRPr="0017433B">
        <w:rPr>
          <w:rFonts w:cs="Calibri"/>
          <w:sz w:val="24"/>
          <w:szCs w:val="24"/>
        </w:rPr>
        <w:t>)</w:t>
      </w:r>
      <w:r w:rsidRPr="0017433B">
        <w:rPr>
          <w:rFonts w:cs="Calibri"/>
          <w:sz w:val="24"/>
          <w:szCs w:val="24"/>
        </w:rPr>
        <w:t xml:space="preserve"> for the remainder of the Consolidated Plan cycle. </w:t>
      </w:r>
    </w:p>
    <w:p w14:paraId="7AC06468" w14:textId="77777777" w:rsidR="009A2C2E" w:rsidRDefault="009A2C2E" w:rsidP="009A2C2E">
      <w:pPr>
        <w:keepNext/>
        <w:widowControl w:val="0"/>
        <w:rPr>
          <w:b/>
          <w:sz w:val="24"/>
          <w:szCs w:val="24"/>
        </w:rPr>
      </w:pPr>
      <w:r>
        <w:rPr>
          <w:b/>
          <w:sz w:val="24"/>
          <w:szCs w:val="24"/>
        </w:rPr>
        <w:lastRenderedPageBreak/>
        <w:t>Anticipated Resources</w:t>
      </w:r>
    </w:p>
    <w:p w14:paraId="76E80DA0" w14:textId="5EBB753F" w:rsidR="003D336B" w:rsidRDefault="003D336B" w:rsidP="009A2C2E">
      <w:pPr>
        <w:keepNext/>
        <w:widowControl w:val="0"/>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896"/>
        <w:gridCol w:w="1727"/>
        <w:gridCol w:w="1114"/>
        <w:gridCol w:w="1112"/>
        <w:gridCol w:w="1115"/>
        <w:gridCol w:w="1218"/>
        <w:gridCol w:w="1403"/>
        <w:gridCol w:w="3436"/>
      </w:tblGrid>
      <w:tr w:rsidR="003409DC" w14:paraId="504DF962" w14:textId="77777777" w:rsidTr="00974D96">
        <w:trPr>
          <w:cantSplit/>
          <w:tblHeader/>
        </w:trPr>
        <w:tc>
          <w:tcPr>
            <w:tcW w:w="929" w:type="dxa"/>
            <w:vMerge w:val="restart"/>
          </w:tcPr>
          <w:p w14:paraId="41D8E7E3" w14:textId="77777777" w:rsidR="009A2C2E" w:rsidRDefault="009A2C2E" w:rsidP="00E53512">
            <w:pPr>
              <w:keepNext/>
              <w:widowControl w:val="0"/>
              <w:spacing w:after="0" w:line="240" w:lineRule="auto"/>
              <w:jc w:val="center"/>
              <w:rPr>
                <w:b/>
                <w:sz w:val="24"/>
                <w:szCs w:val="24"/>
              </w:rPr>
            </w:pPr>
            <w:r>
              <w:rPr>
                <w:b/>
                <w:sz w:val="20"/>
                <w:szCs w:val="20"/>
              </w:rPr>
              <w:t>Program</w:t>
            </w:r>
          </w:p>
        </w:tc>
        <w:tc>
          <w:tcPr>
            <w:tcW w:w="897" w:type="dxa"/>
            <w:vMerge w:val="restart"/>
          </w:tcPr>
          <w:p w14:paraId="3944BDEA" w14:textId="77777777" w:rsidR="009A2C2E" w:rsidRDefault="009A2C2E" w:rsidP="00E53512">
            <w:pPr>
              <w:keepNext/>
              <w:widowControl w:val="0"/>
              <w:spacing w:after="0" w:line="240" w:lineRule="auto"/>
              <w:jc w:val="center"/>
              <w:rPr>
                <w:b/>
                <w:sz w:val="24"/>
                <w:szCs w:val="24"/>
              </w:rPr>
            </w:pPr>
            <w:r>
              <w:rPr>
                <w:b/>
                <w:sz w:val="20"/>
                <w:szCs w:val="20"/>
              </w:rPr>
              <w:t>Source of Funds</w:t>
            </w:r>
          </w:p>
        </w:tc>
        <w:tc>
          <w:tcPr>
            <w:tcW w:w="1727" w:type="dxa"/>
            <w:vMerge w:val="restart"/>
          </w:tcPr>
          <w:p w14:paraId="1D369AAB" w14:textId="77777777" w:rsidR="009A2C2E" w:rsidRDefault="009A2C2E" w:rsidP="787E070B">
            <w:pPr>
              <w:keepNext/>
              <w:widowControl w:val="0"/>
              <w:spacing w:after="0" w:line="240" w:lineRule="auto"/>
              <w:jc w:val="center"/>
              <w:rPr>
                <w:b/>
                <w:bCs/>
                <w:sz w:val="24"/>
                <w:szCs w:val="24"/>
              </w:rPr>
            </w:pPr>
            <w:r w:rsidRPr="787E070B">
              <w:rPr>
                <w:b/>
                <w:bCs/>
                <w:sz w:val="20"/>
                <w:szCs w:val="20"/>
              </w:rPr>
              <w:t>Uses of Funds</w:t>
            </w:r>
          </w:p>
        </w:tc>
        <w:tc>
          <w:tcPr>
            <w:tcW w:w="4554" w:type="dxa"/>
            <w:gridSpan w:val="4"/>
          </w:tcPr>
          <w:p w14:paraId="52D851BC" w14:textId="77777777" w:rsidR="009A2C2E" w:rsidRDefault="009A2C2E" w:rsidP="00E53512">
            <w:pPr>
              <w:keepNext/>
              <w:widowControl w:val="0"/>
              <w:spacing w:after="0" w:line="240" w:lineRule="auto"/>
              <w:jc w:val="center"/>
              <w:rPr>
                <w:b/>
                <w:sz w:val="24"/>
                <w:szCs w:val="24"/>
              </w:rPr>
            </w:pPr>
            <w:r>
              <w:rPr>
                <w:b/>
                <w:bCs/>
                <w:sz w:val="20"/>
                <w:szCs w:val="20"/>
              </w:rPr>
              <w:t>Expected Amount Available Year 1</w:t>
            </w:r>
          </w:p>
        </w:tc>
        <w:tc>
          <w:tcPr>
            <w:tcW w:w="1403" w:type="dxa"/>
            <w:vMerge w:val="restart"/>
          </w:tcPr>
          <w:p w14:paraId="4FC47B4D" w14:textId="77777777" w:rsidR="009A2C2E" w:rsidRDefault="009A2C2E" w:rsidP="00E53512">
            <w:pPr>
              <w:keepNext/>
              <w:widowControl w:val="0"/>
              <w:spacing w:after="0" w:line="240" w:lineRule="auto"/>
              <w:jc w:val="center"/>
              <w:rPr>
                <w:b/>
                <w:sz w:val="20"/>
                <w:szCs w:val="20"/>
              </w:rPr>
            </w:pPr>
            <w:r>
              <w:rPr>
                <w:b/>
                <w:sz w:val="20"/>
                <w:szCs w:val="20"/>
              </w:rPr>
              <w:t xml:space="preserve">Expected Amount Available Remainder of </w:t>
            </w:r>
            <w:proofErr w:type="spellStart"/>
            <w:r>
              <w:rPr>
                <w:b/>
                <w:sz w:val="20"/>
                <w:szCs w:val="20"/>
              </w:rPr>
              <w:t>ConPlan</w:t>
            </w:r>
            <w:proofErr w:type="spellEnd"/>
            <w:r>
              <w:rPr>
                <w:b/>
                <w:sz w:val="20"/>
                <w:szCs w:val="20"/>
              </w:rPr>
              <w:t xml:space="preserve"> </w:t>
            </w:r>
          </w:p>
          <w:p w14:paraId="3FBB294A" w14:textId="77777777" w:rsidR="009A2C2E" w:rsidRDefault="009A2C2E" w:rsidP="00E53512">
            <w:pPr>
              <w:keepNext/>
              <w:widowControl w:val="0"/>
              <w:spacing w:after="0" w:line="240" w:lineRule="auto"/>
              <w:jc w:val="center"/>
              <w:rPr>
                <w:b/>
                <w:sz w:val="24"/>
                <w:szCs w:val="24"/>
              </w:rPr>
            </w:pPr>
            <w:r>
              <w:rPr>
                <w:b/>
                <w:sz w:val="20"/>
                <w:szCs w:val="20"/>
              </w:rPr>
              <w:t>$</w:t>
            </w:r>
          </w:p>
        </w:tc>
        <w:tc>
          <w:tcPr>
            <w:tcW w:w="3440" w:type="dxa"/>
            <w:vMerge w:val="restart"/>
          </w:tcPr>
          <w:p w14:paraId="0A2BE071" w14:textId="77777777" w:rsidR="009A2C2E" w:rsidRDefault="009A2C2E" w:rsidP="00E53512">
            <w:pPr>
              <w:keepNext/>
              <w:widowControl w:val="0"/>
              <w:spacing w:after="0" w:line="240" w:lineRule="auto"/>
              <w:jc w:val="center"/>
              <w:rPr>
                <w:b/>
                <w:sz w:val="24"/>
                <w:szCs w:val="24"/>
              </w:rPr>
            </w:pPr>
            <w:r>
              <w:rPr>
                <w:b/>
                <w:sz w:val="20"/>
                <w:szCs w:val="20"/>
              </w:rPr>
              <w:t>Narrative Description</w:t>
            </w:r>
          </w:p>
        </w:tc>
      </w:tr>
      <w:tr w:rsidR="003409DC" w14:paraId="6F1C0692" w14:textId="77777777" w:rsidTr="00974D96">
        <w:trPr>
          <w:cantSplit/>
          <w:tblHeader/>
        </w:trPr>
        <w:tc>
          <w:tcPr>
            <w:tcW w:w="929" w:type="dxa"/>
            <w:vMerge/>
          </w:tcPr>
          <w:p w14:paraId="5A65167E" w14:textId="77777777" w:rsidR="009A2C2E" w:rsidRDefault="009A2C2E" w:rsidP="00E53512">
            <w:pPr>
              <w:keepNext/>
              <w:widowControl w:val="0"/>
              <w:spacing w:after="0" w:line="240" w:lineRule="auto"/>
              <w:jc w:val="center"/>
              <w:rPr>
                <w:b/>
                <w:sz w:val="24"/>
                <w:szCs w:val="24"/>
              </w:rPr>
            </w:pPr>
          </w:p>
        </w:tc>
        <w:tc>
          <w:tcPr>
            <w:tcW w:w="897" w:type="dxa"/>
            <w:vMerge/>
          </w:tcPr>
          <w:p w14:paraId="731CBD35" w14:textId="77777777" w:rsidR="009A2C2E" w:rsidRDefault="009A2C2E" w:rsidP="00E53512">
            <w:pPr>
              <w:keepNext/>
              <w:widowControl w:val="0"/>
              <w:spacing w:after="0" w:line="240" w:lineRule="auto"/>
              <w:jc w:val="center"/>
              <w:rPr>
                <w:b/>
                <w:sz w:val="24"/>
                <w:szCs w:val="24"/>
              </w:rPr>
            </w:pPr>
          </w:p>
        </w:tc>
        <w:tc>
          <w:tcPr>
            <w:tcW w:w="1727" w:type="dxa"/>
            <w:vMerge/>
          </w:tcPr>
          <w:p w14:paraId="30938780" w14:textId="77777777" w:rsidR="009A2C2E" w:rsidRDefault="009A2C2E" w:rsidP="00E53512">
            <w:pPr>
              <w:keepNext/>
              <w:widowControl w:val="0"/>
              <w:spacing w:after="0" w:line="240" w:lineRule="auto"/>
              <w:jc w:val="center"/>
              <w:rPr>
                <w:b/>
                <w:sz w:val="24"/>
                <w:szCs w:val="24"/>
              </w:rPr>
            </w:pPr>
          </w:p>
        </w:tc>
        <w:tc>
          <w:tcPr>
            <w:tcW w:w="1114" w:type="dxa"/>
          </w:tcPr>
          <w:p w14:paraId="26C20D0C" w14:textId="77777777" w:rsidR="009A2C2E" w:rsidRDefault="009A2C2E" w:rsidP="00E53512">
            <w:pPr>
              <w:keepNext/>
              <w:widowControl w:val="0"/>
              <w:spacing w:after="0" w:line="240" w:lineRule="auto"/>
              <w:jc w:val="center"/>
              <w:rPr>
                <w:b/>
                <w:sz w:val="24"/>
                <w:szCs w:val="24"/>
              </w:rPr>
            </w:pPr>
            <w:r>
              <w:rPr>
                <w:b/>
                <w:sz w:val="20"/>
                <w:szCs w:val="20"/>
              </w:rPr>
              <w:t>Annual Allocation: $</w:t>
            </w:r>
          </w:p>
        </w:tc>
        <w:tc>
          <w:tcPr>
            <w:tcW w:w="1107" w:type="dxa"/>
          </w:tcPr>
          <w:p w14:paraId="7D7B4D23" w14:textId="77777777" w:rsidR="009A2C2E" w:rsidRDefault="009A2C2E" w:rsidP="00E53512">
            <w:pPr>
              <w:keepNext/>
              <w:widowControl w:val="0"/>
              <w:spacing w:after="0" w:line="240" w:lineRule="auto"/>
              <w:jc w:val="center"/>
              <w:rPr>
                <w:b/>
                <w:sz w:val="24"/>
                <w:szCs w:val="24"/>
              </w:rPr>
            </w:pPr>
            <w:r>
              <w:rPr>
                <w:b/>
                <w:sz w:val="20"/>
                <w:szCs w:val="20"/>
              </w:rPr>
              <w:t>Program Income: $</w:t>
            </w:r>
          </w:p>
        </w:tc>
        <w:tc>
          <w:tcPr>
            <w:tcW w:w="1115" w:type="dxa"/>
          </w:tcPr>
          <w:p w14:paraId="7E4B385D" w14:textId="77777777" w:rsidR="009A2C2E" w:rsidRDefault="009A2C2E" w:rsidP="00E53512">
            <w:pPr>
              <w:keepNext/>
              <w:widowControl w:val="0"/>
              <w:spacing w:after="0" w:line="240" w:lineRule="auto"/>
              <w:jc w:val="center"/>
              <w:rPr>
                <w:b/>
                <w:sz w:val="24"/>
                <w:szCs w:val="24"/>
              </w:rPr>
            </w:pPr>
            <w:r>
              <w:rPr>
                <w:b/>
                <w:sz w:val="20"/>
                <w:szCs w:val="20"/>
              </w:rPr>
              <w:t>Prior Year Resources: $</w:t>
            </w:r>
          </w:p>
        </w:tc>
        <w:tc>
          <w:tcPr>
            <w:tcW w:w="1218" w:type="dxa"/>
          </w:tcPr>
          <w:p w14:paraId="26BE4358" w14:textId="77777777" w:rsidR="009A2C2E" w:rsidRDefault="009A2C2E" w:rsidP="00E53512">
            <w:pPr>
              <w:keepNext/>
              <w:widowControl w:val="0"/>
              <w:spacing w:after="0" w:line="240" w:lineRule="auto"/>
              <w:jc w:val="center"/>
              <w:rPr>
                <w:b/>
                <w:sz w:val="20"/>
                <w:szCs w:val="20"/>
              </w:rPr>
            </w:pPr>
            <w:r>
              <w:rPr>
                <w:b/>
                <w:sz w:val="20"/>
                <w:szCs w:val="20"/>
              </w:rPr>
              <w:t>Total:</w:t>
            </w:r>
          </w:p>
          <w:p w14:paraId="6C2A4EAC" w14:textId="77777777" w:rsidR="009A2C2E" w:rsidRDefault="009A2C2E" w:rsidP="00E53512">
            <w:pPr>
              <w:keepNext/>
              <w:widowControl w:val="0"/>
              <w:spacing w:after="0" w:line="240" w:lineRule="auto"/>
              <w:jc w:val="center"/>
              <w:rPr>
                <w:b/>
                <w:sz w:val="24"/>
                <w:szCs w:val="24"/>
              </w:rPr>
            </w:pPr>
            <w:r>
              <w:rPr>
                <w:b/>
                <w:sz w:val="20"/>
                <w:szCs w:val="20"/>
              </w:rPr>
              <w:t>$</w:t>
            </w:r>
          </w:p>
        </w:tc>
        <w:tc>
          <w:tcPr>
            <w:tcW w:w="1403" w:type="dxa"/>
            <w:vMerge/>
          </w:tcPr>
          <w:p w14:paraId="2E19162B" w14:textId="77777777" w:rsidR="009A2C2E" w:rsidRDefault="009A2C2E" w:rsidP="00E53512">
            <w:pPr>
              <w:keepNext/>
              <w:widowControl w:val="0"/>
              <w:spacing w:after="0" w:line="240" w:lineRule="auto"/>
              <w:jc w:val="center"/>
              <w:rPr>
                <w:b/>
                <w:sz w:val="24"/>
                <w:szCs w:val="24"/>
              </w:rPr>
            </w:pPr>
          </w:p>
        </w:tc>
        <w:tc>
          <w:tcPr>
            <w:tcW w:w="3440" w:type="dxa"/>
            <w:vMerge/>
          </w:tcPr>
          <w:p w14:paraId="137448DD" w14:textId="77777777" w:rsidR="009A2C2E" w:rsidRDefault="009A2C2E" w:rsidP="00E53512">
            <w:pPr>
              <w:keepNext/>
              <w:widowControl w:val="0"/>
              <w:spacing w:after="0" w:line="240" w:lineRule="auto"/>
              <w:jc w:val="center"/>
              <w:rPr>
                <w:b/>
                <w:sz w:val="24"/>
                <w:szCs w:val="24"/>
              </w:rPr>
            </w:pPr>
          </w:p>
        </w:tc>
      </w:tr>
      <w:tr w:rsidR="00C83593" w14:paraId="78EE7EDD" w14:textId="77777777" w:rsidTr="00974D96">
        <w:trPr>
          <w:cantSplit/>
        </w:trPr>
        <w:tc>
          <w:tcPr>
            <w:tcW w:w="929" w:type="dxa"/>
          </w:tcPr>
          <w:p w14:paraId="21350966" w14:textId="77777777" w:rsidR="005345AC" w:rsidRDefault="005345AC" w:rsidP="005345AC">
            <w:pPr>
              <w:spacing w:beforeAutospacing="1" w:afterAutospacing="1"/>
            </w:pPr>
            <w:r>
              <w:rPr>
                <w:color w:val="000000"/>
              </w:rPr>
              <w:t>CDBG</w:t>
            </w:r>
          </w:p>
        </w:tc>
        <w:tc>
          <w:tcPr>
            <w:tcW w:w="897" w:type="dxa"/>
          </w:tcPr>
          <w:p w14:paraId="0AB6595C" w14:textId="77777777" w:rsidR="005345AC" w:rsidRDefault="005345AC" w:rsidP="005345AC">
            <w:pPr>
              <w:spacing w:beforeAutospacing="1" w:afterAutospacing="1"/>
            </w:pPr>
            <w:r>
              <w:rPr>
                <w:color w:val="000000"/>
              </w:rPr>
              <w:t>public - federal</w:t>
            </w:r>
          </w:p>
        </w:tc>
        <w:tc>
          <w:tcPr>
            <w:tcW w:w="1727" w:type="dxa"/>
          </w:tcPr>
          <w:p w14:paraId="108EE6F5" w14:textId="2F293962" w:rsidR="005345AC" w:rsidRDefault="005345AC" w:rsidP="005345AC">
            <w:pPr>
              <w:spacing w:beforeAutospacing="1" w:afterAutospacing="1"/>
            </w:pPr>
            <w:r>
              <w:rPr>
                <w:color w:val="000000"/>
              </w:rPr>
              <w:t>Acquisition</w:t>
            </w:r>
            <w:r>
              <w:rPr>
                <w:color w:val="000000"/>
              </w:rPr>
              <w:br/>
              <w:t>Admin and Planning</w:t>
            </w:r>
            <w:r w:rsidR="00974D96">
              <w:rPr>
                <w:color w:val="000000"/>
              </w:rPr>
              <w:t>,</w:t>
            </w:r>
            <w:r>
              <w:rPr>
                <w:color w:val="000000"/>
              </w:rPr>
              <w:br/>
              <w:t>Economic Development</w:t>
            </w:r>
            <w:r w:rsidR="00974D96">
              <w:rPr>
                <w:color w:val="000000"/>
              </w:rPr>
              <w:t>,</w:t>
            </w:r>
            <w:r>
              <w:rPr>
                <w:color w:val="000000"/>
              </w:rPr>
              <w:br/>
              <w:t>Housing</w:t>
            </w:r>
            <w:r w:rsidR="00974D96">
              <w:rPr>
                <w:color w:val="000000"/>
              </w:rPr>
              <w:t>,</w:t>
            </w:r>
            <w:r>
              <w:rPr>
                <w:color w:val="000000"/>
              </w:rPr>
              <w:br/>
              <w:t>Public Improvements</w:t>
            </w:r>
            <w:r w:rsidR="00974D96">
              <w:rPr>
                <w:color w:val="000000"/>
              </w:rPr>
              <w:t>,</w:t>
            </w:r>
            <w:r>
              <w:rPr>
                <w:color w:val="000000"/>
              </w:rPr>
              <w:br/>
              <w:t>Public Services</w:t>
            </w:r>
          </w:p>
        </w:tc>
        <w:tc>
          <w:tcPr>
            <w:tcW w:w="1114" w:type="dxa"/>
          </w:tcPr>
          <w:p w14:paraId="553EF1E3" w14:textId="2587E3E6" w:rsidR="005345AC" w:rsidRDefault="005345AC" w:rsidP="00C93615">
            <w:pPr>
              <w:spacing w:before="100" w:beforeAutospacing="1" w:after="100" w:afterAutospacing="1"/>
            </w:pPr>
            <w:r>
              <w:rPr>
                <w:color w:val="000000"/>
              </w:rPr>
              <w:t>8,236,180</w:t>
            </w:r>
          </w:p>
        </w:tc>
        <w:tc>
          <w:tcPr>
            <w:tcW w:w="1107" w:type="dxa"/>
          </w:tcPr>
          <w:p w14:paraId="6AD263BC" w14:textId="693EB62F" w:rsidR="005345AC" w:rsidRDefault="005345AC" w:rsidP="00C93615">
            <w:pPr>
              <w:spacing w:before="100" w:beforeAutospacing="1" w:after="100" w:afterAutospacing="1"/>
            </w:pPr>
            <w:r>
              <w:rPr>
                <w:color w:val="000000"/>
              </w:rPr>
              <w:t>0</w:t>
            </w:r>
          </w:p>
        </w:tc>
        <w:tc>
          <w:tcPr>
            <w:tcW w:w="1115" w:type="dxa"/>
          </w:tcPr>
          <w:p w14:paraId="24490E12" w14:textId="25E01BCB" w:rsidR="005345AC" w:rsidRDefault="005345AC" w:rsidP="00C93615">
            <w:pPr>
              <w:spacing w:before="100" w:beforeAutospacing="1" w:after="100" w:afterAutospacing="1"/>
            </w:pPr>
            <w:r>
              <w:rPr>
                <w:color w:val="000000"/>
              </w:rPr>
              <w:t>4,300,000</w:t>
            </w:r>
          </w:p>
        </w:tc>
        <w:tc>
          <w:tcPr>
            <w:tcW w:w="1218" w:type="dxa"/>
          </w:tcPr>
          <w:p w14:paraId="21AD9C3C" w14:textId="2196F1BF" w:rsidR="005345AC" w:rsidRDefault="005345AC" w:rsidP="00C93615">
            <w:pPr>
              <w:spacing w:before="100" w:beforeAutospacing="1" w:after="100" w:afterAutospacing="1"/>
            </w:pPr>
            <w:r>
              <w:rPr>
                <w:color w:val="000000"/>
              </w:rPr>
              <w:t>12,536,180</w:t>
            </w:r>
          </w:p>
        </w:tc>
        <w:tc>
          <w:tcPr>
            <w:tcW w:w="1403" w:type="dxa"/>
          </w:tcPr>
          <w:p w14:paraId="1C4F7F84" w14:textId="6E6272E3" w:rsidR="005345AC" w:rsidRDefault="005345AC" w:rsidP="00974D96">
            <w:pPr>
              <w:spacing w:beforeAutospacing="1" w:afterAutospacing="1"/>
              <w:ind w:right="-19"/>
            </w:pPr>
            <w:r w:rsidRPr="005345AC">
              <w:rPr>
                <w:color w:val="000000"/>
              </w:rPr>
              <w:t xml:space="preserve">   </w:t>
            </w:r>
            <w:r w:rsidR="00974D96">
              <w:rPr>
                <w:color w:val="000000"/>
              </w:rPr>
              <w:t>50,144,720</w:t>
            </w:r>
            <w:r w:rsidRPr="005345AC">
              <w:rPr>
                <w:color w:val="000000"/>
              </w:rPr>
              <w:t xml:space="preserve">                        </w:t>
            </w:r>
          </w:p>
        </w:tc>
        <w:tc>
          <w:tcPr>
            <w:tcW w:w="3440" w:type="dxa"/>
          </w:tcPr>
          <w:p w14:paraId="30DBBD00" w14:textId="77777777" w:rsidR="005345AC" w:rsidRDefault="005345AC" w:rsidP="005345AC">
            <w:pPr>
              <w:spacing w:beforeAutospacing="1" w:afterAutospacing="1"/>
            </w:pPr>
            <w:r>
              <w:rPr>
                <w:color w:val="000000"/>
              </w:rPr>
              <w:t>Over the next year it is expected CDBG funding will be used to construct or improve eligible public facilities, public infrastructure, housing related activities, and economic development activities specific to job creation or downtown improvements. These high priority activities will typically benefit populations including low-to-moderate income, families, rural, special needs, and non-housing community development.</w:t>
            </w:r>
          </w:p>
        </w:tc>
      </w:tr>
      <w:tr w:rsidR="00C83593" w14:paraId="09BA8FA4" w14:textId="77777777" w:rsidTr="00974D96">
        <w:trPr>
          <w:cantSplit/>
        </w:trPr>
        <w:tc>
          <w:tcPr>
            <w:tcW w:w="929" w:type="dxa"/>
          </w:tcPr>
          <w:p w14:paraId="7085EAA1" w14:textId="77777777" w:rsidR="00546AA4" w:rsidRDefault="00546AA4" w:rsidP="00546AA4">
            <w:pPr>
              <w:spacing w:beforeAutospacing="1" w:afterAutospacing="1"/>
            </w:pPr>
            <w:r>
              <w:rPr>
                <w:color w:val="000000"/>
              </w:rPr>
              <w:lastRenderedPageBreak/>
              <w:t>HOME</w:t>
            </w:r>
          </w:p>
        </w:tc>
        <w:tc>
          <w:tcPr>
            <w:tcW w:w="897" w:type="dxa"/>
          </w:tcPr>
          <w:p w14:paraId="5C87168D" w14:textId="77777777" w:rsidR="00546AA4" w:rsidRDefault="00546AA4" w:rsidP="00546AA4">
            <w:pPr>
              <w:spacing w:beforeAutospacing="1" w:afterAutospacing="1"/>
            </w:pPr>
            <w:r>
              <w:rPr>
                <w:color w:val="000000"/>
              </w:rPr>
              <w:t>public - federal</w:t>
            </w:r>
          </w:p>
        </w:tc>
        <w:tc>
          <w:tcPr>
            <w:tcW w:w="1727" w:type="dxa"/>
          </w:tcPr>
          <w:p w14:paraId="45790700" w14:textId="36204BAA" w:rsidR="00546AA4" w:rsidRDefault="00546AA4" w:rsidP="00546AA4">
            <w:pPr>
              <w:spacing w:beforeAutospacing="1" w:afterAutospacing="1"/>
            </w:pPr>
            <w:r>
              <w:rPr>
                <w:color w:val="000000"/>
              </w:rPr>
              <w:t>Administration, Admin &amp; Planning,</w:t>
            </w:r>
            <w:r>
              <w:rPr>
                <w:color w:val="000000"/>
              </w:rPr>
              <w:br/>
              <w:t>Acquisition,</w:t>
            </w:r>
            <w:r>
              <w:rPr>
                <w:color w:val="000000"/>
              </w:rPr>
              <w:br/>
              <w:t>Homebuyer Assistance,</w:t>
            </w:r>
            <w:r>
              <w:rPr>
                <w:color w:val="000000"/>
              </w:rPr>
              <w:br/>
              <w:t>Multifamily Rental New Construction,</w:t>
            </w:r>
            <w:r>
              <w:rPr>
                <w:color w:val="000000"/>
              </w:rPr>
              <w:br/>
              <w:t>Multifamily Rental Rehab</w:t>
            </w:r>
            <w:r>
              <w:rPr>
                <w:color w:val="000000"/>
              </w:rPr>
              <w:br/>
              <w:t>TBRA</w:t>
            </w:r>
          </w:p>
        </w:tc>
        <w:tc>
          <w:tcPr>
            <w:tcW w:w="1114" w:type="dxa"/>
          </w:tcPr>
          <w:p w14:paraId="4F0E546E" w14:textId="18AE9A4D" w:rsidR="00546AA4" w:rsidRDefault="00546AA4" w:rsidP="00546AA4">
            <w:pPr>
              <w:spacing w:beforeAutospacing="1" w:afterAutospacing="1"/>
            </w:pPr>
            <w:r>
              <w:rPr>
                <w:color w:val="000000"/>
              </w:rPr>
              <w:t>4,987,264</w:t>
            </w:r>
          </w:p>
        </w:tc>
        <w:tc>
          <w:tcPr>
            <w:tcW w:w="1107" w:type="dxa"/>
          </w:tcPr>
          <w:p w14:paraId="78D028F6" w14:textId="09CB5D96" w:rsidR="006C5143" w:rsidRDefault="006C5143" w:rsidP="006C5143">
            <w:pPr>
              <w:spacing w:after="0" w:line="240" w:lineRule="auto"/>
              <w:rPr>
                <w:rFonts w:ascii="Aptos Narrow" w:eastAsia="Times New Roman" w:hAnsi="Aptos Narrow"/>
                <w:color w:val="000000"/>
              </w:rPr>
            </w:pPr>
            <w:r>
              <w:rPr>
                <w:rFonts w:ascii="Aptos Narrow" w:hAnsi="Aptos Narrow"/>
                <w:color w:val="000000"/>
              </w:rPr>
              <w:t xml:space="preserve">3,954,403 </w:t>
            </w:r>
          </w:p>
          <w:p w14:paraId="73C9DA19" w14:textId="36703F3B" w:rsidR="00546AA4" w:rsidRDefault="00546AA4" w:rsidP="00546AA4">
            <w:pPr>
              <w:spacing w:beforeAutospacing="1" w:afterAutospacing="1"/>
            </w:pPr>
          </w:p>
        </w:tc>
        <w:tc>
          <w:tcPr>
            <w:tcW w:w="1115" w:type="dxa"/>
          </w:tcPr>
          <w:p w14:paraId="21C0DEA1" w14:textId="3AF11E61" w:rsidR="00546AA4" w:rsidRDefault="00546AA4" w:rsidP="00546AA4">
            <w:pPr>
              <w:spacing w:beforeAutospacing="1" w:afterAutospacing="1"/>
            </w:pPr>
            <w:r>
              <w:rPr>
                <w:color w:val="000000"/>
              </w:rPr>
              <w:t>0</w:t>
            </w:r>
          </w:p>
        </w:tc>
        <w:tc>
          <w:tcPr>
            <w:tcW w:w="1218" w:type="dxa"/>
          </w:tcPr>
          <w:p w14:paraId="6C005BC9" w14:textId="6402513C" w:rsidR="006C5143" w:rsidRPr="006C5143" w:rsidRDefault="006C5143" w:rsidP="006C5143">
            <w:pPr>
              <w:spacing w:after="0" w:line="240" w:lineRule="auto"/>
              <w:rPr>
                <w:rFonts w:ascii="Aptos Narrow" w:hAnsi="Aptos Narrow"/>
                <w:color w:val="000000"/>
              </w:rPr>
            </w:pPr>
            <w:r>
              <w:rPr>
                <w:rFonts w:cs="Calibri"/>
                <w:color w:val="000000"/>
              </w:rPr>
              <w:t xml:space="preserve"> </w:t>
            </w:r>
            <w:r w:rsidRPr="006C5143">
              <w:rPr>
                <w:rFonts w:ascii="Aptos Narrow" w:hAnsi="Aptos Narrow"/>
                <w:color w:val="000000"/>
              </w:rPr>
              <w:t xml:space="preserve"> 8,941,667 </w:t>
            </w:r>
          </w:p>
          <w:p w14:paraId="7F298F8A" w14:textId="53CDEFD8" w:rsidR="00546AA4" w:rsidRDefault="00546AA4" w:rsidP="00546AA4">
            <w:pPr>
              <w:spacing w:beforeAutospacing="1" w:afterAutospacing="1"/>
            </w:pPr>
          </w:p>
        </w:tc>
        <w:tc>
          <w:tcPr>
            <w:tcW w:w="1403" w:type="dxa"/>
          </w:tcPr>
          <w:p w14:paraId="747850C7" w14:textId="2AF337DC" w:rsidR="006C5143" w:rsidRDefault="006C5143" w:rsidP="006C5143">
            <w:pPr>
              <w:spacing w:after="0" w:line="240" w:lineRule="auto"/>
              <w:rPr>
                <w:rFonts w:ascii="Aptos Narrow" w:eastAsia="Times New Roman" w:hAnsi="Aptos Narrow"/>
                <w:color w:val="000000"/>
              </w:rPr>
            </w:pPr>
            <w:r>
              <w:rPr>
                <w:rFonts w:ascii="Aptos Narrow" w:hAnsi="Aptos Narrow"/>
                <w:color w:val="000000"/>
              </w:rPr>
              <w:t xml:space="preserve">35,766,669 </w:t>
            </w:r>
          </w:p>
          <w:p w14:paraId="7874A527" w14:textId="1D177E35" w:rsidR="00546AA4" w:rsidRDefault="00546AA4" w:rsidP="00546AA4">
            <w:pPr>
              <w:spacing w:beforeAutospacing="1" w:afterAutospacing="1"/>
            </w:pPr>
            <w:r w:rsidRPr="005345AC">
              <w:rPr>
                <w:color w:val="000000"/>
              </w:rPr>
              <w:t xml:space="preserve">             </w:t>
            </w:r>
          </w:p>
        </w:tc>
        <w:tc>
          <w:tcPr>
            <w:tcW w:w="3440" w:type="dxa"/>
          </w:tcPr>
          <w:p w14:paraId="2DF0CB78" w14:textId="252B45F9" w:rsidR="00546AA4" w:rsidRDefault="00546AA4" w:rsidP="00546AA4">
            <w:pPr>
              <w:spacing w:beforeAutospacing="1" w:afterAutospacing="1"/>
            </w:pPr>
            <w:r>
              <w:rPr>
                <w:color w:val="000000"/>
              </w:rPr>
              <w:t xml:space="preserve">Acquisition, </w:t>
            </w:r>
            <w:r>
              <w:rPr>
                <w:color w:val="000000"/>
              </w:rPr>
              <w:br/>
              <w:t>Construction, Rehabilitation, Permanent Financing, and TBRA are all eligible activities for IHFAs HOME funds.</w:t>
            </w:r>
          </w:p>
        </w:tc>
      </w:tr>
      <w:tr w:rsidR="00C83593" w14:paraId="16094EFF" w14:textId="77777777" w:rsidTr="00F974B3">
        <w:trPr>
          <w:cantSplit/>
        </w:trPr>
        <w:tc>
          <w:tcPr>
            <w:tcW w:w="929" w:type="dxa"/>
          </w:tcPr>
          <w:p w14:paraId="55254046" w14:textId="77777777" w:rsidR="00546AA4" w:rsidRDefault="00546AA4" w:rsidP="00546AA4">
            <w:pPr>
              <w:spacing w:beforeAutospacing="1" w:afterAutospacing="1"/>
            </w:pPr>
            <w:r>
              <w:rPr>
                <w:color w:val="000000"/>
              </w:rPr>
              <w:t>ESG</w:t>
            </w:r>
          </w:p>
        </w:tc>
        <w:tc>
          <w:tcPr>
            <w:tcW w:w="897" w:type="dxa"/>
          </w:tcPr>
          <w:p w14:paraId="111F9207" w14:textId="77777777" w:rsidR="00546AA4" w:rsidRDefault="00546AA4" w:rsidP="00546AA4">
            <w:pPr>
              <w:spacing w:beforeAutospacing="1" w:afterAutospacing="1"/>
            </w:pPr>
            <w:r>
              <w:rPr>
                <w:color w:val="000000"/>
              </w:rPr>
              <w:t>public - federal</w:t>
            </w:r>
          </w:p>
        </w:tc>
        <w:tc>
          <w:tcPr>
            <w:tcW w:w="1727" w:type="dxa"/>
          </w:tcPr>
          <w:p w14:paraId="0331CCCC" w14:textId="27A4F939" w:rsidR="00546AA4" w:rsidRDefault="008960A3" w:rsidP="00546AA4">
            <w:pPr>
              <w:spacing w:beforeAutospacing="1" w:afterAutospacing="1"/>
            </w:pPr>
            <w:r>
              <w:rPr>
                <w:color w:val="000000"/>
              </w:rPr>
              <w:t>Financial Assistance,</w:t>
            </w:r>
            <w:r>
              <w:rPr>
                <w:color w:val="000000"/>
              </w:rPr>
              <w:br/>
              <w:t>Overnight Shelter,</w:t>
            </w:r>
            <w:r>
              <w:rPr>
                <w:color w:val="000000"/>
              </w:rPr>
              <w:br/>
              <w:t>Rapid Re-Housing,</w:t>
            </w:r>
            <w:r>
              <w:rPr>
                <w:color w:val="000000"/>
              </w:rPr>
              <w:br/>
              <w:t>Rental Assistance,</w:t>
            </w:r>
            <w:r>
              <w:rPr>
                <w:color w:val="000000"/>
              </w:rPr>
              <w:br/>
              <w:t>Services,</w:t>
            </w:r>
            <w:r>
              <w:rPr>
                <w:color w:val="000000"/>
              </w:rPr>
              <w:br/>
              <w:t>Transitional Housing</w:t>
            </w:r>
          </w:p>
        </w:tc>
        <w:tc>
          <w:tcPr>
            <w:tcW w:w="1114" w:type="dxa"/>
          </w:tcPr>
          <w:p w14:paraId="288A4EB4" w14:textId="4F65F3F1" w:rsidR="00546AA4" w:rsidRDefault="00546AA4" w:rsidP="00F974B3">
            <w:pPr>
              <w:spacing w:beforeAutospacing="1" w:afterAutospacing="1"/>
            </w:pPr>
            <w:r>
              <w:rPr>
                <w:color w:val="000000"/>
              </w:rPr>
              <w:t>1,115,776</w:t>
            </w:r>
          </w:p>
        </w:tc>
        <w:tc>
          <w:tcPr>
            <w:tcW w:w="1107" w:type="dxa"/>
          </w:tcPr>
          <w:p w14:paraId="5CFA29C1" w14:textId="154C49C8" w:rsidR="00546AA4" w:rsidRDefault="00546AA4" w:rsidP="00F974B3">
            <w:pPr>
              <w:spacing w:beforeAutospacing="1" w:afterAutospacing="1"/>
            </w:pPr>
            <w:r>
              <w:rPr>
                <w:color w:val="000000"/>
              </w:rPr>
              <w:t>0</w:t>
            </w:r>
          </w:p>
        </w:tc>
        <w:tc>
          <w:tcPr>
            <w:tcW w:w="1115" w:type="dxa"/>
          </w:tcPr>
          <w:p w14:paraId="0420C435" w14:textId="2AB74058" w:rsidR="00546AA4" w:rsidRDefault="00546AA4" w:rsidP="00F974B3">
            <w:pPr>
              <w:spacing w:beforeAutospacing="1" w:afterAutospacing="1"/>
            </w:pPr>
            <w:r>
              <w:rPr>
                <w:color w:val="000000"/>
              </w:rPr>
              <w:t>0</w:t>
            </w:r>
          </w:p>
        </w:tc>
        <w:tc>
          <w:tcPr>
            <w:tcW w:w="1218" w:type="dxa"/>
          </w:tcPr>
          <w:p w14:paraId="7813D8BA" w14:textId="532C3CC5" w:rsidR="00546AA4" w:rsidRDefault="00546AA4" w:rsidP="00F974B3">
            <w:pPr>
              <w:spacing w:beforeAutospacing="1" w:afterAutospacing="1"/>
            </w:pPr>
            <w:r>
              <w:rPr>
                <w:color w:val="000000"/>
              </w:rPr>
              <w:t>1,115,776</w:t>
            </w:r>
          </w:p>
        </w:tc>
        <w:tc>
          <w:tcPr>
            <w:tcW w:w="1403" w:type="dxa"/>
          </w:tcPr>
          <w:p w14:paraId="2C6E4F9B" w14:textId="36C7EDF1" w:rsidR="00546AA4" w:rsidRDefault="00F974B3" w:rsidP="00F974B3">
            <w:pPr>
              <w:spacing w:beforeAutospacing="1" w:afterAutospacing="1"/>
            </w:pPr>
            <w:r>
              <w:rPr>
                <w:color w:val="000000"/>
              </w:rPr>
              <w:t>4,463,104</w:t>
            </w:r>
            <w:r w:rsidR="00546AA4" w:rsidRPr="005345AC">
              <w:rPr>
                <w:color w:val="000000"/>
              </w:rPr>
              <w:t xml:space="preserve">                            </w:t>
            </w:r>
          </w:p>
        </w:tc>
        <w:tc>
          <w:tcPr>
            <w:tcW w:w="3440" w:type="dxa"/>
          </w:tcPr>
          <w:p w14:paraId="1EF0C6DA" w14:textId="0974EFED" w:rsidR="00546AA4" w:rsidRDefault="00546AA4" w:rsidP="00546AA4">
            <w:pPr>
              <w:spacing w:beforeAutospacing="1" w:afterAutospacing="1"/>
            </w:pPr>
            <w:r w:rsidRPr="787E070B">
              <w:rPr>
                <w:color w:val="000000" w:themeColor="text1"/>
              </w:rPr>
              <w:t xml:space="preserve">Shelter Operations and </w:t>
            </w:r>
            <w:r>
              <w:rPr>
                <w:color w:val="000000" w:themeColor="text1"/>
              </w:rPr>
              <w:t>S</w:t>
            </w:r>
            <w:r w:rsidRPr="787E070B">
              <w:rPr>
                <w:color w:val="000000" w:themeColor="text1"/>
              </w:rPr>
              <w:t xml:space="preserve">ervices, </w:t>
            </w:r>
            <w:r>
              <w:rPr>
                <w:color w:val="000000" w:themeColor="text1"/>
              </w:rPr>
              <w:t>H</w:t>
            </w:r>
            <w:r w:rsidRPr="787E070B">
              <w:rPr>
                <w:color w:val="000000" w:themeColor="text1"/>
              </w:rPr>
              <w:t xml:space="preserve">omelessness </w:t>
            </w:r>
            <w:r>
              <w:rPr>
                <w:color w:val="000000" w:themeColor="text1"/>
              </w:rPr>
              <w:t>P</w:t>
            </w:r>
            <w:r w:rsidRPr="787E070B">
              <w:rPr>
                <w:color w:val="000000" w:themeColor="text1"/>
              </w:rPr>
              <w:t xml:space="preserve">revention and </w:t>
            </w:r>
            <w:r>
              <w:rPr>
                <w:color w:val="000000" w:themeColor="text1"/>
              </w:rPr>
              <w:t>R</w:t>
            </w:r>
            <w:r w:rsidRPr="787E070B">
              <w:rPr>
                <w:color w:val="000000" w:themeColor="text1"/>
              </w:rPr>
              <w:t xml:space="preserve">apid </w:t>
            </w:r>
            <w:r>
              <w:rPr>
                <w:color w:val="000000" w:themeColor="text1"/>
              </w:rPr>
              <w:t>R</w:t>
            </w:r>
            <w:r w:rsidRPr="787E070B">
              <w:rPr>
                <w:color w:val="000000" w:themeColor="text1"/>
              </w:rPr>
              <w:t>e-housing</w:t>
            </w:r>
            <w:r>
              <w:rPr>
                <w:color w:val="000000"/>
              </w:rPr>
              <w:t xml:space="preserve"> are all eligible activities for ESG funds.</w:t>
            </w:r>
          </w:p>
        </w:tc>
      </w:tr>
      <w:tr w:rsidR="00C83593" w14:paraId="6EA788BA" w14:textId="77777777" w:rsidTr="00F974B3">
        <w:trPr>
          <w:cantSplit/>
        </w:trPr>
        <w:tc>
          <w:tcPr>
            <w:tcW w:w="929" w:type="dxa"/>
          </w:tcPr>
          <w:p w14:paraId="7E285025" w14:textId="77777777" w:rsidR="00546AA4" w:rsidRDefault="00546AA4" w:rsidP="00546AA4">
            <w:pPr>
              <w:spacing w:beforeAutospacing="1" w:afterAutospacing="1"/>
            </w:pPr>
            <w:r>
              <w:rPr>
                <w:color w:val="000000"/>
              </w:rPr>
              <w:lastRenderedPageBreak/>
              <w:t>HTF</w:t>
            </w:r>
          </w:p>
        </w:tc>
        <w:tc>
          <w:tcPr>
            <w:tcW w:w="897" w:type="dxa"/>
          </w:tcPr>
          <w:p w14:paraId="6B978E87" w14:textId="77777777" w:rsidR="00546AA4" w:rsidRDefault="00546AA4" w:rsidP="00546AA4">
            <w:pPr>
              <w:spacing w:beforeAutospacing="1" w:afterAutospacing="1"/>
            </w:pPr>
            <w:r>
              <w:rPr>
                <w:color w:val="000000"/>
              </w:rPr>
              <w:t>public - federal</w:t>
            </w:r>
          </w:p>
        </w:tc>
        <w:tc>
          <w:tcPr>
            <w:tcW w:w="1727" w:type="dxa"/>
          </w:tcPr>
          <w:p w14:paraId="3043D13F" w14:textId="7AB3D146" w:rsidR="00546AA4" w:rsidRPr="008960A3" w:rsidRDefault="00546AA4" w:rsidP="00546AA4">
            <w:pPr>
              <w:spacing w:beforeAutospacing="1" w:afterAutospacing="1"/>
              <w:rPr>
                <w:color w:val="000000"/>
              </w:rPr>
            </w:pPr>
            <w:r>
              <w:rPr>
                <w:color w:val="000000"/>
              </w:rPr>
              <w:t>Acquisition</w:t>
            </w:r>
            <w:r w:rsidR="008960A3">
              <w:rPr>
                <w:color w:val="000000"/>
              </w:rPr>
              <w:t>,</w:t>
            </w:r>
            <w:r>
              <w:rPr>
                <w:color w:val="000000"/>
              </w:rPr>
              <w:br/>
              <w:t>Admin and Planning</w:t>
            </w:r>
            <w:r w:rsidR="008960A3">
              <w:rPr>
                <w:color w:val="000000"/>
              </w:rPr>
              <w:t>,</w:t>
            </w:r>
            <w:r w:rsidR="008960A3">
              <w:rPr>
                <w:color w:val="000000"/>
              </w:rPr>
              <w:br/>
            </w:r>
            <w:r>
              <w:rPr>
                <w:color w:val="000000"/>
              </w:rPr>
              <w:t xml:space="preserve">Multifamily </w:t>
            </w:r>
            <w:r w:rsidR="008960A3">
              <w:rPr>
                <w:color w:val="000000"/>
              </w:rPr>
              <w:t>R</w:t>
            </w:r>
            <w:r>
              <w:rPr>
                <w:color w:val="000000"/>
              </w:rPr>
              <w:t xml:space="preserve">ental </w:t>
            </w:r>
            <w:r w:rsidR="008960A3">
              <w:rPr>
                <w:color w:val="000000"/>
              </w:rPr>
              <w:t>N</w:t>
            </w:r>
            <w:r>
              <w:rPr>
                <w:color w:val="000000"/>
              </w:rPr>
              <w:t xml:space="preserve">ew </w:t>
            </w:r>
            <w:r w:rsidR="008960A3">
              <w:rPr>
                <w:color w:val="000000"/>
              </w:rPr>
              <w:t>C</w:t>
            </w:r>
            <w:r>
              <w:rPr>
                <w:color w:val="000000"/>
              </w:rPr>
              <w:t>onstruction</w:t>
            </w:r>
            <w:r w:rsidR="008960A3">
              <w:rPr>
                <w:color w:val="000000"/>
              </w:rPr>
              <w:t>,</w:t>
            </w:r>
            <w:r>
              <w:rPr>
                <w:color w:val="000000"/>
              </w:rPr>
              <w:br/>
              <w:t xml:space="preserve">Multifamily </w:t>
            </w:r>
            <w:r w:rsidR="008960A3">
              <w:rPr>
                <w:color w:val="000000"/>
              </w:rPr>
              <w:t>R</w:t>
            </w:r>
            <w:r>
              <w:rPr>
                <w:color w:val="000000"/>
              </w:rPr>
              <w:t xml:space="preserve">ental </w:t>
            </w:r>
            <w:r w:rsidR="008960A3">
              <w:rPr>
                <w:color w:val="000000"/>
              </w:rPr>
              <w:t>R</w:t>
            </w:r>
            <w:r>
              <w:rPr>
                <w:color w:val="000000"/>
              </w:rPr>
              <w:t>ehab</w:t>
            </w:r>
          </w:p>
        </w:tc>
        <w:tc>
          <w:tcPr>
            <w:tcW w:w="1114" w:type="dxa"/>
          </w:tcPr>
          <w:p w14:paraId="34BF2FA2" w14:textId="05E19EAB" w:rsidR="00546AA4" w:rsidRDefault="00546AA4" w:rsidP="00F974B3">
            <w:pPr>
              <w:spacing w:beforeAutospacing="1" w:afterAutospacing="1"/>
            </w:pPr>
            <w:r>
              <w:rPr>
                <w:color w:val="000000"/>
              </w:rPr>
              <w:t>3,000,000</w:t>
            </w:r>
          </w:p>
        </w:tc>
        <w:tc>
          <w:tcPr>
            <w:tcW w:w="1107" w:type="dxa"/>
          </w:tcPr>
          <w:p w14:paraId="25933A36" w14:textId="75C351B7" w:rsidR="00546AA4" w:rsidRDefault="00546AA4" w:rsidP="00F974B3">
            <w:pPr>
              <w:spacing w:beforeAutospacing="1" w:afterAutospacing="1"/>
            </w:pPr>
            <w:r>
              <w:rPr>
                <w:color w:val="000000"/>
              </w:rPr>
              <w:t>0</w:t>
            </w:r>
          </w:p>
        </w:tc>
        <w:tc>
          <w:tcPr>
            <w:tcW w:w="1115" w:type="dxa"/>
          </w:tcPr>
          <w:p w14:paraId="1C2CF3B9" w14:textId="6122D93B" w:rsidR="00546AA4" w:rsidRDefault="00546AA4" w:rsidP="00F974B3">
            <w:pPr>
              <w:spacing w:beforeAutospacing="1" w:afterAutospacing="1"/>
            </w:pPr>
            <w:r>
              <w:rPr>
                <w:color w:val="000000"/>
              </w:rPr>
              <w:t>0</w:t>
            </w:r>
          </w:p>
        </w:tc>
        <w:tc>
          <w:tcPr>
            <w:tcW w:w="1218" w:type="dxa"/>
          </w:tcPr>
          <w:p w14:paraId="038ECC57" w14:textId="6BDA3291" w:rsidR="00546AA4" w:rsidRDefault="00546AA4" w:rsidP="00F974B3">
            <w:pPr>
              <w:spacing w:beforeAutospacing="1" w:afterAutospacing="1"/>
            </w:pPr>
            <w:r>
              <w:rPr>
                <w:color w:val="000000"/>
              </w:rPr>
              <w:t>3,000,000</w:t>
            </w:r>
          </w:p>
        </w:tc>
        <w:tc>
          <w:tcPr>
            <w:tcW w:w="1403" w:type="dxa"/>
          </w:tcPr>
          <w:p w14:paraId="1841C7B3" w14:textId="2AE2E3BC" w:rsidR="00546AA4" w:rsidRDefault="00546AA4" w:rsidP="00F974B3">
            <w:pPr>
              <w:spacing w:beforeAutospacing="1" w:afterAutospacing="1"/>
            </w:pPr>
            <w:r>
              <w:t>12,000,000</w:t>
            </w:r>
          </w:p>
        </w:tc>
        <w:tc>
          <w:tcPr>
            <w:tcW w:w="3440" w:type="dxa"/>
          </w:tcPr>
          <w:p w14:paraId="2E96EA4E" w14:textId="7B2FD70C" w:rsidR="00546AA4" w:rsidRDefault="00546AA4" w:rsidP="00546AA4">
            <w:pPr>
              <w:spacing w:beforeAutospacing="1" w:afterAutospacing="1"/>
            </w:pPr>
            <w:r>
              <w:rPr>
                <w:color w:val="000000"/>
              </w:rPr>
              <w:t xml:space="preserve">Extremely </w:t>
            </w:r>
            <w:r w:rsidR="00F974B3">
              <w:rPr>
                <w:color w:val="000000"/>
              </w:rPr>
              <w:t>low-income</w:t>
            </w:r>
            <w:r>
              <w:rPr>
                <w:color w:val="000000"/>
              </w:rPr>
              <w:t xml:space="preserve"> rental units may be rehabbed and constructed with HTF funds.</w:t>
            </w:r>
          </w:p>
        </w:tc>
      </w:tr>
    </w:tbl>
    <w:p w14:paraId="7578E3DF" w14:textId="77777777" w:rsidR="009A2C2E" w:rsidRDefault="009A2C2E" w:rsidP="009A2C2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Expected Resources – Priority Table</w:t>
      </w:r>
    </w:p>
    <w:p w14:paraId="39CAD1BB" w14:textId="77777777" w:rsidR="009A2C2E" w:rsidRDefault="009A2C2E" w:rsidP="009A2C2E">
      <w:pPr>
        <w:spacing w:after="0" w:line="240" w:lineRule="auto"/>
        <w:rPr>
          <w:b/>
          <w:sz w:val="24"/>
          <w:szCs w:val="24"/>
        </w:rPr>
      </w:pPr>
    </w:p>
    <w:p w14:paraId="52A78B7A" w14:textId="77777777" w:rsidR="003D336B" w:rsidRDefault="003D336B" w:rsidP="009A2C2E">
      <w:pPr>
        <w:widowControl w:val="0"/>
        <w:rPr>
          <w:b/>
          <w:sz w:val="24"/>
          <w:szCs w:val="24"/>
        </w:rPr>
        <w:sectPr w:rsidR="003D336B" w:rsidSect="003D336B">
          <w:pgSz w:w="15840" w:h="12240" w:orient="landscape" w:code="1"/>
          <w:pgMar w:top="1440" w:right="1440" w:bottom="1440" w:left="1440" w:header="720" w:footer="720" w:gutter="0"/>
          <w:cols w:space="720"/>
          <w:docGrid w:linePitch="360"/>
        </w:sectPr>
      </w:pPr>
    </w:p>
    <w:p w14:paraId="34DCC62E" w14:textId="77777777" w:rsidR="009A2C2E" w:rsidRDefault="009A2C2E" w:rsidP="009A2C2E">
      <w:pPr>
        <w:widowControl w:val="0"/>
        <w:rPr>
          <w:b/>
          <w:sz w:val="24"/>
          <w:szCs w:val="24"/>
        </w:rPr>
      </w:pPr>
      <w:r>
        <w:rPr>
          <w:b/>
          <w:sz w:val="24"/>
          <w:szCs w:val="24"/>
        </w:rPr>
        <w:lastRenderedPageBreak/>
        <w:t>Explain how federal funds will leverage those additional resources (private, state and local funds), including a description of how matching requirements will be satisfied</w:t>
      </w:r>
    </w:p>
    <w:p w14:paraId="452BE6B4" w14:textId="59E9DE34" w:rsidR="003D336B" w:rsidRPr="00F974B3" w:rsidRDefault="00F974B3" w:rsidP="00F974B3">
      <w:pPr>
        <w:widowControl w:val="0"/>
        <w:spacing w:beforeAutospacing="1" w:afterAutospacing="1"/>
        <w:jc w:val="both"/>
        <w:rPr>
          <w:sz w:val="24"/>
          <w:szCs w:val="24"/>
        </w:rPr>
      </w:pPr>
      <w:proofErr w:type="gramStart"/>
      <w:r w:rsidRPr="00F974B3">
        <w:rPr>
          <w:b/>
          <w:sz w:val="24"/>
          <w:szCs w:val="24"/>
        </w:rPr>
        <w:t>Community</w:t>
      </w:r>
      <w:proofErr w:type="gramEnd"/>
      <w:r w:rsidRPr="00F974B3">
        <w:rPr>
          <w:b/>
          <w:sz w:val="24"/>
          <w:szCs w:val="24"/>
        </w:rPr>
        <w:t xml:space="preserve"> Development Block Grant (</w:t>
      </w:r>
      <w:proofErr w:type="gramStart"/>
      <w:r w:rsidR="003D336B" w:rsidRPr="00F974B3">
        <w:rPr>
          <w:b/>
          <w:sz w:val="24"/>
          <w:szCs w:val="24"/>
        </w:rPr>
        <w:t>CDBG </w:t>
      </w:r>
      <w:r w:rsidRPr="00F974B3">
        <w:rPr>
          <w:b/>
          <w:sz w:val="24"/>
          <w:szCs w:val="24"/>
        </w:rPr>
        <w:t>)</w:t>
      </w:r>
      <w:proofErr w:type="gramEnd"/>
      <w:r w:rsidRPr="00F974B3">
        <w:rPr>
          <w:b/>
          <w:sz w:val="24"/>
          <w:szCs w:val="24"/>
        </w:rPr>
        <w:t xml:space="preserve"> </w:t>
      </w:r>
      <w:r w:rsidR="003D336B" w:rsidRPr="00F974B3">
        <w:rPr>
          <w:sz w:val="24"/>
          <w:szCs w:val="24"/>
        </w:rPr>
        <w:t xml:space="preserve">program does not require match except for administration at the State level, but CDBG does award points to projects based partially on the percentage of match they provide to the project. The local, State, and federal match categories leverage the CDBG funds by completing the funding package necessary to construct public facilities and infrastructure and housing related projects. The private match leverage is from businesses expanding or building new facilities </w:t>
      </w:r>
      <w:proofErr w:type="gramStart"/>
      <w:r w:rsidR="003D336B" w:rsidRPr="00F974B3">
        <w:rPr>
          <w:sz w:val="24"/>
          <w:szCs w:val="24"/>
        </w:rPr>
        <w:t>as a result of</w:t>
      </w:r>
      <w:proofErr w:type="gramEnd"/>
      <w:r w:rsidR="003D336B" w:rsidRPr="00F974B3">
        <w:rPr>
          <w:sz w:val="24"/>
          <w:szCs w:val="24"/>
        </w:rPr>
        <w:t xml:space="preserve"> the CDBG infrastructure improvements.</w:t>
      </w:r>
    </w:p>
    <w:p w14:paraId="403E6FD7" w14:textId="15BB491E" w:rsidR="003D336B" w:rsidRPr="00F974B3" w:rsidRDefault="003D336B" w:rsidP="00F974B3">
      <w:pPr>
        <w:widowControl w:val="0"/>
        <w:spacing w:beforeAutospacing="1" w:afterAutospacing="1"/>
        <w:jc w:val="both"/>
        <w:rPr>
          <w:sz w:val="24"/>
          <w:szCs w:val="24"/>
        </w:rPr>
      </w:pPr>
      <w:r w:rsidRPr="00F974B3">
        <w:rPr>
          <w:sz w:val="24"/>
          <w:szCs w:val="24"/>
        </w:rPr>
        <w:t xml:space="preserve">With the projected $41 million over the </w:t>
      </w:r>
      <w:r w:rsidR="03432809" w:rsidRPr="00F974B3">
        <w:rPr>
          <w:sz w:val="24"/>
          <w:szCs w:val="24"/>
        </w:rPr>
        <w:t>five (</w:t>
      </w:r>
      <w:r w:rsidRPr="00F974B3">
        <w:rPr>
          <w:sz w:val="24"/>
          <w:szCs w:val="24"/>
        </w:rPr>
        <w:t>5</w:t>
      </w:r>
      <w:r w:rsidR="5178213C" w:rsidRPr="00F974B3">
        <w:rPr>
          <w:sz w:val="24"/>
          <w:szCs w:val="24"/>
        </w:rPr>
        <w:t>)</w:t>
      </w:r>
      <w:r w:rsidR="35F88D6A" w:rsidRPr="00F974B3">
        <w:rPr>
          <w:sz w:val="24"/>
          <w:szCs w:val="24"/>
        </w:rPr>
        <w:t>-</w:t>
      </w:r>
      <w:r w:rsidRPr="00F974B3">
        <w:rPr>
          <w:sz w:val="24"/>
          <w:szCs w:val="24"/>
        </w:rPr>
        <w:t>year period Idaho Department of Commerce expects to receive in CDBG funding it is estimated a total of $37 million annually from other local, State, Federal, and private sources will be partnered with CDBG funded project.</w:t>
      </w:r>
    </w:p>
    <w:p w14:paraId="36556CE3" w14:textId="682ABF3F" w:rsidR="003D336B" w:rsidRPr="00F974B3" w:rsidRDefault="00F974B3" w:rsidP="00F974B3">
      <w:pPr>
        <w:widowControl w:val="0"/>
        <w:spacing w:beforeAutospacing="1" w:afterAutospacing="1"/>
        <w:jc w:val="both"/>
        <w:rPr>
          <w:sz w:val="24"/>
          <w:szCs w:val="24"/>
        </w:rPr>
      </w:pPr>
      <w:r w:rsidRPr="00F974B3">
        <w:rPr>
          <w:b/>
          <w:sz w:val="24"/>
          <w:szCs w:val="24"/>
        </w:rPr>
        <w:t xml:space="preserve">Emergency </w:t>
      </w:r>
      <w:proofErr w:type="spellStart"/>
      <w:r w:rsidRPr="00F974B3">
        <w:rPr>
          <w:b/>
          <w:sz w:val="24"/>
          <w:szCs w:val="24"/>
        </w:rPr>
        <w:t>Solutios</w:t>
      </w:r>
      <w:proofErr w:type="spellEnd"/>
      <w:r w:rsidRPr="00F974B3">
        <w:rPr>
          <w:b/>
          <w:sz w:val="24"/>
          <w:szCs w:val="24"/>
        </w:rPr>
        <w:t xml:space="preserve"> Grant (</w:t>
      </w:r>
      <w:r w:rsidR="003D336B" w:rsidRPr="00F974B3">
        <w:rPr>
          <w:b/>
          <w:sz w:val="24"/>
          <w:szCs w:val="24"/>
        </w:rPr>
        <w:t>ESG</w:t>
      </w:r>
      <w:r w:rsidRPr="00F974B3">
        <w:rPr>
          <w:b/>
          <w:sz w:val="24"/>
          <w:szCs w:val="24"/>
        </w:rPr>
        <w:t>)</w:t>
      </w:r>
      <w:r w:rsidR="003D336B" w:rsidRPr="00F974B3">
        <w:rPr>
          <w:sz w:val="24"/>
          <w:szCs w:val="24"/>
        </w:rPr>
        <w:t xml:space="preserve"> match contributions include external funding from a variety of federal, state, local, and private sources. ESG imposes a 100% match requirement which may be fulfilled by cash donations or in-kind services. These cash and in-kind donations to the ESG program encourage and support numerous activities including homeownership, increasing access to facilities and services, case management, life skills guidance, and counseling, among other support and service efforts.</w:t>
      </w:r>
    </w:p>
    <w:p w14:paraId="388786A2" w14:textId="77661438" w:rsidR="003D336B" w:rsidRPr="00F974B3" w:rsidRDefault="72B03E43" w:rsidP="00F974B3">
      <w:pPr>
        <w:widowControl w:val="0"/>
        <w:spacing w:beforeAutospacing="1" w:afterAutospacing="1"/>
        <w:jc w:val="both"/>
        <w:rPr>
          <w:sz w:val="24"/>
          <w:szCs w:val="24"/>
        </w:rPr>
      </w:pPr>
      <w:r w:rsidRPr="00F974B3">
        <w:rPr>
          <w:sz w:val="24"/>
          <w:szCs w:val="24"/>
        </w:rPr>
        <w:t xml:space="preserve">The </w:t>
      </w:r>
      <w:r w:rsidR="003D336B" w:rsidRPr="00F974B3">
        <w:rPr>
          <w:b/>
          <w:sz w:val="24"/>
          <w:szCs w:val="24"/>
        </w:rPr>
        <w:t>HOME</w:t>
      </w:r>
      <w:r w:rsidR="003D336B" w:rsidRPr="00F974B3">
        <w:rPr>
          <w:sz w:val="24"/>
          <w:szCs w:val="24"/>
        </w:rPr>
        <w:t xml:space="preserve"> program provides the gap financing to eligible and approved owners and developers for rental and homebuyer activities. HOME funds are leveraged to the maximum extent feasible, with private and federal program funds. IHFA incurs a 25% match liability for every HOME entitlement dollar expended on housing activities. IHFA meets its match liability by identifying and banking eligible forms match as defined at HOME CPD Notice 97-03.</w:t>
      </w:r>
    </w:p>
    <w:p w14:paraId="063F1BE2" w14:textId="10164E67" w:rsidR="003D336B" w:rsidRPr="00F974B3" w:rsidRDefault="003D336B" w:rsidP="00F974B3">
      <w:pPr>
        <w:widowControl w:val="0"/>
        <w:spacing w:beforeAutospacing="1" w:afterAutospacing="1"/>
        <w:jc w:val="both"/>
        <w:rPr>
          <w:sz w:val="24"/>
          <w:szCs w:val="24"/>
        </w:rPr>
      </w:pPr>
      <w:r w:rsidRPr="00F974B3">
        <w:rPr>
          <w:sz w:val="24"/>
          <w:szCs w:val="24"/>
        </w:rPr>
        <w:t xml:space="preserve">Ten percent (10%) of each annual allocation and program income may be used for HOME administrative costs, 5% of each allocation may be awarded to </w:t>
      </w:r>
      <w:r w:rsidR="41DDFD74" w:rsidRPr="00F974B3">
        <w:rPr>
          <w:sz w:val="24"/>
          <w:szCs w:val="24"/>
        </w:rPr>
        <w:t>Community Housing Development Organization</w:t>
      </w:r>
      <w:r w:rsidR="35F88D6A" w:rsidRPr="00F974B3">
        <w:rPr>
          <w:sz w:val="24"/>
          <w:szCs w:val="24"/>
        </w:rPr>
        <w:t xml:space="preserve"> </w:t>
      </w:r>
      <w:r w:rsidR="25C47083" w:rsidRPr="00F974B3">
        <w:rPr>
          <w:sz w:val="24"/>
          <w:szCs w:val="24"/>
        </w:rPr>
        <w:t>(</w:t>
      </w:r>
      <w:r w:rsidR="35F88D6A" w:rsidRPr="00F974B3">
        <w:rPr>
          <w:sz w:val="24"/>
          <w:szCs w:val="24"/>
        </w:rPr>
        <w:t>CHDO</w:t>
      </w:r>
      <w:r w:rsidR="06517348" w:rsidRPr="00F974B3">
        <w:rPr>
          <w:sz w:val="24"/>
          <w:szCs w:val="24"/>
        </w:rPr>
        <w:t>)</w:t>
      </w:r>
      <w:r w:rsidR="35F88D6A" w:rsidRPr="00F974B3">
        <w:rPr>
          <w:sz w:val="24"/>
          <w:szCs w:val="24"/>
        </w:rPr>
        <w:t>s</w:t>
      </w:r>
      <w:r w:rsidRPr="00F974B3">
        <w:rPr>
          <w:sz w:val="24"/>
          <w:szCs w:val="24"/>
        </w:rPr>
        <w:t xml:space="preserve"> as an annual operating assistance grant. The remaining funds are awarded to owners, developers, and homebuyers for eligible HOME-assisted activities.</w:t>
      </w:r>
    </w:p>
    <w:p w14:paraId="3E1D514B" w14:textId="7C1081A6" w:rsidR="003D336B" w:rsidRPr="00F974B3" w:rsidRDefault="003D336B" w:rsidP="00F974B3">
      <w:pPr>
        <w:widowControl w:val="0"/>
        <w:spacing w:beforeAutospacing="1" w:afterAutospacing="1"/>
        <w:jc w:val="both"/>
        <w:rPr>
          <w:sz w:val="24"/>
          <w:szCs w:val="24"/>
        </w:rPr>
      </w:pPr>
      <w:r w:rsidRPr="00F974B3">
        <w:rPr>
          <w:b/>
          <w:sz w:val="24"/>
          <w:szCs w:val="24"/>
        </w:rPr>
        <w:t>Housing Trust Fund</w:t>
      </w:r>
      <w:r w:rsidRPr="00F974B3">
        <w:rPr>
          <w:sz w:val="24"/>
          <w:szCs w:val="24"/>
        </w:rPr>
        <w:t xml:space="preserve"> </w:t>
      </w:r>
      <w:r w:rsidR="6E4B1E37" w:rsidRPr="00F974B3">
        <w:rPr>
          <w:b/>
          <w:bCs/>
          <w:sz w:val="24"/>
          <w:szCs w:val="24"/>
        </w:rPr>
        <w:t>(HTF)</w:t>
      </w:r>
      <w:r w:rsidR="6E4B1E37" w:rsidRPr="00F974B3">
        <w:rPr>
          <w:sz w:val="24"/>
          <w:szCs w:val="24"/>
        </w:rPr>
        <w:t xml:space="preserve"> </w:t>
      </w:r>
      <w:r w:rsidRPr="00F974B3">
        <w:rPr>
          <w:sz w:val="24"/>
          <w:szCs w:val="24"/>
        </w:rPr>
        <w:t xml:space="preserve">does not require matching funds. Housing Trust Fund- 90% of each allocation will be used for eligible HTF rental activities. </w:t>
      </w:r>
      <w:r w:rsidR="0066278A" w:rsidRPr="00F974B3">
        <w:rPr>
          <w:sz w:val="24"/>
          <w:szCs w:val="24"/>
        </w:rPr>
        <w:t xml:space="preserve">Ten </w:t>
      </w:r>
      <w:r w:rsidR="35F88D6A" w:rsidRPr="00F974B3">
        <w:rPr>
          <w:sz w:val="24"/>
          <w:szCs w:val="24"/>
        </w:rPr>
        <w:t>percent</w:t>
      </w:r>
      <w:r w:rsidR="1513A95C" w:rsidRPr="00F974B3">
        <w:rPr>
          <w:sz w:val="24"/>
          <w:szCs w:val="24"/>
        </w:rPr>
        <w:t xml:space="preserve"> </w:t>
      </w:r>
      <w:r w:rsidR="0066278A" w:rsidRPr="00F974B3">
        <w:rPr>
          <w:sz w:val="24"/>
          <w:szCs w:val="24"/>
        </w:rPr>
        <w:t>(</w:t>
      </w:r>
      <w:r w:rsidRPr="00F974B3">
        <w:rPr>
          <w:sz w:val="24"/>
          <w:szCs w:val="24"/>
        </w:rPr>
        <w:t>10</w:t>
      </w:r>
      <w:r w:rsidR="4F2D7363" w:rsidRPr="00F974B3">
        <w:rPr>
          <w:sz w:val="24"/>
          <w:szCs w:val="24"/>
        </w:rPr>
        <w:t>%</w:t>
      </w:r>
      <w:r w:rsidR="0D703D41" w:rsidRPr="00F974B3">
        <w:rPr>
          <w:sz w:val="24"/>
          <w:szCs w:val="24"/>
        </w:rPr>
        <w:t>)</w:t>
      </w:r>
      <w:r w:rsidRPr="00F974B3">
        <w:rPr>
          <w:sz w:val="24"/>
          <w:szCs w:val="24"/>
        </w:rPr>
        <w:t xml:space="preserve"> of each allocation may be used to help HTF units with operational support and/or operating reserves. Up to 10% of each allocation may be used by IHFA for program and administrative costs.</w:t>
      </w:r>
    </w:p>
    <w:p w14:paraId="1EDAA26B" w14:textId="77777777" w:rsidR="009A2C2E" w:rsidRDefault="009A2C2E" w:rsidP="009A2C2E">
      <w:pPr>
        <w:keepNext/>
        <w:widowControl w:val="0"/>
        <w:rPr>
          <w:b/>
          <w:sz w:val="24"/>
          <w:szCs w:val="24"/>
        </w:rPr>
        <w:sectPr w:rsidR="009A2C2E" w:rsidSect="009A2C2E">
          <w:pgSz w:w="12240" w:h="15840" w:code="1"/>
          <w:pgMar w:top="1440" w:right="1440" w:bottom="1440" w:left="1440" w:header="720" w:footer="720" w:gutter="0"/>
          <w:cols w:space="720"/>
          <w:docGrid w:linePitch="360"/>
        </w:sectPr>
      </w:pPr>
    </w:p>
    <w:p w14:paraId="44959EBD" w14:textId="77777777" w:rsidR="009A2C2E" w:rsidRDefault="009A2C2E" w:rsidP="009A2C2E">
      <w:pPr>
        <w:keepNext/>
        <w:widowControl w:val="0"/>
        <w:rPr>
          <w:b/>
          <w:sz w:val="24"/>
          <w:szCs w:val="24"/>
        </w:rPr>
      </w:pPr>
      <w:r>
        <w:rPr>
          <w:b/>
          <w:sz w:val="24"/>
          <w:szCs w:val="24"/>
        </w:rPr>
        <w:lastRenderedPageBreak/>
        <w:t xml:space="preserve">If appropriate, describe </w:t>
      </w:r>
      <w:proofErr w:type="spellStart"/>
      <w:r>
        <w:rPr>
          <w:b/>
          <w:sz w:val="24"/>
          <w:szCs w:val="24"/>
        </w:rPr>
        <w:t>publically</w:t>
      </w:r>
      <w:proofErr w:type="spellEnd"/>
      <w:r>
        <w:rPr>
          <w:b/>
          <w:sz w:val="24"/>
          <w:szCs w:val="24"/>
        </w:rPr>
        <w:t xml:space="preserve"> owned land or property located within the jurisdiction that may be used to address the needs identified in the plan</w:t>
      </w:r>
    </w:p>
    <w:p w14:paraId="3AF79785" w14:textId="77777777" w:rsidR="009A2C2E" w:rsidRDefault="009A2C2E" w:rsidP="009A2C2E">
      <w:pPr>
        <w:keepNext/>
        <w:widowControl w:val="0"/>
        <w:spacing w:beforeAutospacing="1" w:afterAutospacing="1"/>
        <w:rPr>
          <w:szCs w:val="24"/>
        </w:rPr>
      </w:pPr>
      <w:r>
        <w:t>The State of Idaho does not designate publicly owned land or property to address the needs identified in this plan.</w:t>
      </w:r>
    </w:p>
    <w:p w14:paraId="477CA182" w14:textId="77777777" w:rsidR="009A2C2E" w:rsidRDefault="009A2C2E" w:rsidP="009A2C2E">
      <w:pPr>
        <w:rPr>
          <w:b/>
          <w:sz w:val="24"/>
          <w:szCs w:val="24"/>
        </w:rPr>
      </w:pPr>
      <w:r>
        <w:rPr>
          <w:b/>
          <w:sz w:val="24"/>
          <w:szCs w:val="24"/>
        </w:rPr>
        <w:t>Discussion</w:t>
      </w:r>
    </w:p>
    <w:p w14:paraId="134CCA0D" w14:textId="77777777" w:rsidR="009A2C2E" w:rsidRDefault="009A2C2E" w:rsidP="009A2C2E"/>
    <w:p w14:paraId="03F015B1" w14:textId="77777777" w:rsidR="009A2C2E" w:rsidRDefault="009A2C2E" w:rsidP="009A2C2E">
      <w:pPr>
        <w:pStyle w:val="Heading1"/>
        <w:pageBreakBefore/>
        <w:jc w:val="center"/>
        <w:rPr>
          <w:rFonts w:ascii="Calibri" w:hAnsi="Calibri"/>
          <w:color w:val="auto"/>
          <w:sz w:val="32"/>
          <w:szCs w:val="32"/>
        </w:rPr>
        <w:sectPr w:rsidR="009A2C2E" w:rsidSect="009A2C2E">
          <w:pgSz w:w="12240" w:h="15840" w:code="1"/>
          <w:pgMar w:top="1440" w:right="1440" w:bottom="1440" w:left="1440" w:header="720" w:footer="720" w:gutter="0"/>
          <w:cols w:space="720"/>
          <w:docGrid w:linePitch="360"/>
        </w:sectPr>
      </w:pPr>
    </w:p>
    <w:p w14:paraId="5D95A588" w14:textId="77777777" w:rsidR="00DD179B" w:rsidRDefault="009A2C2E" w:rsidP="00C77057">
      <w:pPr>
        <w:pStyle w:val="Heading1"/>
        <w:pageBreakBefore/>
      </w:pPr>
      <w:bookmarkStart w:id="112" w:name="_Toc191358750"/>
      <w:bookmarkStart w:id="113" w:name="_Toc194673873"/>
      <w:r w:rsidRPr="00DD179B">
        <w:lastRenderedPageBreak/>
        <w:t>Annual Goals and Objectives</w:t>
      </w:r>
      <w:bookmarkEnd w:id="112"/>
      <w:bookmarkEnd w:id="113"/>
    </w:p>
    <w:p w14:paraId="49E8183C" w14:textId="60C4163A" w:rsidR="009A2C2E" w:rsidRPr="00C77057" w:rsidRDefault="009A2C2E" w:rsidP="00DD179B">
      <w:pPr>
        <w:pStyle w:val="Heading2"/>
        <w:rPr>
          <w:rFonts w:ascii="Calibri" w:hAnsi="Calibri"/>
        </w:rPr>
      </w:pPr>
      <w:bookmarkStart w:id="114" w:name="_Toc194673874"/>
      <w:r w:rsidRPr="787E070B">
        <w:rPr>
          <w:rFonts w:ascii="Calibri" w:hAnsi="Calibri"/>
        </w:rPr>
        <w:t>AP-20 Annual Goals and Objectives – 91.320(c)(</w:t>
      </w:r>
      <w:proofErr w:type="gramStart"/>
      <w:r w:rsidRPr="787E070B">
        <w:rPr>
          <w:rFonts w:ascii="Calibri" w:hAnsi="Calibri"/>
        </w:rPr>
        <w:t>3)&amp;</w:t>
      </w:r>
      <w:proofErr w:type="gramEnd"/>
      <w:r w:rsidRPr="787E070B">
        <w:rPr>
          <w:rFonts w:ascii="Calibri" w:hAnsi="Calibri"/>
        </w:rPr>
        <w:t>(e)</w:t>
      </w:r>
      <w:bookmarkEnd w:id="114"/>
    </w:p>
    <w:p w14:paraId="54400AB6" w14:textId="2672F736" w:rsidR="00C77057" w:rsidRDefault="009A2C2E" w:rsidP="00C77057">
      <w:pPr>
        <w:keepNext/>
        <w:widowControl w:val="0"/>
        <w:rPr>
          <w:b/>
          <w:sz w:val="24"/>
          <w:szCs w:val="24"/>
        </w:rPr>
      </w:pPr>
      <w:r>
        <w:rPr>
          <w:b/>
          <w:sz w:val="24"/>
          <w:szCs w:val="24"/>
        </w:rPr>
        <w:t xml:space="preserve">Goals Summary Information </w:t>
      </w:r>
    </w:p>
    <w:p w14:paraId="0895B8DE" w14:textId="4C24614D" w:rsidR="00AA74B5" w:rsidRDefault="00AA74B5" w:rsidP="00AA74B5">
      <w:pPr>
        <w:spacing w:before="100" w:beforeAutospacing="1" w:after="100" w:afterAutospacing="1"/>
        <w:jc w:val="both"/>
        <w:rPr>
          <w:b/>
          <w:sz w:val="24"/>
          <w:szCs w:val="24"/>
        </w:rPr>
      </w:pPr>
      <w:r w:rsidRPr="00067D97">
        <w:rPr>
          <w:rFonts w:cs="Calibri"/>
          <w:sz w:val="24"/>
          <w:szCs w:val="24"/>
        </w:rPr>
        <w:t xml:space="preserve">The Anticipated Resources Matrix </w:t>
      </w:r>
      <w:r>
        <w:rPr>
          <w:rFonts w:cs="Calibri"/>
          <w:sz w:val="24"/>
          <w:szCs w:val="24"/>
        </w:rPr>
        <w:t xml:space="preserve">in AP-15 </w:t>
      </w:r>
      <w:r w:rsidRPr="00067D97">
        <w:rPr>
          <w:rFonts w:cs="Calibri"/>
          <w:sz w:val="24"/>
          <w:szCs w:val="24"/>
        </w:rPr>
        <w:t xml:space="preserve">outlines </w:t>
      </w:r>
      <w:r>
        <w:rPr>
          <w:rFonts w:cs="Calibri"/>
          <w:sz w:val="24"/>
          <w:szCs w:val="24"/>
        </w:rPr>
        <w:t xml:space="preserve">the amount of program </w:t>
      </w:r>
      <w:r w:rsidRPr="00067D97">
        <w:rPr>
          <w:rFonts w:cs="Calibri"/>
          <w:sz w:val="24"/>
          <w:szCs w:val="24"/>
        </w:rPr>
        <w:t>funds</w:t>
      </w:r>
      <w:r>
        <w:rPr>
          <w:rFonts w:cs="Calibri"/>
          <w:sz w:val="24"/>
          <w:szCs w:val="24"/>
        </w:rPr>
        <w:t xml:space="preserve"> estimated for year one </w:t>
      </w:r>
      <w:r w:rsidRPr="00067D97">
        <w:rPr>
          <w:rFonts w:cs="Calibri"/>
          <w:sz w:val="24"/>
          <w:szCs w:val="24"/>
        </w:rPr>
        <w:t>(1) and a projection of resources between fiscal year 202</w:t>
      </w:r>
      <w:r>
        <w:rPr>
          <w:rFonts w:cs="Calibri"/>
          <w:sz w:val="24"/>
          <w:szCs w:val="24"/>
        </w:rPr>
        <w:t>6</w:t>
      </w:r>
      <w:r w:rsidRPr="00067D97">
        <w:rPr>
          <w:rFonts w:cs="Calibri"/>
          <w:sz w:val="24"/>
          <w:szCs w:val="24"/>
        </w:rPr>
        <w:t xml:space="preserve"> and fiscal year 2029. Estimates are based on 2024 allocation amounts. If the total grant received by the State is lower or higher than the funds allocated to the goals in </w:t>
      </w:r>
      <w:r>
        <w:rPr>
          <w:rFonts w:cs="Calibri"/>
          <w:sz w:val="24"/>
          <w:szCs w:val="24"/>
        </w:rPr>
        <w:t>this AP-20</w:t>
      </w:r>
      <w:r w:rsidRPr="00067D97">
        <w:rPr>
          <w:rFonts w:cs="Calibri"/>
          <w:sz w:val="24"/>
          <w:szCs w:val="24"/>
        </w:rPr>
        <w:t>, then each goal amount will be reduced or increased by the same proportion as the percentage difference between the estimated total grant and the actual total grant.</w:t>
      </w:r>
    </w:p>
    <w:tbl>
      <w:tblPr>
        <w:tblW w:w="13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937"/>
        <w:gridCol w:w="670"/>
        <w:gridCol w:w="670"/>
        <w:gridCol w:w="1531"/>
        <w:gridCol w:w="1178"/>
        <w:gridCol w:w="1715"/>
        <w:gridCol w:w="1511"/>
        <w:gridCol w:w="2881"/>
      </w:tblGrid>
      <w:tr w:rsidR="00C77057" w:rsidRPr="003D336B" w14:paraId="7E590180" w14:textId="77777777" w:rsidTr="00E46B10">
        <w:trPr>
          <w:cantSplit/>
          <w:trHeight w:val="486"/>
          <w:tblHeader/>
        </w:trPr>
        <w:tc>
          <w:tcPr>
            <w:tcW w:w="743" w:type="dxa"/>
            <w:tcBorders>
              <w:top w:val="single" w:sz="4" w:space="0" w:color="auto"/>
              <w:left w:val="single" w:sz="4" w:space="0" w:color="auto"/>
              <w:bottom w:val="single" w:sz="4" w:space="0" w:color="auto"/>
              <w:right w:val="single" w:sz="4" w:space="0" w:color="auto"/>
            </w:tcBorders>
            <w:hideMark/>
          </w:tcPr>
          <w:p w14:paraId="37E7D3A4" w14:textId="77777777" w:rsidR="00C77057" w:rsidRPr="003D336B" w:rsidRDefault="00C77057" w:rsidP="00E53512">
            <w:pPr>
              <w:keepNext/>
              <w:widowControl w:val="0"/>
              <w:spacing w:after="0" w:line="240" w:lineRule="auto"/>
              <w:jc w:val="center"/>
              <w:rPr>
                <w:b/>
                <w:sz w:val="20"/>
                <w:szCs w:val="20"/>
              </w:rPr>
            </w:pPr>
            <w:r w:rsidRPr="003D336B">
              <w:rPr>
                <w:b/>
                <w:sz w:val="20"/>
                <w:szCs w:val="20"/>
              </w:rPr>
              <w:t>Sort Order</w:t>
            </w:r>
          </w:p>
        </w:tc>
        <w:tc>
          <w:tcPr>
            <w:tcW w:w="2937" w:type="dxa"/>
            <w:tcBorders>
              <w:top w:val="single" w:sz="4" w:space="0" w:color="auto"/>
              <w:left w:val="single" w:sz="4" w:space="0" w:color="auto"/>
              <w:bottom w:val="single" w:sz="4" w:space="0" w:color="auto"/>
              <w:right w:val="single" w:sz="4" w:space="0" w:color="auto"/>
            </w:tcBorders>
            <w:hideMark/>
          </w:tcPr>
          <w:p w14:paraId="53AF0727" w14:textId="77777777" w:rsidR="00C77057" w:rsidRPr="003D336B" w:rsidRDefault="00C77057" w:rsidP="00E53512">
            <w:pPr>
              <w:keepNext/>
              <w:widowControl w:val="0"/>
              <w:spacing w:after="0" w:line="240" w:lineRule="auto"/>
              <w:jc w:val="center"/>
              <w:rPr>
                <w:b/>
                <w:sz w:val="20"/>
                <w:szCs w:val="20"/>
              </w:rPr>
            </w:pPr>
            <w:r w:rsidRPr="003D336B">
              <w:rPr>
                <w:b/>
                <w:sz w:val="20"/>
                <w:szCs w:val="20"/>
              </w:rPr>
              <w:t>Goal Name</w:t>
            </w:r>
          </w:p>
        </w:tc>
        <w:tc>
          <w:tcPr>
            <w:tcW w:w="670" w:type="dxa"/>
            <w:tcBorders>
              <w:top w:val="single" w:sz="4" w:space="0" w:color="auto"/>
              <w:left w:val="single" w:sz="4" w:space="0" w:color="auto"/>
              <w:bottom w:val="single" w:sz="4" w:space="0" w:color="auto"/>
              <w:right w:val="single" w:sz="4" w:space="0" w:color="auto"/>
            </w:tcBorders>
            <w:hideMark/>
          </w:tcPr>
          <w:p w14:paraId="7CB2556E" w14:textId="77777777" w:rsidR="00C77057" w:rsidRPr="003D336B" w:rsidRDefault="00C77057" w:rsidP="00E53512">
            <w:pPr>
              <w:keepNext/>
              <w:widowControl w:val="0"/>
              <w:spacing w:after="0" w:line="240" w:lineRule="auto"/>
              <w:jc w:val="center"/>
              <w:rPr>
                <w:b/>
                <w:sz w:val="20"/>
                <w:szCs w:val="20"/>
              </w:rPr>
            </w:pPr>
            <w:r w:rsidRPr="003D336B">
              <w:rPr>
                <w:b/>
                <w:sz w:val="20"/>
                <w:szCs w:val="20"/>
              </w:rPr>
              <w:t>Start Year</w:t>
            </w:r>
          </w:p>
        </w:tc>
        <w:tc>
          <w:tcPr>
            <w:tcW w:w="670" w:type="dxa"/>
            <w:tcBorders>
              <w:top w:val="single" w:sz="4" w:space="0" w:color="auto"/>
              <w:left w:val="single" w:sz="4" w:space="0" w:color="auto"/>
              <w:bottom w:val="single" w:sz="4" w:space="0" w:color="auto"/>
              <w:right w:val="single" w:sz="4" w:space="0" w:color="auto"/>
            </w:tcBorders>
            <w:hideMark/>
          </w:tcPr>
          <w:p w14:paraId="60845D3D" w14:textId="77777777" w:rsidR="00C77057" w:rsidRPr="003D336B" w:rsidRDefault="00C77057" w:rsidP="00E53512">
            <w:pPr>
              <w:keepNext/>
              <w:widowControl w:val="0"/>
              <w:spacing w:after="0" w:line="240" w:lineRule="auto"/>
              <w:jc w:val="center"/>
              <w:rPr>
                <w:b/>
                <w:sz w:val="20"/>
                <w:szCs w:val="20"/>
              </w:rPr>
            </w:pPr>
            <w:r w:rsidRPr="003D336B">
              <w:rPr>
                <w:b/>
                <w:sz w:val="20"/>
                <w:szCs w:val="20"/>
              </w:rPr>
              <w:t>End Year</w:t>
            </w:r>
          </w:p>
        </w:tc>
        <w:tc>
          <w:tcPr>
            <w:tcW w:w="1531" w:type="dxa"/>
            <w:tcBorders>
              <w:top w:val="single" w:sz="4" w:space="0" w:color="auto"/>
              <w:left w:val="single" w:sz="4" w:space="0" w:color="auto"/>
              <w:bottom w:val="single" w:sz="4" w:space="0" w:color="auto"/>
              <w:right w:val="single" w:sz="4" w:space="0" w:color="auto"/>
            </w:tcBorders>
            <w:hideMark/>
          </w:tcPr>
          <w:p w14:paraId="50F9C5CD" w14:textId="77777777" w:rsidR="00C77057" w:rsidRPr="003D336B" w:rsidRDefault="00C77057" w:rsidP="00E53512">
            <w:pPr>
              <w:keepNext/>
              <w:widowControl w:val="0"/>
              <w:spacing w:after="0" w:line="240" w:lineRule="auto"/>
              <w:jc w:val="center"/>
              <w:rPr>
                <w:b/>
                <w:sz w:val="20"/>
                <w:szCs w:val="20"/>
              </w:rPr>
            </w:pPr>
            <w:r w:rsidRPr="003D336B">
              <w:rPr>
                <w:b/>
                <w:sz w:val="20"/>
                <w:szCs w:val="20"/>
              </w:rPr>
              <w:t>Category</w:t>
            </w:r>
          </w:p>
        </w:tc>
        <w:tc>
          <w:tcPr>
            <w:tcW w:w="1178" w:type="dxa"/>
            <w:tcBorders>
              <w:top w:val="single" w:sz="4" w:space="0" w:color="auto"/>
              <w:left w:val="single" w:sz="4" w:space="0" w:color="auto"/>
              <w:bottom w:val="single" w:sz="4" w:space="0" w:color="auto"/>
              <w:right w:val="single" w:sz="4" w:space="0" w:color="auto"/>
            </w:tcBorders>
            <w:hideMark/>
          </w:tcPr>
          <w:p w14:paraId="19261EBE" w14:textId="77777777" w:rsidR="00C77057" w:rsidRPr="003D336B" w:rsidRDefault="00C77057" w:rsidP="00E53512">
            <w:pPr>
              <w:keepNext/>
              <w:widowControl w:val="0"/>
              <w:spacing w:after="0" w:line="240" w:lineRule="auto"/>
              <w:jc w:val="center"/>
              <w:rPr>
                <w:b/>
                <w:sz w:val="20"/>
                <w:szCs w:val="20"/>
              </w:rPr>
            </w:pPr>
            <w:r w:rsidRPr="003D336B">
              <w:rPr>
                <w:b/>
                <w:sz w:val="20"/>
                <w:szCs w:val="20"/>
              </w:rPr>
              <w:t>Geographic Area</w:t>
            </w:r>
          </w:p>
        </w:tc>
        <w:tc>
          <w:tcPr>
            <w:tcW w:w="1715" w:type="dxa"/>
            <w:tcBorders>
              <w:top w:val="single" w:sz="4" w:space="0" w:color="auto"/>
              <w:left w:val="single" w:sz="4" w:space="0" w:color="auto"/>
              <w:bottom w:val="single" w:sz="4" w:space="0" w:color="auto"/>
              <w:right w:val="single" w:sz="4" w:space="0" w:color="auto"/>
            </w:tcBorders>
            <w:hideMark/>
          </w:tcPr>
          <w:p w14:paraId="66762D9F" w14:textId="77777777" w:rsidR="00C77057" w:rsidRPr="003D336B" w:rsidRDefault="00C77057" w:rsidP="00E53512">
            <w:pPr>
              <w:keepNext/>
              <w:widowControl w:val="0"/>
              <w:spacing w:after="0" w:line="240" w:lineRule="auto"/>
              <w:jc w:val="center"/>
              <w:rPr>
                <w:b/>
                <w:sz w:val="20"/>
                <w:szCs w:val="20"/>
              </w:rPr>
            </w:pPr>
            <w:r w:rsidRPr="003D336B">
              <w:rPr>
                <w:b/>
                <w:sz w:val="20"/>
                <w:szCs w:val="20"/>
              </w:rPr>
              <w:t>Needs Addressed</w:t>
            </w:r>
          </w:p>
        </w:tc>
        <w:tc>
          <w:tcPr>
            <w:tcW w:w="1511" w:type="dxa"/>
            <w:tcBorders>
              <w:top w:val="single" w:sz="4" w:space="0" w:color="auto"/>
              <w:left w:val="single" w:sz="4" w:space="0" w:color="auto"/>
              <w:bottom w:val="single" w:sz="4" w:space="0" w:color="auto"/>
              <w:right w:val="single" w:sz="4" w:space="0" w:color="auto"/>
            </w:tcBorders>
            <w:hideMark/>
          </w:tcPr>
          <w:p w14:paraId="5EC11B5B" w14:textId="77777777" w:rsidR="00C77057" w:rsidRPr="003D336B" w:rsidRDefault="00C77057" w:rsidP="00E53512">
            <w:pPr>
              <w:keepNext/>
              <w:widowControl w:val="0"/>
              <w:spacing w:after="0" w:line="240" w:lineRule="auto"/>
              <w:jc w:val="center"/>
              <w:rPr>
                <w:b/>
                <w:sz w:val="20"/>
                <w:szCs w:val="20"/>
              </w:rPr>
            </w:pPr>
            <w:r w:rsidRPr="003D336B">
              <w:rPr>
                <w:b/>
                <w:sz w:val="20"/>
                <w:szCs w:val="20"/>
              </w:rPr>
              <w:t>Funding</w:t>
            </w:r>
          </w:p>
        </w:tc>
        <w:tc>
          <w:tcPr>
            <w:tcW w:w="2881" w:type="dxa"/>
            <w:tcBorders>
              <w:top w:val="single" w:sz="4" w:space="0" w:color="auto"/>
              <w:left w:val="single" w:sz="4" w:space="0" w:color="auto"/>
              <w:bottom w:val="single" w:sz="4" w:space="0" w:color="auto"/>
              <w:right w:val="single" w:sz="4" w:space="0" w:color="auto"/>
            </w:tcBorders>
            <w:hideMark/>
          </w:tcPr>
          <w:p w14:paraId="31434FCC" w14:textId="77777777" w:rsidR="00C77057" w:rsidRPr="003D336B" w:rsidRDefault="00C77057" w:rsidP="00E53512">
            <w:pPr>
              <w:keepNext/>
              <w:widowControl w:val="0"/>
              <w:spacing w:after="0" w:line="240" w:lineRule="auto"/>
              <w:jc w:val="center"/>
              <w:rPr>
                <w:b/>
                <w:sz w:val="20"/>
                <w:szCs w:val="20"/>
              </w:rPr>
            </w:pPr>
            <w:r w:rsidRPr="003D336B">
              <w:rPr>
                <w:b/>
                <w:sz w:val="20"/>
                <w:szCs w:val="20"/>
              </w:rPr>
              <w:t>Goal Outcome Indicator</w:t>
            </w:r>
          </w:p>
        </w:tc>
      </w:tr>
      <w:tr w:rsidR="00C83593" w:rsidRPr="003D336B" w14:paraId="4762E7E3" w14:textId="77777777" w:rsidTr="00E46B10">
        <w:trPr>
          <w:cantSplit/>
        </w:trPr>
        <w:tc>
          <w:tcPr>
            <w:tcW w:w="743" w:type="dxa"/>
            <w:tcBorders>
              <w:top w:val="single" w:sz="4" w:space="0" w:color="auto"/>
              <w:left w:val="single" w:sz="4" w:space="0" w:color="auto"/>
              <w:bottom w:val="single" w:sz="4" w:space="0" w:color="auto"/>
              <w:right w:val="single" w:sz="4" w:space="0" w:color="auto"/>
            </w:tcBorders>
          </w:tcPr>
          <w:p w14:paraId="379B74C6" w14:textId="77777777" w:rsidR="00C77057" w:rsidRPr="003D336B" w:rsidRDefault="00C77057" w:rsidP="00E53512">
            <w:pPr>
              <w:spacing w:beforeAutospacing="1" w:afterAutospacing="1"/>
            </w:pPr>
            <w:r w:rsidRPr="003D336B">
              <w:rPr>
                <w:b/>
                <w:color w:val="000000"/>
              </w:rPr>
              <w:t>1</w:t>
            </w:r>
          </w:p>
        </w:tc>
        <w:tc>
          <w:tcPr>
            <w:tcW w:w="2937" w:type="dxa"/>
            <w:tcBorders>
              <w:top w:val="single" w:sz="4" w:space="0" w:color="auto"/>
              <w:left w:val="single" w:sz="4" w:space="0" w:color="auto"/>
              <w:bottom w:val="single" w:sz="4" w:space="0" w:color="auto"/>
              <w:right w:val="single" w:sz="4" w:space="0" w:color="auto"/>
            </w:tcBorders>
          </w:tcPr>
          <w:p w14:paraId="61DBB1B6" w14:textId="77777777" w:rsidR="00C77057" w:rsidRPr="003D336B" w:rsidRDefault="00C77057" w:rsidP="00E53512">
            <w:pPr>
              <w:spacing w:beforeAutospacing="1" w:afterAutospacing="1"/>
            </w:pPr>
            <w:r w:rsidRPr="003D336B">
              <w:rPr>
                <w:color w:val="000000"/>
              </w:rPr>
              <w:t>Public Facilities/Infrastructure-Compliance</w:t>
            </w:r>
          </w:p>
        </w:tc>
        <w:tc>
          <w:tcPr>
            <w:tcW w:w="670" w:type="dxa"/>
            <w:tcBorders>
              <w:top w:val="single" w:sz="4" w:space="0" w:color="auto"/>
              <w:left w:val="single" w:sz="4" w:space="0" w:color="auto"/>
              <w:bottom w:val="single" w:sz="4" w:space="0" w:color="auto"/>
              <w:right w:val="single" w:sz="4" w:space="0" w:color="auto"/>
            </w:tcBorders>
          </w:tcPr>
          <w:p w14:paraId="443D6E88" w14:textId="77777777" w:rsidR="00C77057" w:rsidRPr="003D336B" w:rsidRDefault="00C77057" w:rsidP="00E53512">
            <w:pPr>
              <w:spacing w:before="100" w:beforeAutospacing="1" w:after="100" w:afterAutospacing="1"/>
              <w:jc w:val="right"/>
            </w:pPr>
            <w:r w:rsidRPr="003D336B">
              <w:rPr>
                <w:color w:val="000000"/>
              </w:rPr>
              <w:t>2025</w:t>
            </w:r>
          </w:p>
        </w:tc>
        <w:tc>
          <w:tcPr>
            <w:tcW w:w="670" w:type="dxa"/>
            <w:tcBorders>
              <w:top w:val="single" w:sz="4" w:space="0" w:color="auto"/>
              <w:left w:val="single" w:sz="4" w:space="0" w:color="auto"/>
              <w:bottom w:val="single" w:sz="4" w:space="0" w:color="auto"/>
              <w:right w:val="single" w:sz="4" w:space="0" w:color="auto"/>
            </w:tcBorders>
          </w:tcPr>
          <w:p w14:paraId="03C621F7" w14:textId="77777777" w:rsidR="00C77057" w:rsidRPr="003D336B" w:rsidRDefault="00C77057" w:rsidP="00E53512">
            <w:pPr>
              <w:spacing w:beforeAutospacing="1" w:afterAutospacing="1"/>
              <w:jc w:val="right"/>
            </w:pPr>
            <w:r w:rsidRPr="003D336B">
              <w:rPr>
                <w:color w:val="000000"/>
              </w:rPr>
              <w:t>2029</w:t>
            </w:r>
          </w:p>
        </w:tc>
        <w:tc>
          <w:tcPr>
            <w:tcW w:w="1531" w:type="dxa"/>
            <w:tcBorders>
              <w:top w:val="single" w:sz="4" w:space="0" w:color="auto"/>
              <w:left w:val="single" w:sz="4" w:space="0" w:color="auto"/>
              <w:bottom w:val="single" w:sz="4" w:space="0" w:color="auto"/>
              <w:right w:val="single" w:sz="4" w:space="0" w:color="auto"/>
            </w:tcBorders>
          </w:tcPr>
          <w:p w14:paraId="6311A9F0" w14:textId="020F0FC0" w:rsidR="00C77057" w:rsidRPr="003D336B" w:rsidRDefault="00C77057" w:rsidP="00E53512">
            <w:pPr>
              <w:spacing w:beforeAutospacing="1" w:afterAutospacing="1"/>
            </w:pPr>
            <w:r w:rsidRPr="098FA5AC">
              <w:rPr>
                <w:color w:val="000000" w:themeColor="text1"/>
              </w:rPr>
              <w:t>Affordable Housing</w:t>
            </w:r>
            <w:r w:rsidR="7F974B85" w:rsidRPr="098FA5AC">
              <w:rPr>
                <w:color w:val="000000" w:themeColor="text1"/>
              </w:rPr>
              <w:t>,</w:t>
            </w:r>
            <w:r>
              <w:br/>
            </w:r>
            <w:r w:rsidRPr="098FA5AC">
              <w:rPr>
                <w:color w:val="000000" w:themeColor="text1"/>
              </w:rPr>
              <w:t>Homeless</w:t>
            </w:r>
            <w:r w:rsidR="38EF96F8" w:rsidRPr="098FA5AC">
              <w:rPr>
                <w:color w:val="000000" w:themeColor="text1"/>
              </w:rPr>
              <w:t>,</w:t>
            </w:r>
            <w:r>
              <w:br/>
            </w:r>
            <w:r w:rsidRPr="098FA5AC">
              <w:rPr>
                <w:color w:val="000000" w:themeColor="text1"/>
              </w:rPr>
              <w:t>Non-Homeless</w:t>
            </w:r>
            <w:r w:rsidR="588AC8F3" w:rsidRPr="098FA5AC">
              <w:rPr>
                <w:color w:val="000000" w:themeColor="text1"/>
              </w:rPr>
              <w:t>,</w:t>
            </w:r>
            <w:r w:rsidRPr="098FA5AC">
              <w:rPr>
                <w:color w:val="000000" w:themeColor="text1"/>
              </w:rPr>
              <w:t xml:space="preserve"> Special Needs</w:t>
            </w:r>
            <w:r w:rsidR="05463BA4" w:rsidRPr="098FA5AC">
              <w:rPr>
                <w:color w:val="000000" w:themeColor="text1"/>
              </w:rPr>
              <w:t>,</w:t>
            </w:r>
            <w:r>
              <w:br/>
            </w:r>
            <w:r w:rsidRPr="098FA5AC">
              <w:rPr>
                <w:color w:val="000000" w:themeColor="text1"/>
              </w:rPr>
              <w:t>Non-Housing Community Development</w:t>
            </w:r>
          </w:p>
        </w:tc>
        <w:tc>
          <w:tcPr>
            <w:tcW w:w="1178" w:type="dxa"/>
            <w:tcBorders>
              <w:top w:val="single" w:sz="4" w:space="0" w:color="auto"/>
              <w:left w:val="single" w:sz="4" w:space="0" w:color="auto"/>
              <w:bottom w:val="single" w:sz="4" w:space="0" w:color="auto"/>
              <w:right w:val="single" w:sz="4" w:space="0" w:color="auto"/>
            </w:tcBorders>
          </w:tcPr>
          <w:p w14:paraId="37B158A5" w14:textId="77777777" w:rsidR="00C77057" w:rsidRPr="003D336B" w:rsidRDefault="00C77057" w:rsidP="00E53512">
            <w:pPr>
              <w:spacing w:beforeAutospacing="1" w:afterAutospacing="1"/>
            </w:pPr>
            <w:r w:rsidRPr="003D336B">
              <w:rPr>
                <w:color w:val="000000"/>
              </w:rPr>
              <w:t xml:space="preserve"> </w:t>
            </w:r>
          </w:p>
        </w:tc>
        <w:tc>
          <w:tcPr>
            <w:tcW w:w="1715" w:type="dxa"/>
            <w:tcBorders>
              <w:top w:val="single" w:sz="4" w:space="0" w:color="auto"/>
              <w:left w:val="single" w:sz="4" w:space="0" w:color="auto"/>
              <w:bottom w:val="single" w:sz="4" w:space="0" w:color="auto"/>
              <w:right w:val="single" w:sz="4" w:space="0" w:color="auto"/>
            </w:tcBorders>
          </w:tcPr>
          <w:p w14:paraId="29A28078" w14:textId="50E9A9FD" w:rsidR="00C77057" w:rsidRPr="003D336B" w:rsidRDefault="00C77057" w:rsidP="00E53512">
            <w:pPr>
              <w:spacing w:beforeAutospacing="1" w:afterAutospacing="1"/>
            </w:pPr>
            <w:r w:rsidRPr="098FA5AC">
              <w:rPr>
                <w:color w:val="000000" w:themeColor="text1"/>
              </w:rPr>
              <w:t>Housing related activities</w:t>
            </w:r>
            <w:r w:rsidR="709C74E3" w:rsidRPr="098FA5AC">
              <w:rPr>
                <w:color w:val="000000" w:themeColor="text1"/>
              </w:rPr>
              <w:t>,</w:t>
            </w:r>
            <w:r>
              <w:br/>
            </w:r>
            <w:r w:rsidRPr="098FA5AC">
              <w:rPr>
                <w:color w:val="000000" w:themeColor="text1"/>
              </w:rPr>
              <w:t>Public Facilities</w:t>
            </w:r>
            <w:r w:rsidR="2C987BB1" w:rsidRPr="098FA5AC">
              <w:rPr>
                <w:color w:val="000000" w:themeColor="text1"/>
              </w:rPr>
              <w:t>,</w:t>
            </w:r>
            <w:r>
              <w:br/>
            </w:r>
            <w:r w:rsidRPr="098FA5AC">
              <w:rPr>
                <w:color w:val="000000" w:themeColor="text1"/>
              </w:rPr>
              <w:t>Public Infrastructure</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73CDB" w14:textId="77777777" w:rsidR="00C77057" w:rsidRPr="003D336B" w:rsidRDefault="00C77057" w:rsidP="00E53512">
            <w:pPr>
              <w:spacing w:before="100" w:beforeAutospacing="1" w:after="100" w:afterAutospacing="1"/>
              <w:jc w:val="right"/>
            </w:pPr>
            <w:r w:rsidRPr="003D336B">
              <w:rPr>
                <w:color w:val="000000"/>
              </w:rPr>
              <w:t>CDBG: $3,134,045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Pr>
          <w:p w14:paraId="2E567F6B" w14:textId="77777777" w:rsidR="00C77057" w:rsidRPr="003D336B" w:rsidRDefault="00C77057" w:rsidP="00E53512">
            <w:pPr>
              <w:spacing w:beforeAutospacing="1" w:afterAutospacing="1"/>
            </w:pPr>
            <w:r w:rsidRPr="003D336B">
              <w:rPr>
                <w:color w:val="000000"/>
              </w:rPr>
              <w:t>Public Facility or Infrastructure Activities other than Low/Moderate Income Housing Benefit: 12000 Persons Assisted</w:t>
            </w:r>
            <w:r w:rsidRPr="003D336B">
              <w:rPr>
                <w:color w:val="000000"/>
              </w:rPr>
              <w:br/>
              <w:t>Public Facility or Infrastructure Activities for Low/Moderate Income Housing Benefit: 12 Households Assisted</w:t>
            </w:r>
          </w:p>
        </w:tc>
      </w:tr>
      <w:tr w:rsidR="00C83593" w:rsidRPr="003D336B" w14:paraId="2EE8040B" w14:textId="77777777" w:rsidTr="00E46B10">
        <w:trPr>
          <w:cantSplit/>
        </w:trPr>
        <w:tc>
          <w:tcPr>
            <w:tcW w:w="743" w:type="dxa"/>
            <w:tcBorders>
              <w:top w:val="single" w:sz="4" w:space="0" w:color="auto"/>
              <w:left w:val="single" w:sz="4" w:space="0" w:color="auto"/>
              <w:bottom w:val="single" w:sz="4" w:space="0" w:color="auto"/>
              <w:right w:val="single" w:sz="4" w:space="0" w:color="auto"/>
            </w:tcBorders>
          </w:tcPr>
          <w:p w14:paraId="3866DC43" w14:textId="77777777" w:rsidR="00C77057" w:rsidRPr="003D336B" w:rsidRDefault="00C77057" w:rsidP="00E53512">
            <w:pPr>
              <w:spacing w:beforeAutospacing="1" w:afterAutospacing="1"/>
            </w:pPr>
            <w:r w:rsidRPr="003D336B">
              <w:rPr>
                <w:b/>
                <w:color w:val="000000"/>
              </w:rPr>
              <w:lastRenderedPageBreak/>
              <w:t>2</w:t>
            </w:r>
          </w:p>
        </w:tc>
        <w:tc>
          <w:tcPr>
            <w:tcW w:w="2937" w:type="dxa"/>
            <w:tcBorders>
              <w:top w:val="single" w:sz="4" w:space="0" w:color="auto"/>
              <w:left w:val="single" w:sz="4" w:space="0" w:color="auto"/>
              <w:bottom w:val="single" w:sz="4" w:space="0" w:color="auto"/>
              <w:right w:val="single" w:sz="4" w:space="0" w:color="auto"/>
            </w:tcBorders>
          </w:tcPr>
          <w:p w14:paraId="5D1CC649" w14:textId="77777777" w:rsidR="00C77057" w:rsidRPr="003D336B" w:rsidRDefault="00C77057" w:rsidP="00E53512">
            <w:pPr>
              <w:spacing w:beforeAutospacing="1" w:afterAutospacing="1"/>
            </w:pPr>
            <w:r w:rsidRPr="003D336B">
              <w:rPr>
                <w:color w:val="000000"/>
              </w:rPr>
              <w:t>Public Facilities/Infrastructure-Rehabilitation</w:t>
            </w:r>
          </w:p>
        </w:tc>
        <w:tc>
          <w:tcPr>
            <w:tcW w:w="670" w:type="dxa"/>
            <w:tcBorders>
              <w:top w:val="single" w:sz="4" w:space="0" w:color="auto"/>
              <w:left w:val="single" w:sz="4" w:space="0" w:color="auto"/>
              <w:bottom w:val="single" w:sz="4" w:space="0" w:color="auto"/>
              <w:right w:val="single" w:sz="4" w:space="0" w:color="auto"/>
            </w:tcBorders>
          </w:tcPr>
          <w:p w14:paraId="33EFD774" w14:textId="77777777" w:rsidR="00C77057" w:rsidRPr="003D336B" w:rsidRDefault="00C77057" w:rsidP="00E53512">
            <w:pPr>
              <w:spacing w:beforeAutospacing="1" w:afterAutospacing="1"/>
              <w:jc w:val="right"/>
            </w:pPr>
            <w:r w:rsidRPr="003D336B">
              <w:rPr>
                <w:color w:val="000000"/>
              </w:rPr>
              <w:t>2025</w:t>
            </w:r>
          </w:p>
        </w:tc>
        <w:tc>
          <w:tcPr>
            <w:tcW w:w="670" w:type="dxa"/>
            <w:tcBorders>
              <w:top w:val="single" w:sz="4" w:space="0" w:color="auto"/>
              <w:left w:val="single" w:sz="4" w:space="0" w:color="auto"/>
              <w:bottom w:val="single" w:sz="4" w:space="0" w:color="auto"/>
              <w:right w:val="single" w:sz="4" w:space="0" w:color="auto"/>
            </w:tcBorders>
          </w:tcPr>
          <w:p w14:paraId="13295D6D" w14:textId="77777777" w:rsidR="00C77057" w:rsidRPr="003D336B" w:rsidRDefault="00C77057" w:rsidP="00E53512">
            <w:pPr>
              <w:spacing w:beforeAutospacing="1" w:afterAutospacing="1"/>
              <w:jc w:val="right"/>
            </w:pPr>
            <w:r w:rsidRPr="003D336B">
              <w:rPr>
                <w:color w:val="000000"/>
              </w:rPr>
              <w:t>2029</w:t>
            </w:r>
          </w:p>
        </w:tc>
        <w:tc>
          <w:tcPr>
            <w:tcW w:w="1531" w:type="dxa"/>
            <w:tcBorders>
              <w:top w:val="single" w:sz="4" w:space="0" w:color="auto"/>
              <w:left w:val="single" w:sz="4" w:space="0" w:color="auto"/>
              <w:bottom w:val="single" w:sz="4" w:space="0" w:color="auto"/>
              <w:right w:val="single" w:sz="4" w:space="0" w:color="auto"/>
            </w:tcBorders>
          </w:tcPr>
          <w:p w14:paraId="34F1E1BC" w14:textId="5FF0BABE" w:rsidR="00C77057" w:rsidRPr="003D336B" w:rsidRDefault="00C77057" w:rsidP="00E53512">
            <w:pPr>
              <w:spacing w:beforeAutospacing="1" w:afterAutospacing="1"/>
            </w:pPr>
            <w:r w:rsidRPr="098FA5AC">
              <w:rPr>
                <w:color w:val="000000" w:themeColor="text1"/>
              </w:rPr>
              <w:t>Affordable Housing</w:t>
            </w:r>
            <w:r w:rsidR="08144F84" w:rsidRPr="098FA5AC">
              <w:rPr>
                <w:color w:val="000000" w:themeColor="text1"/>
              </w:rPr>
              <w:t>,</w:t>
            </w:r>
            <w:r>
              <w:br/>
            </w:r>
            <w:r w:rsidRPr="098FA5AC">
              <w:rPr>
                <w:color w:val="000000" w:themeColor="text1"/>
              </w:rPr>
              <w:t>Homeless</w:t>
            </w:r>
            <w:r w:rsidR="0B0A1F7E" w:rsidRPr="098FA5AC">
              <w:rPr>
                <w:color w:val="000000" w:themeColor="text1"/>
              </w:rPr>
              <w:t>,</w:t>
            </w:r>
            <w:r>
              <w:br/>
            </w:r>
            <w:r w:rsidRPr="098FA5AC">
              <w:rPr>
                <w:color w:val="000000" w:themeColor="text1"/>
              </w:rPr>
              <w:t>Non-Homeless</w:t>
            </w:r>
            <w:r w:rsidR="1404D6AC" w:rsidRPr="098FA5AC">
              <w:rPr>
                <w:color w:val="000000" w:themeColor="text1"/>
              </w:rPr>
              <w:t>,</w:t>
            </w:r>
            <w:r w:rsidRPr="098FA5AC">
              <w:rPr>
                <w:color w:val="000000" w:themeColor="text1"/>
              </w:rPr>
              <w:t xml:space="preserve"> Special Needs</w:t>
            </w:r>
            <w:r w:rsidR="6E2A1645" w:rsidRPr="098FA5AC">
              <w:rPr>
                <w:color w:val="000000" w:themeColor="text1"/>
              </w:rPr>
              <w:t>,</w:t>
            </w:r>
            <w:r>
              <w:br/>
            </w:r>
            <w:r w:rsidRPr="098FA5AC">
              <w:rPr>
                <w:color w:val="000000" w:themeColor="text1"/>
              </w:rPr>
              <w:t>Non-Housing Community Development</w:t>
            </w:r>
          </w:p>
        </w:tc>
        <w:tc>
          <w:tcPr>
            <w:tcW w:w="1178" w:type="dxa"/>
            <w:tcBorders>
              <w:top w:val="single" w:sz="4" w:space="0" w:color="auto"/>
              <w:left w:val="single" w:sz="4" w:space="0" w:color="auto"/>
              <w:bottom w:val="single" w:sz="4" w:space="0" w:color="auto"/>
              <w:right w:val="single" w:sz="4" w:space="0" w:color="auto"/>
            </w:tcBorders>
          </w:tcPr>
          <w:p w14:paraId="3E6DB98C" w14:textId="77777777" w:rsidR="00C77057" w:rsidRPr="003D336B" w:rsidRDefault="00C77057" w:rsidP="00E53512">
            <w:pPr>
              <w:spacing w:beforeAutospacing="1" w:afterAutospacing="1"/>
            </w:pPr>
            <w:r w:rsidRPr="003D336B">
              <w:rPr>
                <w:color w:val="000000"/>
              </w:rPr>
              <w:t xml:space="preserve"> </w:t>
            </w:r>
          </w:p>
        </w:tc>
        <w:tc>
          <w:tcPr>
            <w:tcW w:w="1715" w:type="dxa"/>
            <w:tcBorders>
              <w:top w:val="single" w:sz="4" w:space="0" w:color="auto"/>
              <w:left w:val="single" w:sz="4" w:space="0" w:color="auto"/>
              <w:bottom w:val="single" w:sz="4" w:space="0" w:color="auto"/>
              <w:right w:val="single" w:sz="4" w:space="0" w:color="auto"/>
            </w:tcBorders>
          </w:tcPr>
          <w:p w14:paraId="1273F7F2" w14:textId="0EF1DDA9" w:rsidR="00C77057" w:rsidRPr="003D336B" w:rsidRDefault="00C77057" w:rsidP="00E53512">
            <w:pPr>
              <w:spacing w:beforeAutospacing="1" w:afterAutospacing="1"/>
            </w:pPr>
            <w:r w:rsidRPr="098FA5AC">
              <w:rPr>
                <w:color w:val="000000" w:themeColor="text1"/>
              </w:rPr>
              <w:t>Housing related activities</w:t>
            </w:r>
            <w:r w:rsidR="151060B5" w:rsidRPr="098FA5AC">
              <w:rPr>
                <w:color w:val="000000" w:themeColor="text1"/>
              </w:rPr>
              <w:t>,</w:t>
            </w:r>
            <w:r>
              <w:br/>
            </w:r>
            <w:r w:rsidRPr="098FA5AC">
              <w:rPr>
                <w:color w:val="000000" w:themeColor="text1"/>
              </w:rPr>
              <w:t>Public Facilities</w:t>
            </w:r>
            <w:r w:rsidR="0374C0A2" w:rsidRPr="098FA5AC">
              <w:rPr>
                <w:color w:val="000000" w:themeColor="text1"/>
              </w:rPr>
              <w:t>,</w:t>
            </w:r>
            <w:r>
              <w:br/>
            </w:r>
            <w:r w:rsidRPr="098FA5AC">
              <w:rPr>
                <w:color w:val="000000" w:themeColor="text1"/>
              </w:rPr>
              <w:t>Public Infrastructure</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tcPr>
          <w:p w14:paraId="05FBA85A" w14:textId="2A858C34" w:rsidR="00C77057" w:rsidRPr="003D336B" w:rsidRDefault="00C77057" w:rsidP="00E53512">
            <w:pPr>
              <w:spacing w:beforeAutospacing="1" w:afterAutospacing="1"/>
              <w:jc w:val="right"/>
            </w:pPr>
            <w:r w:rsidRPr="003D336B">
              <w:rPr>
                <w:color w:val="000000"/>
              </w:rPr>
              <w:t xml:space="preserve">CDBG: </w:t>
            </w:r>
            <w:r w:rsidR="00DD179B" w:rsidRPr="003D336B">
              <w:rPr>
                <w:color w:val="000000"/>
              </w:rPr>
              <w:t>$</w:t>
            </w:r>
            <w:r w:rsidR="00DD179B">
              <w:rPr>
                <w:color w:val="000000"/>
              </w:rPr>
              <w:t>3,760,854</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Pr>
          <w:p w14:paraId="22764955" w14:textId="77777777" w:rsidR="00C77057" w:rsidRPr="003D336B" w:rsidRDefault="00C77057" w:rsidP="00E53512">
            <w:pPr>
              <w:spacing w:beforeAutospacing="1" w:afterAutospacing="1"/>
            </w:pPr>
            <w:r w:rsidRPr="003D336B">
              <w:rPr>
                <w:color w:val="000000"/>
              </w:rPr>
              <w:t>Public Facility or Infrastructure Activities other than Low/Moderate Income Housing Benefit: 17000 Persons Assisted</w:t>
            </w:r>
            <w:r w:rsidRPr="003D336B">
              <w:rPr>
                <w:color w:val="000000"/>
              </w:rPr>
              <w:br/>
              <w:t>Public Facility or Infrastructure Activities for Low/Moderate Income Housing Benefit: 24 Households Assisted</w:t>
            </w:r>
          </w:p>
        </w:tc>
      </w:tr>
      <w:tr w:rsidR="00C83593" w:rsidRPr="003D336B" w14:paraId="434CA070" w14:textId="77777777" w:rsidTr="00E46B10">
        <w:trPr>
          <w:cantSplit/>
        </w:trPr>
        <w:tc>
          <w:tcPr>
            <w:tcW w:w="743" w:type="dxa"/>
            <w:tcBorders>
              <w:top w:val="single" w:sz="4" w:space="0" w:color="auto"/>
              <w:left w:val="single" w:sz="4" w:space="0" w:color="auto"/>
              <w:bottom w:val="single" w:sz="4" w:space="0" w:color="auto"/>
              <w:right w:val="single" w:sz="4" w:space="0" w:color="auto"/>
            </w:tcBorders>
          </w:tcPr>
          <w:p w14:paraId="15EFDC63" w14:textId="77777777" w:rsidR="00C77057" w:rsidRPr="003D336B" w:rsidRDefault="00C77057" w:rsidP="00E53512">
            <w:pPr>
              <w:spacing w:beforeAutospacing="1" w:afterAutospacing="1"/>
            </w:pPr>
            <w:r w:rsidRPr="003D336B">
              <w:rPr>
                <w:b/>
                <w:color w:val="000000"/>
              </w:rPr>
              <w:t>3</w:t>
            </w:r>
          </w:p>
        </w:tc>
        <w:tc>
          <w:tcPr>
            <w:tcW w:w="2937" w:type="dxa"/>
            <w:tcBorders>
              <w:top w:val="single" w:sz="4" w:space="0" w:color="auto"/>
              <w:left w:val="single" w:sz="4" w:space="0" w:color="auto"/>
              <w:bottom w:val="single" w:sz="4" w:space="0" w:color="auto"/>
              <w:right w:val="single" w:sz="4" w:space="0" w:color="auto"/>
            </w:tcBorders>
          </w:tcPr>
          <w:p w14:paraId="2DE672E5" w14:textId="2902F359" w:rsidR="00C77057" w:rsidRPr="003D336B" w:rsidRDefault="008972B1" w:rsidP="008972B1">
            <w:pPr>
              <w:spacing w:beforeAutospacing="1" w:afterAutospacing="1"/>
            </w:pPr>
            <w:r w:rsidRPr="008972B1">
              <w:rPr>
                <w:color w:val="000000"/>
              </w:rPr>
              <w:t>Public Facilities/Infrastructure/Public Service New Construction or Purchasing</w:t>
            </w:r>
          </w:p>
        </w:tc>
        <w:tc>
          <w:tcPr>
            <w:tcW w:w="670" w:type="dxa"/>
            <w:tcBorders>
              <w:top w:val="single" w:sz="4" w:space="0" w:color="auto"/>
              <w:left w:val="single" w:sz="4" w:space="0" w:color="auto"/>
              <w:bottom w:val="single" w:sz="4" w:space="0" w:color="auto"/>
              <w:right w:val="single" w:sz="4" w:space="0" w:color="auto"/>
            </w:tcBorders>
          </w:tcPr>
          <w:p w14:paraId="7CD2861E" w14:textId="77777777" w:rsidR="00C77057" w:rsidRPr="003D336B" w:rsidRDefault="00C77057" w:rsidP="00E53512">
            <w:pPr>
              <w:spacing w:beforeAutospacing="1" w:afterAutospacing="1"/>
              <w:jc w:val="right"/>
            </w:pPr>
            <w:r w:rsidRPr="003D336B">
              <w:rPr>
                <w:color w:val="000000"/>
              </w:rPr>
              <w:t>2025</w:t>
            </w:r>
          </w:p>
        </w:tc>
        <w:tc>
          <w:tcPr>
            <w:tcW w:w="670" w:type="dxa"/>
            <w:tcBorders>
              <w:top w:val="single" w:sz="4" w:space="0" w:color="auto"/>
              <w:left w:val="single" w:sz="4" w:space="0" w:color="auto"/>
              <w:bottom w:val="single" w:sz="4" w:space="0" w:color="auto"/>
              <w:right w:val="single" w:sz="4" w:space="0" w:color="auto"/>
            </w:tcBorders>
          </w:tcPr>
          <w:p w14:paraId="33701F51" w14:textId="77777777" w:rsidR="00C77057" w:rsidRPr="003D336B" w:rsidRDefault="00C77057" w:rsidP="00E53512">
            <w:pPr>
              <w:spacing w:beforeAutospacing="1" w:afterAutospacing="1"/>
              <w:jc w:val="right"/>
            </w:pPr>
            <w:r w:rsidRPr="003D336B">
              <w:rPr>
                <w:color w:val="000000"/>
              </w:rPr>
              <w:t>2029</w:t>
            </w:r>
          </w:p>
        </w:tc>
        <w:tc>
          <w:tcPr>
            <w:tcW w:w="1531" w:type="dxa"/>
            <w:tcBorders>
              <w:top w:val="single" w:sz="4" w:space="0" w:color="auto"/>
              <w:left w:val="single" w:sz="4" w:space="0" w:color="auto"/>
              <w:bottom w:val="single" w:sz="4" w:space="0" w:color="auto"/>
              <w:right w:val="single" w:sz="4" w:space="0" w:color="auto"/>
            </w:tcBorders>
          </w:tcPr>
          <w:p w14:paraId="6F6E27FC" w14:textId="0617AA22" w:rsidR="00C77057" w:rsidRPr="003D336B" w:rsidRDefault="00C77057" w:rsidP="00E53512">
            <w:pPr>
              <w:spacing w:beforeAutospacing="1" w:afterAutospacing="1"/>
            </w:pPr>
            <w:r w:rsidRPr="098FA5AC">
              <w:rPr>
                <w:color w:val="000000" w:themeColor="text1"/>
              </w:rPr>
              <w:t>Affordable Housing</w:t>
            </w:r>
            <w:r w:rsidR="6A1B4D69" w:rsidRPr="098FA5AC">
              <w:rPr>
                <w:color w:val="000000" w:themeColor="text1"/>
              </w:rPr>
              <w:t>,</w:t>
            </w:r>
            <w:r>
              <w:br/>
            </w:r>
            <w:r w:rsidRPr="098FA5AC">
              <w:rPr>
                <w:color w:val="000000" w:themeColor="text1"/>
              </w:rPr>
              <w:t>Non-Homeless</w:t>
            </w:r>
            <w:r w:rsidR="2EB1C221" w:rsidRPr="098FA5AC">
              <w:rPr>
                <w:color w:val="000000" w:themeColor="text1"/>
              </w:rPr>
              <w:t>,</w:t>
            </w:r>
            <w:r w:rsidRPr="098FA5AC">
              <w:rPr>
                <w:color w:val="000000" w:themeColor="text1"/>
              </w:rPr>
              <w:t xml:space="preserve"> Special Needs</w:t>
            </w:r>
            <w:r w:rsidR="1F4D8F7B" w:rsidRPr="098FA5AC">
              <w:rPr>
                <w:color w:val="000000" w:themeColor="text1"/>
              </w:rPr>
              <w:t>,</w:t>
            </w:r>
            <w:r>
              <w:br/>
            </w:r>
            <w:r w:rsidRPr="098FA5AC">
              <w:rPr>
                <w:color w:val="000000" w:themeColor="text1"/>
              </w:rPr>
              <w:t>Non-Housing Community Development</w:t>
            </w:r>
          </w:p>
        </w:tc>
        <w:tc>
          <w:tcPr>
            <w:tcW w:w="1178" w:type="dxa"/>
            <w:tcBorders>
              <w:top w:val="single" w:sz="4" w:space="0" w:color="auto"/>
              <w:left w:val="single" w:sz="4" w:space="0" w:color="auto"/>
              <w:bottom w:val="single" w:sz="4" w:space="0" w:color="auto"/>
              <w:right w:val="single" w:sz="4" w:space="0" w:color="auto"/>
            </w:tcBorders>
          </w:tcPr>
          <w:p w14:paraId="7000EC46" w14:textId="77777777" w:rsidR="00C77057" w:rsidRPr="003D336B" w:rsidRDefault="00C77057" w:rsidP="00E53512">
            <w:pPr>
              <w:spacing w:beforeAutospacing="1" w:afterAutospacing="1"/>
            </w:pPr>
            <w:r w:rsidRPr="003D336B">
              <w:rPr>
                <w:color w:val="000000"/>
              </w:rPr>
              <w:t xml:space="preserve"> </w:t>
            </w:r>
          </w:p>
        </w:tc>
        <w:tc>
          <w:tcPr>
            <w:tcW w:w="1715" w:type="dxa"/>
            <w:tcBorders>
              <w:top w:val="single" w:sz="4" w:space="0" w:color="auto"/>
              <w:left w:val="single" w:sz="4" w:space="0" w:color="auto"/>
              <w:bottom w:val="single" w:sz="4" w:space="0" w:color="auto"/>
              <w:right w:val="single" w:sz="4" w:space="0" w:color="auto"/>
            </w:tcBorders>
          </w:tcPr>
          <w:p w14:paraId="6E7531D6" w14:textId="07E61AB3" w:rsidR="00C77057" w:rsidRPr="003D336B" w:rsidRDefault="00C77057" w:rsidP="00E53512">
            <w:pPr>
              <w:spacing w:beforeAutospacing="1" w:afterAutospacing="1"/>
            </w:pPr>
            <w:r w:rsidRPr="098FA5AC">
              <w:rPr>
                <w:color w:val="000000" w:themeColor="text1"/>
              </w:rPr>
              <w:t>Public Facilities</w:t>
            </w:r>
            <w:r w:rsidR="1EC16B58" w:rsidRPr="098FA5AC">
              <w:rPr>
                <w:color w:val="000000" w:themeColor="text1"/>
              </w:rPr>
              <w:t>,</w:t>
            </w:r>
            <w:r>
              <w:br/>
            </w:r>
            <w:r w:rsidRPr="098FA5AC">
              <w:rPr>
                <w:color w:val="000000" w:themeColor="text1"/>
              </w:rPr>
              <w:t>Public Infrastructure</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tcPr>
          <w:p w14:paraId="2105DB0D" w14:textId="77777777" w:rsidR="00C77057" w:rsidRPr="003D336B" w:rsidRDefault="00C77057" w:rsidP="00E53512">
            <w:pPr>
              <w:spacing w:beforeAutospacing="1" w:afterAutospacing="1"/>
              <w:jc w:val="right"/>
            </w:pPr>
            <w:r w:rsidRPr="003D336B">
              <w:rPr>
                <w:color w:val="000000"/>
              </w:rPr>
              <w:t>CDBG: $3,134,045</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Pr>
          <w:p w14:paraId="78B14262" w14:textId="77777777" w:rsidR="00C77057" w:rsidRPr="003D336B" w:rsidRDefault="00C77057" w:rsidP="00E53512">
            <w:pPr>
              <w:spacing w:beforeAutospacing="1" w:afterAutospacing="1"/>
            </w:pPr>
            <w:r w:rsidRPr="003D336B">
              <w:rPr>
                <w:color w:val="000000"/>
              </w:rPr>
              <w:t>Public Facility or Infrastructure Activities other than Low/Moderate Income Housing Benefit: 12000 Persons Assisted</w:t>
            </w:r>
            <w:r w:rsidRPr="003D336B">
              <w:rPr>
                <w:color w:val="000000"/>
              </w:rPr>
              <w:br/>
              <w:t>Public Facility or Infrastructure Activities for Low/Moderate Income Housing Benefit: 12 Households Assisted</w:t>
            </w:r>
          </w:p>
        </w:tc>
      </w:tr>
      <w:tr w:rsidR="00C83593" w:rsidRPr="003D336B" w14:paraId="0A57F75D" w14:textId="77777777" w:rsidTr="00E46B10">
        <w:trPr>
          <w:cantSplit/>
        </w:trPr>
        <w:tc>
          <w:tcPr>
            <w:tcW w:w="743" w:type="dxa"/>
            <w:tcBorders>
              <w:top w:val="single" w:sz="4" w:space="0" w:color="auto"/>
              <w:left w:val="single" w:sz="4" w:space="0" w:color="auto"/>
              <w:bottom w:val="single" w:sz="4" w:space="0" w:color="auto"/>
              <w:right w:val="single" w:sz="4" w:space="0" w:color="auto"/>
            </w:tcBorders>
          </w:tcPr>
          <w:p w14:paraId="6DB3C5D2" w14:textId="77777777" w:rsidR="00C77057" w:rsidRPr="003D336B" w:rsidRDefault="00C77057" w:rsidP="00E53512">
            <w:pPr>
              <w:spacing w:beforeAutospacing="1" w:afterAutospacing="1"/>
            </w:pPr>
            <w:r w:rsidRPr="003D336B">
              <w:rPr>
                <w:b/>
                <w:color w:val="000000"/>
              </w:rPr>
              <w:t>4</w:t>
            </w:r>
          </w:p>
        </w:tc>
        <w:tc>
          <w:tcPr>
            <w:tcW w:w="2937" w:type="dxa"/>
            <w:tcBorders>
              <w:top w:val="single" w:sz="4" w:space="0" w:color="auto"/>
              <w:left w:val="single" w:sz="4" w:space="0" w:color="auto"/>
              <w:bottom w:val="single" w:sz="4" w:space="0" w:color="auto"/>
              <w:right w:val="single" w:sz="4" w:space="0" w:color="auto"/>
            </w:tcBorders>
          </w:tcPr>
          <w:p w14:paraId="24B90107" w14:textId="77777777" w:rsidR="00C77057" w:rsidRPr="003D336B" w:rsidRDefault="00C77057" w:rsidP="00E53512">
            <w:pPr>
              <w:spacing w:beforeAutospacing="1" w:afterAutospacing="1"/>
            </w:pPr>
            <w:r w:rsidRPr="003D336B">
              <w:rPr>
                <w:color w:val="000000"/>
              </w:rPr>
              <w:t>Economic Development-Job Creation</w:t>
            </w:r>
          </w:p>
        </w:tc>
        <w:tc>
          <w:tcPr>
            <w:tcW w:w="670" w:type="dxa"/>
            <w:tcBorders>
              <w:top w:val="single" w:sz="4" w:space="0" w:color="auto"/>
              <w:left w:val="single" w:sz="4" w:space="0" w:color="auto"/>
              <w:bottom w:val="single" w:sz="4" w:space="0" w:color="auto"/>
              <w:right w:val="single" w:sz="4" w:space="0" w:color="auto"/>
            </w:tcBorders>
          </w:tcPr>
          <w:p w14:paraId="68692735" w14:textId="77777777" w:rsidR="00C77057" w:rsidRPr="003D336B" w:rsidRDefault="00C77057" w:rsidP="00E53512">
            <w:pPr>
              <w:spacing w:beforeAutospacing="1" w:afterAutospacing="1"/>
              <w:jc w:val="right"/>
            </w:pPr>
            <w:r w:rsidRPr="003D336B">
              <w:rPr>
                <w:color w:val="000000"/>
              </w:rPr>
              <w:t>2025</w:t>
            </w:r>
          </w:p>
        </w:tc>
        <w:tc>
          <w:tcPr>
            <w:tcW w:w="670" w:type="dxa"/>
            <w:tcBorders>
              <w:top w:val="single" w:sz="4" w:space="0" w:color="auto"/>
              <w:left w:val="single" w:sz="4" w:space="0" w:color="auto"/>
              <w:bottom w:val="single" w:sz="4" w:space="0" w:color="auto"/>
              <w:right w:val="single" w:sz="4" w:space="0" w:color="auto"/>
            </w:tcBorders>
          </w:tcPr>
          <w:p w14:paraId="251208E7" w14:textId="77777777" w:rsidR="00C77057" w:rsidRPr="003D336B" w:rsidRDefault="00C77057" w:rsidP="00E53512">
            <w:pPr>
              <w:spacing w:beforeAutospacing="1" w:afterAutospacing="1"/>
              <w:jc w:val="right"/>
            </w:pPr>
            <w:r w:rsidRPr="003D336B">
              <w:rPr>
                <w:color w:val="000000"/>
              </w:rPr>
              <w:t>2029</w:t>
            </w:r>
          </w:p>
        </w:tc>
        <w:tc>
          <w:tcPr>
            <w:tcW w:w="1531" w:type="dxa"/>
            <w:tcBorders>
              <w:top w:val="single" w:sz="4" w:space="0" w:color="auto"/>
              <w:left w:val="single" w:sz="4" w:space="0" w:color="auto"/>
              <w:bottom w:val="single" w:sz="4" w:space="0" w:color="auto"/>
              <w:right w:val="single" w:sz="4" w:space="0" w:color="auto"/>
            </w:tcBorders>
          </w:tcPr>
          <w:p w14:paraId="3FEC47EE" w14:textId="77777777" w:rsidR="00C77057" w:rsidRPr="003D336B" w:rsidRDefault="00C77057" w:rsidP="00E53512">
            <w:pPr>
              <w:spacing w:beforeAutospacing="1" w:afterAutospacing="1"/>
            </w:pPr>
            <w:r w:rsidRPr="003D336B">
              <w:rPr>
                <w:color w:val="000000"/>
              </w:rPr>
              <w:t>Non-Housing Community Development</w:t>
            </w:r>
          </w:p>
        </w:tc>
        <w:tc>
          <w:tcPr>
            <w:tcW w:w="1178" w:type="dxa"/>
            <w:tcBorders>
              <w:top w:val="single" w:sz="4" w:space="0" w:color="auto"/>
              <w:left w:val="single" w:sz="4" w:space="0" w:color="auto"/>
              <w:bottom w:val="single" w:sz="4" w:space="0" w:color="auto"/>
              <w:right w:val="single" w:sz="4" w:space="0" w:color="auto"/>
            </w:tcBorders>
          </w:tcPr>
          <w:p w14:paraId="66905046" w14:textId="77777777" w:rsidR="00C77057" w:rsidRPr="003D336B" w:rsidRDefault="00C77057" w:rsidP="00E53512">
            <w:pPr>
              <w:spacing w:beforeAutospacing="1" w:afterAutospacing="1"/>
            </w:pPr>
            <w:r w:rsidRPr="003D336B">
              <w:rPr>
                <w:color w:val="000000"/>
              </w:rPr>
              <w:t xml:space="preserve"> </w:t>
            </w:r>
          </w:p>
        </w:tc>
        <w:tc>
          <w:tcPr>
            <w:tcW w:w="1715" w:type="dxa"/>
            <w:tcBorders>
              <w:top w:val="single" w:sz="4" w:space="0" w:color="auto"/>
              <w:left w:val="single" w:sz="4" w:space="0" w:color="auto"/>
              <w:bottom w:val="single" w:sz="4" w:space="0" w:color="auto"/>
              <w:right w:val="single" w:sz="4" w:space="0" w:color="auto"/>
            </w:tcBorders>
          </w:tcPr>
          <w:p w14:paraId="49646CF7" w14:textId="77777777" w:rsidR="00C77057" w:rsidRPr="003D336B" w:rsidRDefault="00C77057" w:rsidP="00E53512">
            <w:pPr>
              <w:spacing w:beforeAutospacing="1" w:afterAutospacing="1"/>
            </w:pPr>
            <w:r w:rsidRPr="003D336B">
              <w:rPr>
                <w:color w:val="000000"/>
              </w:rPr>
              <w:t>Economic Development</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tcPr>
          <w:p w14:paraId="2CB509E9" w14:textId="77777777" w:rsidR="00C77057" w:rsidRPr="003D336B" w:rsidRDefault="00C77057" w:rsidP="00E53512">
            <w:pPr>
              <w:spacing w:beforeAutospacing="1" w:afterAutospacing="1"/>
              <w:jc w:val="right"/>
            </w:pPr>
            <w:r w:rsidRPr="003D336B">
              <w:rPr>
                <w:color w:val="000000"/>
              </w:rPr>
              <w:t>CDBG: $1,253,618</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Pr>
          <w:p w14:paraId="384A02BE" w14:textId="77777777" w:rsidR="00C77057" w:rsidRPr="003D336B" w:rsidRDefault="00C77057" w:rsidP="00E53512">
            <w:pPr>
              <w:spacing w:beforeAutospacing="1" w:afterAutospacing="1"/>
            </w:pPr>
            <w:r w:rsidRPr="003D336B">
              <w:rPr>
                <w:color w:val="000000"/>
              </w:rPr>
              <w:t>Jobs created/retained: 50 Jobs</w:t>
            </w:r>
            <w:r w:rsidRPr="003D336B">
              <w:rPr>
                <w:color w:val="000000"/>
              </w:rPr>
              <w:br/>
              <w:t>Businesses assisted: 1 Businesses Assisted</w:t>
            </w:r>
          </w:p>
        </w:tc>
      </w:tr>
      <w:tr w:rsidR="00C83593" w:rsidRPr="003D336B" w14:paraId="70BCE990" w14:textId="77777777" w:rsidTr="00E46B10">
        <w:trPr>
          <w:cantSplit/>
          <w:trHeight w:val="998"/>
        </w:trPr>
        <w:tc>
          <w:tcPr>
            <w:tcW w:w="743" w:type="dxa"/>
            <w:tcBorders>
              <w:top w:val="single" w:sz="4" w:space="0" w:color="auto"/>
              <w:left w:val="single" w:sz="4" w:space="0" w:color="auto"/>
              <w:bottom w:val="single" w:sz="4" w:space="0" w:color="auto"/>
              <w:right w:val="single" w:sz="4" w:space="0" w:color="auto"/>
            </w:tcBorders>
          </w:tcPr>
          <w:p w14:paraId="6BB95112" w14:textId="77777777" w:rsidR="00C77057" w:rsidRPr="003D336B" w:rsidRDefault="00C77057" w:rsidP="00E53512">
            <w:pPr>
              <w:spacing w:beforeAutospacing="1" w:afterAutospacing="1"/>
            </w:pPr>
            <w:r w:rsidRPr="003D336B">
              <w:rPr>
                <w:b/>
                <w:color w:val="000000"/>
              </w:rPr>
              <w:t>5</w:t>
            </w:r>
          </w:p>
        </w:tc>
        <w:tc>
          <w:tcPr>
            <w:tcW w:w="2937" w:type="dxa"/>
            <w:tcBorders>
              <w:top w:val="single" w:sz="4" w:space="0" w:color="auto"/>
              <w:left w:val="single" w:sz="4" w:space="0" w:color="auto"/>
              <w:bottom w:val="single" w:sz="4" w:space="0" w:color="auto"/>
              <w:right w:val="single" w:sz="4" w:space="0" w:color="auto"/>
            </w:tcBorders>
          </w:tcPr>
          <w:p w14:paraId="3F6818C6" w14:textId="77777777" w:rsidR="00C77057" w:rsidRPr="003D336B" w:rsidRDefault="00C77057" w:rsidP="00E53512">
            <w:pPr>
              <w:spacing w:beforeAutospacing="1" w:afterAutospacing="1"/>
            </w:pPr>
            <w:r w:rsidRPr="003D336B">
              <w:rPr>
                <w:color w:val="000000"/>
              </w:rPr>
              <w:t>Economic Development-Downtown Revitalization</w:t>
            </w:r>
          </w:p>
        </w:tc>
        <w:tc>
          <w:tcPr>
            <w:tcW w:w="670" w:type="dxa"/>
            <w:tcBorders>
              <w:top w:val="single" w:sz="4" w:space="0" w:color="auto"/>
              <w:left w:val="single" w:sz="4" w:space="0" w:color="auto"/>
              <w:bottom w:val="single" w:sz="4" w:space="0" w:color="auto"/>
              <w:right w:val="single" w:sz="4" w:space="0" w:color="auto"/>
            </w:tcBorders>
          </w:tcPr>
          <w:p w14:paraId="178B39E0" w14:textId="77777777" w:rsidR="00C77057" w:rsidRPr="003D336B" w:rsidRDefault="00C77057" w:rsidP="00E53512">
            <w:pPr>
              <w:spacing w:beforeAutospacing="1" w:afterAutospacing="1"/>
              <w:jc w:val="right"/>
            </w:pPr>
            <w:r w:rsidRPr="003D336B">
              <w:rPr>
                <w:color w:val="000000"/>
              </w:rPr>
              <w:t>2025</w:t>
            </w:r>
          </w:p>
        </w:tc>
        <w:tc>
          <w:tcPr>
            <w:tcW w:w="670" w:type="dxa"/>
            <w:tcBorders>
              <w:top w:val="single" w:sz="4" w:space="0" w:color="auto"/>
              <w:left w:val="single" w:sz="4" w:space="0" w:color="auto"/>
              <w:bottom w:val="single" w:sz="4" w:space="0" w:color="auto"/>
              <w:right w:val="single" w:sz="4" w:space="0" w:color="auto"/>
            </w:tcBorders>
          </w:tcPr>
          <w:p w14:paraId="533806F6" w14:textId="77777777" w:rsidR="00C77057" w:rsidRPr="003D336B" w:rsidRDefault="00C77057" w:rsidP="00E53512">
            <w:pPr>
              <w:spacing w:beforeAutospacing="1" w:afterAutospacing="1"/>
              <w:jc w:val="right"/>
            </w:pPr>
            <w:r w:rsidRPr="003D336B">
              <w:rPr>
                <w:color w:val="000000"/>
              </w:rPr>
              <w:t>2029</w:t>
            </w:r>
          </w:p>
        </w:tc>
        <w:tc>
          <w:tcPr>
            <w:tcW w:w="1531" w:type="dxa"/>
            <w:tcBorders>
              <w:top w:val="single" w:sz="4" w:space="0" w:color="auto"/>
              <w:left w:val="single" w:sz="4" w:space="0" w:color="auto"/>
              <w:bottom w:val="single" w:sz="4" w:space="0" w:color="auto"/>
              <w:right w:val="single" w:sz="4" w:space="0" w:color="auto"/>
            </w:tcBorders>
          </w:tcPr>
          <w:p w14:paraId="276FFB3D" w14:textId="77777777" w:rsidR="00C77057" w:rsidRPr="003D336B" w:rsidRDefault="00C77057" w:rsidP="00E53512">
            <w:pPr>
              <w:spacing w:beforeAutospacing="1" w:afterAutospacing="1"/>
            </w:pPr>
            <w:r w:rsidRPr="003D336B">
              <w:rPr>
                <w:color w:val="000000"/>
              </w:rPr>
              <w:t>Non-Housing Community Development</w:t>
            </w:r>
          </w:p>
        </w:tc>
        <w:tc>
          <w:tcPr>
            <w:tcW w:w="1178" w:type="dxa"/>
            <w:tcBorders>
              <w:top w:val="single" w:sz="4" w:space="0" w:color="auto"/>
              <w:left w:val="single" w:sz="4" w:space="0" w:color="auto"/>
              <w:bottom w:val="single" w:sz="4" w:space="0" w:color="auto"/>
              <w:right w:val="single" w:sz="4" w:space="0" w:color="auto"/>
            </w:tcBorders>
          </w:tcPr>
          <w:p w14:paraId="0E060DE8" w14:textId="77777777" w:rsidR="00C77057" w:rsidRPr="003D336B" w:rsidRDefault="00C77057" w:rsidP="00E53512">
            <w:pPr>
              <w:spacing w:beforeAutospacing="1" w:afterAutospacing="1"/>
            </w:pPr>
            <w:r w:rsidRPr="003D336B">
              <w:rPr>
                <w:color w:val="000000"/>
              </w:rPr>
              <w:t xml:space="preserve"> </w:t>
            </w:r>
          </w:p>
        </w:tc>
        <w:tc>
          <w:tcPr>
            <w:tcW w:w="1715" w:type="dxa"/>
            <w:tcBorders>
              <w:top w:val="single" w:sz="4" w:space="0" w:color="auto"/>
              <w:left w:val="single" w:sz="4" w:space="0" w:color="auto"/>
              <w:bottom w:val="single" w:sz="4" w:space="0" w:color="auto"/>
              <w:right w:val="single" w:sz="4" w:space="0" w:color="auto"/>
            </w:tcBorders>
          </w:tcPr>
          <w:p w14:paraId="19504058" w14:textId="77777777" w:rsidR="00C77057" w:rsidRPr="003D336B" w:rsidRDefault="00C77057" w:rsidP="00E53512">
            <w:pPr>
              <w:spacing w:beforeAutospacing="1" w:afterAutospacing="1"/>
            </w:pPr>
            <w:r w:rsidRPr="003D336B">
              <w:rPr>
                <w:color w:val="000000"/>
              </w:rPr>
              <w:t>Cleanup of blighted properties</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tcPr>
          <w:p w14:paraId="36C13940" w14:textId="77777777" w:rsidR="00C77057" w:rsidRPr="003D336B" w:rsidRDefault="00C77057" w:rsidP="00E53512">
            <w:pPr>
              <w:spacing w:beforeAutospacing="1" w:afterAutospacing="1"/>
              <w:jc w:val="right"/>
            </w:pPr>
            <w:r w:rsidRPr="003D336B">
              <w:rPr>
                <w:color w:val="000000"/>
              </w:rPr>
              <w:t>CDBG: $1,253,618</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Pr>
          <w:p w14:paraId="2DBE1874" w14:textId="77777777" w:rsidR="00C77057" w:rsidRPr="003D336B" w:rsidRDefault="00C77057" w:rsidP="00E53512">
            <w:pPr>
              <w:spacing w:beforeAutospacing="1" w:afterAutospacing="1"/>
            </w:pPr>
            <w:r w:rsidRPr="003D336B">
              <w:rPr>
                <w:color w:val="000000"/>
              </w:rPr>
              <w:t>Other: 2 Other</w:t>
            </w:r>
          </w:p>
        </w:tc>
      </w:tr>
      <w:tr w:rsidR="00C83593" w:rsidRPr="003D336B" w14:paraId="5FB9ED00" w14:textId="77777777" w:rsidTr="00E46B10">
        <w:trPr>
          <w:cantSplit/>
        </w:trPr>
        <w:tc>
          <w:tcPr>
            <w:tcW w:w="743" w:type="dxa"/>
            <w:tcBorders>
              <w:top w:val="single" w:sz="4" w:space="0" w:color="auto"/>
              <w:left w:val="single" w:sz="4" w:space="0" w:color="auto"/>
              <w:bottom w:val="single" w:sz="4" w:space="0" w:color="auto"/>
              <w:right w:val="single" w:sz="4" w:space="0" w:color="auto"/>
            </w:tcBorders>
          </w:tcPr>
          <w:p w14:paraId="1A5927D6" w14:textId="77777777" w:rsidR="00C77057" w:rsidRPr="003D336B" w:rsidRDefault="00C77057" w:rsidP="00E53512">
            <w:pPr>
              <w:spacing w:beforeAutospacing="1" w:afterAutospacing="1"/>
            </w:pPr>
            <w:r w:rsidRPr="003D336B">
              <w:rPr>
                <w:b/>
                <w:color w:val="000000"/>
              </w:rPr>
              <w:lastRenderedPageBreak/>
              <w:t>6</w:t>
            </w:r>
          </w:p>
        </w:tc>
        <w:tc>
          <w:tcPr>
            <w:tcW w:w="2937" w:type="dxa"/>
            <w:tcBorders>
              <w:top w:val="single" w:sz="4" w:space="0" w:color="auto"/>
              <w:left w:val="single" w:sz="4" w:space="0" w:color="auto"/>
              <w:bottom w:val="single" w:sz="4" w:space="0" w:color="auto"/>
              <w:right w:val="single" w:sz="4" w:space="0" w:color="auto"/>
            </w:tcBorders>
          </w:tcPr>
          <w:p w14:paraId="6959ED38" w14:textId="77777777" w:rsidR="00C77057" w:rsidRPr="003D336B" w:rsidRDefault="00C77057" w:rsidP="00E53512">
            <w:pPr>
              <w:spacing w:beforeAutospacing="1" w:afterAutospacing="1"/>
              <w:rPr>
                <w:color w:val="000000"/>
              </w:rPr>
            </w:pPr>
            <w:r w:rsidRPr="003D336B">
              <w:rPr>
                <w:color w:val="000000"/>
              </w:rPr>
              <w:t>Provide Suitable Living Environment</w:t>
            </w:r>
          </w:p>
          <w:p w14:paraId="39EE6B30" w14:textId="77777777" w:rsidR="00C77057" w:rsidRPr="003D336B" w:rsidRDefault="00C77057" w:rsidP="00E53512">
            <w:pPr>
              <w:spacing w:before="100" w:beforeAutospacing="1" w:after="100" w:afterAutospacing="1"/>
              <w:rPr>
                <w:i/>
                <w:iCs/>
              </w:rPr>
            </w:pPr>
          </w:p>
        </w:tc>
        <w:tc>
          <w:tcPr>
            <w:tcW w:w="670" w:type="dxa"/>
            <w:tcBorders>
              <w:top w:val="single" w:sz="4" w:space="0" w:color="auto"/>
              <w:left w:val="single" w:sz="4" w:space="0" w:color="auto"/>
              <w:bottom w:val="single" w:sz="4" w:space="0" w:color="auto"/>
              <w:right w:val="single" w:sz="4" w:space="0" w:color="auto"/>
            </w:tcBorders>
          </w:tcPr>
          <w:p w14:paraId="0A92F538" w14:textId="77777777" w:rsidR="00C77057" w:rsidRPr="003D336B" w:rsidRDefault="00C77057" w:rsidP="00E53512">
            <w:pPr>
              <w:spacing w:beforeAutospacing="1" w:afterAutospacing="1"/>
              <w:jc w:val="right"/>
            </w:pPr>
            <w:r w:rsidRPr="003D336B">
              <w:rPr>
                <w:color w:val="000000"/>
              </w:rPr>
              <w:t>2025</w:t>
            </w:r>
          </w:p>
        </w:tc>
        <w:tc>
          <w:tcPr>
            <w:tcW w:w="670" w:type="dxa"/>
            <w:tcBorders>
              <w:top w:val="single" w:sz="4" w:space="0" w:color="auto"/>
              <w:left w:val="single" w:sz="4" w:space="0" w:color="auto"/>
              <w:bottom w:val="single" w:sz="4" w:space="0" w:color="auto"/>
              <w:right w:val="single" w:sz="4" w:space="0" w:color="auto"/>
            </w:tcBorders>
          </w:tcPr>
          <w:p w14:paraId="42D62495" w14:textId="77777777" w:rsidR="00C77057" w:rsidRPr="003D336B" w:rsidRDefault="00C77057" w:rsidP="00E53512">
            <w:pPr>
              <w:spacing w:beforeAutospacing="1" w:afterAutospacing="1"/>
              <w:jc w:val="right"/>
            </w:pPr>
            <w:r w:rsidRPr="003D336B">
              <w:rPr>
                <w:color w:val="000000"/>
              </w:rPr>
              <w:t>2029</w:t>
            </w:r>
          </w:p>
        </w:tc>
        <w:tc>
          <w:tcPr>
            <w:tcW w:w="1531" w:type="dxa"/>
            <w:tcBorders>
              <w:top w:val="single" w:sz="4" w:space="0" w:color="auto"/>
              <w:left w:val="single" w:sz="4" w:space="0" w:color="auto"/>
              <w:bottom w:val="single" w:sz="4" w:space="0" w:color="auto"/>
              <w:right w:val="single" w:sz="4" w:space="0" w:color="auto"/>
            </w:tcBorders>
          </w:tcPr>
          <w:p w14:paraId="2C464DA9" w14:textId="77777777" w:rsidR="00C77057" w:rsidRPr="003D336B" w:rsidRDefault="00C77057" w:rsidP="00E53512">
            <w:pPr>
              <w:spacing w:beforeAutospacing="1" w:afterAutospacing="1"/>
            </w:pPr>
            <w:r w:rsidRPr="003D336B">
              <w:rPr>
                <w:color w:val="000000"/>
              </w:rPr>
              <w:t>Homeless</w:t>
            </w:r>
          </w:p>
        </w:tc>
        <w:tc>
          <w:tcPr>
            <w:tcW w:w="1178" w:type="dxa"/>
            <w:tcBorders>
              <w:top w:val="single" w:sz="4" w:space="0" w:color="auto"/>
              <w:left w:val="single" w:sz="4" w:space="0" w:color="auto"/>
              <w:bottom w:val="single" w:sz="4" w:space="0" w:color="auto"/>
              <w:right w:val="single" w:sz="4" w:space="0" w:color="auto"/>
            </w:tcBorders>
          </w:tcPr>
          <w:p w14:paraId="201E0498" w14:textId="77777777" w:rsidR="00C77057" w:rsidRPr="003D336B" w:rsidRDefault="00C77057" w:rsidP="00E53512">
            <w:pPr>
              <w:spacing w:beforeAutospacing="1" w:afterAutospacing="1"/>
            </w:pPr>
            <w:r w:rsidRPr="003D336B">
              <w:rPr>
                <w:color w:val="000000"/>
              </w:rPr>
              <w:t xml:space="preserve"> </w:t>
            </w:r>
          </w:p>
        </w:tc>
        <w:tc>
          <w:tcPr>
            <w:tcW w:w="1715" w:type="dxa"/>
            <w:tcBorders>
              <w:top w:val="single" w:sz="4" w:space="0" w:color="auto"/>
              <w:left w:val="single" w:sz="4" w:space="0" w:color="auto"/>
              <w:bottom w:val="single" w:sz="4" w:space="0" w:color="auto"/>
              <w:right w:val="single" w:sz="4" w:space="0" w:color="auto"/>
            </w:tcBorders>
          </w:tcPr>
          <w:p w14:paraId="3AA2F789" w14:textId="0E1B0799" w:rsidR="00C77057" w:rsidRPr="003D336B" w:rsidRDefault="00C77057" w:rsidP="00E53512">
            <w:pPr>
              <w:spacing w:beforeAutospacing="1" w:afterAutospacing="1"/>
            </w:pPr>
            <w:r w:rsidRPr="098FA5AC">
              <w:rPr>
                <w:color w:val="000000" w:themeColor="text1"/>
              </w:rPr>
              <w:t>Homeless Shelter</w:t>
            </w:r>
            <w:r w:rsidR="56767DB2" w:rsidRPr="098FA5AC">
              <w:rPr>
                <w:color w:val="000000" w:themeColor="text1"/>
              </w:rPr>
              <w:t>,</w:t>
            </w:r>
            <w:r w:rsidRPr="098FA5AC">
              <w:rPr>
                <w:color w:val="000000" w:themeColor="text1"/>
              </w:rPr>
              <w:t xml:space="preserve"> Operations &amp; Prevention</w:t>
            </w:r>
            <w:r w:rsidR="5450B95A" w:rsidRPr="098FA5AC">
              <w:rPr>
                <w:color w:val="000000" w:themeColor="text1"/>
              </w:rPr>
              <w:t>,</w:t>
            </w:r>
            <w:r>
              <w:br/>
            </w:r>
            <w:r w:rsidRPr="098FA5AC">
              <w:rPr>
                <w:color w:val="000000" w:themeColor="text1"/>
              </w:rPr>
              <w:t>Housing related activities</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tcPr>
          <w:p w14:paraId="18FF2514" w14:textId="77777777" w:rsidR="00C77057" w:rsidRPr="003D336B" w:rsidRDefault="00C77057" w:rsidP="787E070B">
            <w:pPr>
              <w:spacing w:beforeAutospacing="1" w:afterAutospacing="1"/>
              <w:jc w:val="right"/>
            </w:pPr>
            <w:r w:rsidRPr="787E070B">
              <w:rPr>
                <w:color w:val="000000" w:themeColor="text1"/>
              </w:rPr>
              <w:t>ESG: $1,117,066</w:t>
            </w:r>
            <w:r>
              <w:br/>
            </w:r>
            <w:r w:rsidRPr="787E070B">
              <w:rPr>
                <w:color w:val="000000" w:themeColor="text1"/>
              </w:rPr>
              <w:t>Continuum of Care: $4,050,932</w:t>
            </w:r>
            <w:r>
              <w:br/>
            </w:r>
            <w:r w:rsidRPr="787E070B">
              <w:rPr>
                <w:color w:val="000000" w:themeColor="text1"/>
              </w:rPr>
              <w:t>ESG Match: $1,117,066</w:t>
            </w:r>
            <w:r>
              <w:br/>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Pr>
          <w:p w14:paraId="0F3E2FBC" w14:textId="77777777" w:rsidR="00C77057" w:rsidRPr="003D336B" w:rsidRDefault="00C77057" w:rsidP="787E070B">
            <w:pPr>
              <w:spacing w:beforeAutospacing="1" w:afterAutospacing="1"/>
            </w:pPr>
            <w:r w:rsidRPr="787E070B">
              <w:rPr>
                <w:color w:val="000000" w:themeColor="text1"/>
              </w:rPr>
              <w:t>Tenant-based rental assistance / Rapid Rehousing: 220 Households Assisted Overnight/Emergency Shelter/Transitional Housing Beds added: 1305 Beds Homelessness Prevention: 500 Persons Assisted</w:t>
            </w:r>
          </w:p>
        </w:tc>
      </w:tr>
      <w:tr w:rsidR="00C83593" w14:paraId="54E904DF" w14:textId="77777777" w:rsidTr="00E46B10">
        <w:trPr>
          <w:cantSplit/>
        </w:trPr>
        <w:tc>
          <w:tcPr>
            <w:tcW w:w="743" w:type="dxa"/>
            <w:tcBorders>
              <w:top w:val="single" w:sz="4" w:space="0" w:color="auto"/>
              <w:left w:val="single" w:sz="4" w:space="0" w:color="auto"/>
              <w:bottom w:val="single" w:sz="4" w:space="0" w:color="auto"/>
              <w:right w:val="single" w:sz="4" w:space="0" w:color="auto"/>
            </w:tcBorders>
          </w:tcPr>
          <w:p w14:paraId="7AC6118E" w14:textId="77777777" w:rsidR="00C77057" w:rsidRPr="003D336B" w:rsidRDefault="00C77057" w:rsidP="00E53512">
            <w:pPr>
              <w:spacing w:beforeAutospacing="1" w:afterAutospacing="1"/>
            </w:pPr>
            <w:r w:rsidRPr="003D336B">
              <w:rPr>
                <w:b/>
                <w:color w:val="000000"/>
              </w:rPr>
              <w:t>7</w:t>
            </w:r>
          </w:p>
        </w:tc>
        <w:tc>
          <w:tcPr>
            <w:tcW w:w="2937" w:type="dxa"/>
            <w:tcBorders>
              <w:top w:val="single" w:sz="4" w:space="0" w:color="auto"/>
              <w:left w:val="single" w:sz="4" w:space="0" w:color="auto"/>
              <w:bottom w:val="single" w:sz="4" w:space="0" w:color="auto"/>
              <w:right w:val="single" w:sz="4" w:space="0" w:color="auto"/>
            </w:tcBorders>
          </w:tcPr>
          <w:p w14:paraId="1B9C7EC2" w14:textId="77777777" w:rsidR="00C77057" w:rsidRPr="003D336B" w:rsidRDefault="00C77057" w:rsidP="00E53512">
            <w:pPr>
              <w:spacing w:beforeAutospacing="1" w:afterAutospacing="1"/>
              <w:rPr>
                <w:color w:val="000000"/>
              </w:rPr>
            </w:pPr>
            <w:r w:rsidRPr="003D336B">
              <w:rPr>
                <w:color w:val="000000"/>
              </w:rPr>
              <w:t>Provide Decent Affordable Housing</w:t>
            </w:r>
          </w:p>
          <w:p w14:paraId="5DB789DA" w14:textId="77777777" w:rsidR="00C77057" w:rsidRPr="003D336B" w:rsidRDefault="00C77057" w:rsidP="00E53512">
            <w:pPr>
              <w:spacing w:beforeAutospacing="1" w:afterAutospacing="1"/>
              <w:rPr>
                <w:i/>
                <w:iCs/>
              </w:rPr>
            </w:pPr>
          </w:p>
        </w:tc>
        <w:tc>
          <w:tcPr>
            <w:tcW w:w="670" w:type="dxa"/>
            <w:tcBorders>
              <w:top w:val="single" w:sz="4" w:space="0" w:color="auto"/>
              <w:left w:val="single" w:sz="4" w:space="0" w:color="auto"/>
              <w:bottom w:val="single" w:sz="4" w:space="0" w:color="auto"/>
              <w:right w:val="single" w:sz="4" w:space="0" w:color="auto"/>
            </w:tcBorders>
          </w:tcPr>
          <w:p w14:paraId="653064EF" w14:textId="77777777" w:rsidR="00C77057" w:rsidRPr="003D336B" w:rsidRDefault="00C77057" w:rsidP="00E53512">
            <w:pPr>
              <w:spacing w:beforeAutospacing="1" w:afterAutospacing="1"/>
              <w:jc w:val="right"/>
            </w:pPr>
            <w:r w:rsidRPr="003D336B">
              <w:rPr>
                <w:color w:val="000000"/>
              </w:rPr>
              <w:t>2025</w:t>
            </w:r>
          </w:p>
        </w:tc>
        <w:tc>
          <w:tcPr>
            <w:tcW w:w="670" w:type="dxa"/>
            <w:tcBorders>
              <w:top w:val="single" w:sz="4" w:space="0" w:color="auto"/>
              <w:left w:val="single" w:sz="4" w:space="0" w:color="auto"/>
              <w:bottom w:val="single" w:sz="4" w:space="0" w:color="auto"/>
              <w:right w:val="single" w:sz="4" w:space="0" w:color="auto"/>
            </w:tcBorders>
          </w:tcPr>
          <w:p w14:paraId="0C9CFE84" w14:textId="77777777" w:rsidR="00C77057" w:rsidRPr="003D336B" w:rsidRDefault="00C77057" w:rsidP="00E53512">
            <w:pPr>
              <w:spacing w:beforeAutospacing="1" w:afterAutospacing="1"/>
              <w:jc w:val="right"/>
            </w:pPr>
            <w:r w:rsidRPr="003D336B">
              <w:rPr>
                <w:color w:val="000000"/>
              </w:rPr>
              <w:t>2029</w:t>
            </w:r>
          </w:p>
        </w:tc>
        <w:tc>
          <w:tcPr>
            <w:tcW w:w="1531" w:type="dxa"/>
            <w:tcBorders>
              <w:top w:val="single" w:sz="4" w:space="0" w:color="auto"/>
              <w:left w:val="single" w:sz="4" w:space="0" w:color="auto"/>
              <w:bottom w:val="single" w:sz="4" w:space="0" w:color="auto"/>
              <w:right w:val="single" w:sz="4" w:space="0" w:color="auto"/>
            </w:tcBorders>
          </w:tcPr>
          <w:p w14:paraId="7DDCD1AF" w14:textId="77777777" w:rsidR="00C77057" w:rsidRPr="003D336B" w:rsidRDefault="00C77057" w:rsidP="00E53512">
            <w:pPr>
              <w:spacing w:beforeAutospacing="1" w:afterAutospacing="1"/>
            </w:pPr>
            <w:r w:rsidRPr="003D336B">
              <w:rPr>
                <w:color w:val="000000"/>
              </w:rPr>
              <w:t>Affordable Housing</w:t>
            </w:r>
          </w:p>
        </w:tc>
        <w:tc>
          <w:tcPr>
            <w:tcW w:w="1178" w:type="dxa"/>
            <w:tcBorders>
              <w:top w:val="single" w:sz="4" w:space="0" w:color="auto"/>
              <w:left w:val="single" w:sz="4" w:space="0" w:color="auto"/>
              <w:bottom w:val="single" w:sz="4" w:space="0" w:color="auto"/>
              <w:right w:val="single" w:sz="4" w:space="0" w:color="auto"/>
            </w:tcBorders>
          </w:tcPr>
          <w:p w14:paraId="1B652E92" w14:textId="77777777" w:rsidR="00C77057" w:rsidRPr="003D336B" w:rsidRDefault="00C77057" w:rsidP="00E53512">
            <w:pPr>
              <w:spacing w:beforeAutospacing="1" w:afterAutospacing="1"/>
            </w:pPr>
            <w:r w:rsidRPr="003D336B">
              <w:rPr>
                <w:color w:val="000000"/>
              </w:rPr>
              <w:t xml:space="preserve"> </w:t>
            </w:r>
          </w:p>
        </w:tc>
        <w:tc>
          <w:tcPr>
            <w:tcW w:w="1715" w:type="dxa"/>
            <w:tcBorders>
              <w:top w:val="single" w:sz="4" w:space="0" w:color="auto"/>
              <w:left w:val="single" w:sz="4" w:space="0" w:color="auto"/>
              <w:bottom w:val="single" w:sz="4" w:space="0" w:color="auto"/>
              <w:right w:val="single" w:sz="4" w:space="0" w:color="auto"/>
            </w:tcBorders>
          </w:tcPr>
          <w:p w14:paraId="13B86498" w14:textId="189D5CB9" w:rsidR="00C77057" w:rsidRPr="003D336B" w:rsidRDefault="00C77057" w:rsidP="00E53512">
            <w:pPr>
              <w:spacing w:beforeAutospacing="1" w:afterAutospacing="1"/>
            </w:pPr>
            <w:r w:rsidRPr="098FA5AC">
              <w:rPr>
                <w:color w:val="000000" w:themeColor="text1"/>
              </w:rPr>
              <w:t>Create Affordable Homeownership Opportunities</w:t>
            </w:r>
            <w:r w:rsidR="06149B27" w:rsidRPr="098FA5AC">
              <w:rPr>
                <w:color w:val="000000" w:themeColor="text1"/>
              </w:rPr>
              <w:t>,</w:t>
            </w:r>
            <w:r>
              <w:br/>
            </w:r>
            <w:r w:rsidRPr="098FA5AC">
              <w:rPr>
                <w:color w:val="000000" w:themeColor="text1"/>
              </w:rPr>
              <w:t>Create and Preserve Affordable Rental Housing</w:t>
            </w:r>
          </w:p>
        </w:tc>
        <w:tc>
          <w:tcPr>
            <w:tcW w:w="1511" w:type="dxa"/>
            <w:tcBorders>
              <w:top w:val="single" w:sz="4" w:space="0" w:color="auto"/>
              <w:left w:val="single" w:sz="4" w:space="0" w:color="auto"/>
              <w:bottom w:val="single" w:sz="4" w:space="0" w:color="auto"/>
              <w:right w:val="single" w:sz="4" w:space="0" w:color="auto"/>
            </w:tcBorders>
            <w:shd w:val="clear" w:color="auto" w:fill="FFFFFF" w:themeFill="background1"/>
          </w:tcPr>
          <w:p w14:paraId="23F7CE9F" w14:textId="424EFE97" w:rsidR="00C77057" w:rsidRPr="003D336B" w:rsidRDefault="00C77057" w:rsidP="00E53512">
            <w:pPr>
              <w:spacing w:beforeAutospacing="1" w:afterAutospacing="1"/>
              <w:jc w:val="right"/>
            </w:pPr>
            <w:r w:rsidRPr="003D336B">
              <w:rPr>
                <w:color w:val="000000"/>
              </w:rPr>
              <w:t>HOME: $</w:t>
            </w:r>
            <w:r w:rsidR="00A85777">
              <w:rPr>
                <w:color w:val="000000"/>
              </w:rPr>
              <w:t>8,941,667</w:t>
            </w:r>
            <w:r w:rsidRPr="003D336B">
              <w:rPr>
                <w:color w:val="000000"/>
              </w:rPr>
              <w:br/>
              <w:t>HTF: $3,</w:t>
            </w:r>
            <w:r w:rsidR="003409DC">
              <w:rPr>
                <w:color w:val="000000"/>
              </w:rPr>
              <w:t>000,000</w:t>
            </w:r>
          </w:p>
        </w:tc>
        <w:tc>
          <w:tcPr>
            <w:tcW w:w="2881" w:type="dxa"/>
            <w:tcBorders>
              <w:top w:val="single" w:sz="4" w:space="0" w:color="auto"/>
              <w:left w:val="single" w:sz="4" w:space="0" w:color="auto"/>
              <w:bottom w:val="single" w:sz="4" w:space="0" w:color="auto"/>
              <w:right w:val="single" w:sz="4" w:space="0" w:color="auto"/>
            </w:tcBorders>
            <w:shd w:val="clear" w:color="auto" w:fill="FFFFFF" w:themeFill="background1"/>
          </w:tcPr>
          <w:p w14:paraId="74BE7476" w14:textId="09CB6D54" w:rsidR="00C77057" w:rsidRDefault="00C77057" w:rsidP="787E070B">
            <w:pPr>
              <w:spacing w:beforeAutospacing="1" w:afterAutospacing="1"/>
              <w:rPr>
                <w:color w:val="000000"/>
              </w:rPr>
            </w:pPr>
            <w:r w:rsidRPr="787E070B">
              <w:rPr>
                <w:color w:val="000000" w:themeColor="text1"/>
              </w:rPr>
              <w:t>Rental units constructed: 30 Household Housing Unit</w:t>
            </w:r>
            <w:r>
              <w:br/>
            </w:r>
            <w:r w:rsidRPr="787E070B">
              <w:rPr>
                <w:color w:val="000000" w:themeColor="text1"/>
              </w:rPr>
              <w:t>Direct Financial Assistance to Homebuyers: 25 Households Assisted</w:t>
            </w:r>
            <w:r>
              <w:br/>
            </w:r>
          </w:p>
          <w:p w14:paraId="4986D6BE" w14:textId="77777777" w:rsidR="00C77057" w:rsidRDefault="00C77057" w:rsidP="00E53512">
            <w:pPr>
              <w:spacing w:beforeAutospacing="1" w:afterAutospacing="1"/>
            </w:pPr>
          </w:p>
        </w:tc>
      </w:tr>
    </w:tbl>
    <w:p w14:paraId="0A6CD4A7" w14:textId="77777777" w:rsidR="00C77057" w:rsidRDefault="00C77057" w:rsidP="00C77057"/>
    <w:p w14:paraId="60A8018F" w14:textId="77777777" w:rsidR="00C77057" w:rsidRDefault="00C77057" w:rsidP="009A2C2E">
      <w:pPr>
        <w:keepNext/>
        <w:widowControl w:val="0"/>
        <w:rPr>
          <w:b/>
          <w:sz w:val="24"/>
          <w:szCs w:val="24"/>
        </w:rPr>
      </w:pPr>
    </w:p>
    <w:p w14:paraId="7664E401" w14:textId="77777777" w:rsidR="003D336B" w:rsidRDefault="003D336B" w:rsidP="003D336B"/>
    <w:p w14:paraId="04F151CB" w14:textId="77777777" w:rsidR="003D336B" w:rsidRDefault="003D336B" w:rsidP="009A2C2E">
      <w:pPr>
        <w:pStyle w:val="Caption"/>
        <w:jc w:val="center"/>
        <w:rPr>
          <w:rFonts w:asciiTheme="minorHAnsi" w:hAnsiTheme="minorHAnsi"/>
        </w:rPr>
      </w:pPr>
    </w:p>
    <w:p w14:paraId="394DC4FE" w14:textId="308BF98D" w:rsidR="009A2C2E" w:rsidRDefault="009A2C2E" w:rsidP="009A2C2E">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Goals Summary</w:t>
      </w:r>
    </w:p>
    <w:p w14:paraId="778B1AD0" w14:textId="77777777" w:rsidR="009A2C2E" w:rsidRDefault="009A2C2E" w:rsidP="009A2C2E">
      <w:pPr>
        <w:rPr>
          <w:b/>
          <w:sz w:val="24"/>
          <w:szCs w:val="24"/>
        </w:rPr>
      </w:pPr>
    </w:p>
    <w:p w14:paraId="35081FD7" w14:textId="77777777" w:rsidR="0089740F" w:rsidRDefault="0089740F">
      <w:pPr>
        <w:spacing w:after="160" w:line="259" w:lineRule="auto"/>
        <w:rPr>
          <w:b/>
          <w:sz w:val="24"/>
          <w:szCs w:val="24"/>
        </w:rPr>
      </w:pPr>
      <w:r>
        <w:rPr>
          <w:b/>
          <w:sz w:val="24"/>
          <w:szCs w:val="24"/>
        </w:rPr>
        <w:br w:type="page"/>
      </w:r>
    </w:p>
    <w:p w14:paraId="2E9095E6" w14:textId="3E46967D" w:rsidR="009A2C2E" w:rsidRDefault="009A2C2E" w:rsidP="009A2C2E">
      <w:pPr>
        <w:rPr>
          <w:b/>
          <w:sz w:val="24"/>
          <w:szCs w:val="24"/>
        </w:rPr>
      </w:pPr>
      <w:r>
        <w:rPr>
          <w:b/>
          <w:sz w:val="24"/>
          <w:szCs w:val="24"/>
        </w:rPr>
        <w:lastRenderedPageBreak/>
        <w:t>Goal Descriptions</w:t>
      </w:r>
    </w:p>
    <w:p w14:paraId="7BD3679A" w14:textId="77777777" w:rsidR="009A2C2E" w:rsidRDefault="009A2C2E" w:rsidP="009A2C2E">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399"/>
        <w:gridCol w:w="11223"/>
      </w:tblGrid>
      <w:tr w:rsidR="009A2C2E" w14:paraId="6431E4BF" w14:textId="77777777" w:rsidTr="787E070B">
        <w:trPr>
          <w:cantSplit/>
        </w:trPr>
        <w:tc>
          <w:tcPr>
            <w:tcW w:w="0" w:type="auto"/>
            <w:vMerge w:val="restart"/>
          </w:tcPr>
          <w:p w14:paraId="783A70FC" w14:textId="77777777" w:rsidR="009A2C2E" w:rsidRDefault="009A2C2E" w:rsidP="00E53512">
            <w:pPr>
              <w:keepNext/>
              <w:spacing w:before="100" w:after="0"/>
            </w:pPr>
            <w:r>
              <w:rPr>
                <w:b/>
                <w:color w:val="000000"/>
              </w:rPr>
              <w:t>1</w:t>
            </w:r>
          </w:p>
        </w:tc>
        <w:tc>
          <w:tcPr>
            <w:tcW w:w="0" w:type="auto"/>
          </w:tcPr>
          <w:p w14:paraId="750D5F11" w14:textId="77777777" w:rsidR="009A2C2E" w:rsidRDefault="009A2C2E" w:rsidP="00E53512">
            <w:pPr>
              <w:keepNext/>
              <w:spacing w:before="100" w:after="0"/>
              <w:rPr>
                <w:b/>
              </w:rPr>
            </w:pPr>
            <w:r>
              <w:rPr>
                <w:b/>
              </w:rPr>
              <w:t>Goal Name</w:t>
            </w:r>
          </w:p>
        </w:tc>
        <w:tc>
          <w:tcPr>
            <w:tcW w:w="0" w:type="auto"/>
          </w:tcPr>
          <w:p w14:paraId="1D050231" w14:textId="77777777" w:rsidR="009A2C2E" w:rsidRDefault="009A2C2E" w:rsidP="787E070B">
            <w:pPr>
              <w:spacing w:before="100" w:after="0"/>
              <w:rPr>
                <w:color w:val="000000" w:themeColor="text1"/>
              </w:rPr>
            </w:pPr>
            <w:r w:rsidRPr="787E070B">
              <w:rPr>
                <w:color w:val="000000" w:themeColor="text1"/>
              </w:rPr>
              <w:t>Public Facilities/Infrastructure-Compliance</w:t>
            </w:r>
          </w:p>
        </w:tc>
      </w:tr>
      <w:tr w:rsidR="009A2C2E" w14:paraId="16E3C12B" w14:textId="77777777" w:rsidTr="787E070B">
        <w:trPr>
          <w:cantSplit/>
        </w:trPr>
        <w:tc>
          <w:tcPr>
            <w:tcW w:w="0" w:type="auto"/>
            <w:vMerge/>
          </w:tcPr>
          <w:p w14:paraId="69215025" w14:textId="77777777" w:rsidR="009A2C2E" w:rsidRDefault="009A2C2E" w:rsidP="00E53512"/>
        </w:tc>
        <w:tc>
          <w:tcPr>
            <w:tcW w:w="0" w:type="auto"/>
          </w:tcPr>
          <w:p w14:paraId="3E0C96B3" w14:textId="77777777" w:rsidR="009A2C2E" w:rsidRDefault="009A2C2E" w:rsidP="00E53512">
            <w:pPr>
              <w:keepNext/>
              <w:spacing w:before="100" w:after="0"/>
              <w:rPr>
                <w:b/>
              </w:rPr>
            </w:pPr>
            <w:r>
              <w:rPr>
                <w:b/>
              </w:rPr>
              <w:t>Goal Description</w:t>
            </w:r>
          </w:p>
        </w:tc>
        <w:tc>
          <w:tcPr>
            <w:tcW w:w="0" w:type="auto"/>
          </w:tcPr>
          <w:p w14:paraId="03FE2327" w14:textId="77777777" w:rsidR="009A2C2E" w:rsidRDefault="009A2C2E" w:rsidP="00E53512">
            <w:pPr>
              <w:spacing w:before="100" w:after="0"/>
            </w:pPr>
            <w:r>
              <w:rPr>
                <w:color w:val="000000"/>
              </w:rPr>
              <w:t>Activities include bringing public facilities systems (infrastructure, community facilities, public utilities) into compliance with environmental laws, federal and state standards, industry standards, building codes, or best management practices. </w:t>
            </w:r>
          </w:p>
          <w:p w14:paraId="479745A4" w14:textId="1452D1C3" w:rsidR="009A2C2E" w:rsidRDefault="009A2C2E" w:rsidP="00E53512">
            <w:pPr>
              <w:spacing w:before="100" w:after="0"/>
            </w:pPr>
            <w:r>
              <w:rPr>
                <w:color w:val="000000"/>
              </w:rPr>
              <w:t xml:space="preserve">For the state CDBG program, the Public Facilities/ Infrastructure- Compliance goal consists of a large diverse number of activities, therefore, by going with 25% it gives local governments a fair amount of flexibility to </w:t>
            </w:r>
            <w:proofErr w:type="gramStart"/>
            <w:r>
              <w:rPr>
                <w:color w:val="000000"/>
              </w:rPr>
              <w:t>submit an application</w:t>
            </w:r>
            <w:proofErr w:type="gramEnd"/>
            <w:r>
              <w:rPr>
                <w:color w:val="000000"/>
              </w:rPr>
              <w:t xml:space="preserve"> based on their Public Facilities/Infrastructure-Compliance needs.  The original intent of the CDBG program was meant to not be a </w:t>
            </w:r>
            <w:r w:rsidR="0089740F">
              <w:rPr>
                <w:color w:val="000000"/>
              </w:rPr>
              <w:t>top-down</w:t>
            </w:r>
            <w:r>
              <w:rPr>
                <w:color w:val="000000"/>
              </w:rPr>
              <w:t xml:space="preserve"> driven model. </w:t>
            </w:r>
          </w:p>
          <w:p w14:paraId="11578072" w14:textId="3B444360" w:rsidR="009A2C2E" w:rsidRDefault="009A2C2E" w:rsidP="00E53512">
            <w:pPr>
              <w:spacing w:before="100" w:after="0"/>
            </w:pPr>
            <w:r>
              <w:rPr>
                <w:color w:val="000000"/>
              </w:rPr>
              <w:t xml:space="preserve">Second, over the last year (2020) the CDBG percentage expended on public facilities/infrastructure-compliance was 6%.  This did not meet the 2020-2024 Consolidated Plan’s </w:t>
            </w:r>
            <w:r w:rsidR="0089740F">
              <w:rPr>
                <w:color w:val="000000"/>
              </w:rPr>
              <w:t>five-year</w:t>
            </w:r>
            <w:r>
              <w:rPr>
                <w:color w:val="000000"/>
              </w:rPr>
              <w:t xml:space="preserve"> goal of expending at least 25% on the public facilities / infrastructure – compliance, however, this is just one year of the five-year plan, so until more data developed will leave percentage at 25%.</w:t>
            </w:r>
          </w:p>
          <w:p w14:paraId="64E73D0D" w14:textId="77777777" w:rsidR="009A2C2E" w:rsidRPr="008355B9" w:rsidRDefault="009A2C2E" w:rsidP="00E53512">
            <w:pPr>
              <w:spacing w:before="100" w:after="0"/>
              <w:rPr>
                <w:strike/>
              </w:rPr>
            </w:pPr>
            <w:r>
              <w:rPr>
                <w:color w:val="000000"/>
              </w:rPr>
              <w:t>Further rationale for 25%, is based on the results of the needs survey.  Some of the activities identified with the highest needs were parks and recreation facilities, community centers, fire/EMT stations, water and sewer system, see survey results.  These activities could fall within the compliance goal.   Although streets and sidewalk were identified as high needs it would be difficult for these activities to meet a required low-to-moderate income national objective and subsequently the compliance goal.  Supportive infrastructure activities for affordable housing could fall within this goal.   </w:t>
            </w:r>
            <w:r w:rsidRPr="008355B9">
              <w:rPr>
                <w:strike/>
                <w:color w:val="000000"/>
              </w:rPr>
              <w:t xml:space="preserve">Another reason for the 25% is that the needs survey under planning studies indicated a high need for funding for facilities plan.  Based on these results Commerce will look to create </w:t>
            </w:r>
            <w:proofErr w:type="gramStart"/>
            <w:r w:rsidRPr="008355B9">
              <w:rPr>
                <w:strike/>
                <w:color w:val="000000"/>
              </w:rPr>
              <w:t>a separate</w:t>
            </w:r>
            <w:proofErr w:type="gramEnd"/>
            <w:r w:rsidRPr="008355B9">
              <w:rPr>
                <w:strike/>
                <w:color w:val="000000"/>
              </w:rPr>
              <w:t xml:space="preserve"> facilities planning study set-aside, which could fall within the public facilities/infrastructure compliance goal. </w:t>
            </w:r>
          </w:p>
          <w:p w14:paraId="161DF8F0" w14:textId="77777777" w:rsidR="009A2C2E" w:rsidRDefault="009A2C2E" w:rsidP="00E53512">
            <w:pPr>
              <w:spacing w:before="100" w:after="0"/>
            </w:pPr>
            <w:r>
              <w:rPr>
                <w:color w:val="000000"/>
              </w:rPr>
              <w:t> Third, projects funding from this allocation priority will help to ensure Idaho Department of Commerce meets its 70% of funding to benefit low-to-moderate income requirement. </w:t>
            </w:r>
          </w:p>
        </w:tc>
      </w:tr>
      <w:tr w:rsidR="009A2C2E" w14:paraId="0947CE1C" w14:textId="77777777" w:rsidTr="787E070B">
        <w:trPr>
          <w:cantSplit/>
        </w:trPr>
        <w:tc>
          <w:tcPr>
            <w:tcW w:w="0" w:type="auto"/>
            <w:vMerge w:val="restart"/>
          </w:tcPr>
          <w:p w14:paraId="3A764804" w14:textId="77777777" w:rsidR="009A2C2E" w:rsidRDefault="009A2C2E" w:rsidP="00E53512">
            <w:pPr>
              <w:keepNext/>
              <w:spacing w:before="100" w:after="0"/>
            </w:pPr>
            <w:r>
              <w:rPr>
                <w:b/>
                <w:color w:val="000000"/>
              </w:rPr>
              <w:lastRenderedPageBreak/>
              <w:t>2</w:t>
            </w:r>
          </w:p>
        </w:tc>
        <w:tc>
          <w:tcPr>
            <w:tcW w:w="0" w:type="auto"/>
          </w:tcPr>
          <w:p w14:paraId="66B5A089" w14:textId="77777777" w:rsidR="009A2C2E" w:rsidRDefault="009A2C2E" w:rsidP="00E53512">
            <w:pPr>
              <w:keepNext/>
              <w:spacing w:before="100" w:after="0"/>
              <w:rPr>
                <w:b/>
              </w:rPr>
            </w:pPr>
            <w:r>
              <w:rPr>
                <w:b/>
              </w:rPr>
              <w:t>Goal Name</w:t>
            </w:r>
          </w:p>
        </w:tc>
        <w:tc>
          <w:tcPr>
            <w:tcW w:w="0" w:type="auto"/>
          </w:tcPr>
          <w:p w14:paraId="60DC94DD" w14:textId="77777777" w:rsidR="009A2C2E" w:rsidRDefault="009A2C2E" w:rsidP="00E53512">
            <w:pPr>
              <w:spacing w:before="100" w:after="0"/>
            </w:pPr>
            <w:r>
              <w:rPr>
                <w:color w:val="000000"/>
              </w:rPr>
              <w:t>Public Facilities/Infrastructure-Rehabilitation</w:t>
            </w:r>
          </w:p>
        </w:tc>
      </w:tr>
      <w:tr w:rsidR="009A2C2E" w14:paraId="6C20F898" w14:textId="77777777" w:rsidTr="787E070B">
        <w:trPr>
          <w:cantSplit/>
        </w:trPr>
        <w:tc>
          <w:tcPr>
            <w:tcW w:w="0" w:type="auto"/>
            <w:vMerge/>
          </w:tcPr>
          <w:p w14:paraId="22BACA43" w14:textId="77777777" w:rsidR="009A2C2E" w:rsidRDefault="009A2C2E" w:rsidP="00E53512"/>
        </w:tc>
        <w:tc>
          <w:tcPr>
            <w:tcW w:w="0" w:type="auto"/>
          </w:tcPr>
          <w:p w14:paraId="72EE27C1" w14:textId="77777777" w:rsidR="009A2C2E" w:rsidRDefault="009A2C2E" w:rsidP="00E53512">
            <w:pPr>
              <w:keepNext/>
              <w:spacing w:before="100" w:after="0"/>
              <w:rPr>
                <w:b/>
              </w:rPr>
            </w:pPr>
            <w:r>
              <w:rPr>
                <w:b/>
              </w:rPr>
              <w:t>Goal Description</w:t>
            </w:r>
          </w:p>
        </w:tc>
        <w:tc>
          <w:tcPr>
            <w:tcW w:w="0" w:type="auto"/>
          </w:tcPr>
          <w:p w14:paraId="2F0925A3" w14:textId="77777777" w:rsidR="008972B1" w:rsidRPr="003D336B" w:rsidRDefault="008972B1" w:rsidP="008972B1">
            <w:pPr>
              <w:spacing w:before="100" w:after="0"/>
              <w:rPr>
                <w:color w:val="000000" w:themeColor="text1"/>
              </w:rPr>
            </w:pPr>
            <w:r w:rsidRPr="787E070B">
              <w:rPr>
                <w:color w:val="000000" w:themeColor="text1"/>
              </w:rPr>
              <w:t>Activities include bringing public facilities systems (infrastructure, community facilities, public utilities) into compliance with environmental laws, federal and state standards, industry standards, building codes, or best management practices. </w:t>
            </w:r>
          </w:p>
          <w:p w14:paraId="0CF5A028" w14:textId="77777777" w:rsidR="008972B1" w:rsidRPr="003D336B" w:rsidRDefault="008972B1" w:rsidP="008972B1">
            <w:pPr>
              <w:spacing w:before="100" w:after="0"/>
            </w:pPr>
            <w:r w:rsidRPr="098FA5AC">
              <w:rPr>
                <w:color w:val="000000" w:themeColor="text1"/>
              </w:rPr>
              <w:t xml:space="preserve">First, for the state </w:t>
            </w:r>
            <w:r>
              <w:rPr>
                <w:color w:val="000000" w:themeColor="text1"/>
              </w:rPr>
              <w:t>Community Development Block Grant (</w:t>
            </w:r>
            <w:r w:rsidRPr="098FA5AC">
              <w:rPr>
                <w:color w:val="000000" w:themeColor="text1"/>
              </w:rPr>
              <w:t>CDBG</w:t>
            </w:r>
            <w:r>
              <w:rPr>
                <w:color w:val="000000" w:themeColor="text1"/>
              </w:rPr>
              <w:t>)</w:t>
            </w:r>
            <w:r w:rsidRPr="098FA5AC">
              <w:rPr>
                <w:color w:val="000000" w:themeColor="text1"/>
              </w:rPr>
              <w:t xml:space="preserve"> program, the Public Facilities/ Infrastructure- Compliance goal consists of a large diverse number of activities, therefore, by going with 25% it gives local governments a fair amount of flexibility to </w:t>
            </w:r>
            <w:proofErr w:type="gramStart"/>
            <w:r w:rsidRPr="098FA5AC">
              <w:rPr>
                <w:color w:val="000000" w:themeColor="text1"/>
              </w:rPr>
              <w:t>submit an application</w:t>
            </w:r>
            <w:proofErr w:type="gramEnd"/>
            <w:r w:rsidRPr="098FA5AC">
              <w:rPr>
                <w:color w:val="000000" w:themeColor="text1"/>
              </w:rPr>
              <w:t xml:space="preserve"> based on their Public Facilities/Infrastructure-Compliance needs.  </w:t>
            </w:r>
          </w:p>
          <w:p w14:paraId="460DCC03" w14:textId="77777777" w:rsidR="008972B1" w:rsidRPr="008355B9" w:rsidRDefault="008972B1" w:rsidP="008972B1">
            <w:pPr>
              <w:spacing w:before="100" w:after="0"/>
              <w:rPr>
                <w:strike/>
              </w:rPr>
            </w:pPr>
            <w:r w:rsidRPr="098FA5AC">
              <w:rPr>
                <w:color w:val="000000" w:themeColor="text1"/>
              </w:rPr>
              <w:t>Second, further rationale for 25% is based on the results of the needs survey.  Some of the activities identified with the highest needs were parks and recreation facilities, community centers, fire/EMT stations, water and sewer system, see survey results.  These activities could fall within the compliance goal.   Although streets and sidewalk were identified as high needs it would be difficult for these activities to meet a required low-to-moderate income national objective and subsequently the compliance goal.  Supportive infrastructure activities for affordable housing could fall within this goal</w:t>
            </w:r>
            <w:r w:rsidRPr="008355B9">
              <w:rPr>
                <w:strike/>
                <w:color w:val="000000" w:themeColor="text1"/>
              </w:rPr>
              <w:t xml:space="preserve">.   Another reason for the 25% is that the Needs Survey under planning studies indicated a high need for funding for facilities plan.  Based on these results Commerce will look to create </w:t>
            </w:r>
            <w:proofErr w:type="gramStart"/>
            <w:r w:rsidRPr="008355B9">
              <w:rPr>
                <w:strike/>
                <w:color w:val="000000" w:themeColor="text1"/>
              </w:rPr>
              <w:t>a separate</w:t>
            </w:r>
            <w:proofErr w:type="gramEnd"/>
            <w:r w:rsidRPr="008355B9">
              <w:rPr>
                <w:strike/>
                <w:color w:val="000000" w:themeColor="text1"/>
              </w:rPr>
              <w:t xml:space="preserve"> facilities planning study set-aside, which could fall within the public facilities/infrastructure compliance goal. </w:t>
            </w:r>
          </w:p>
          <w:p w14:paraId="3B028E7C" w14:textId="1A5872BF" w:rsidR="009A2C2E" w:rsidRDefault="008972B1" w:rsidP="008972B1">
            <w:pPr>
              <w:spacing w:before="100" w:after="0"/>
            </w:pPr>
            <w:r w:rsidRPr="787E070B">
              <w:rPr>
                <w:color w:val="000000" w:themeColor="text1"/>
              </w:rPr>
              <w:t>Third, projects funding from this allocation priority will help to ensure Idaho Department of Commerce meets its 70% of funding to benefit low-to-moderate income requirement. </w:t>
            </w:r>
          </w:p>
        </w:tc>
      </w:tr>
      <w:tr w:rsidR="009A2C2E" w14:paraId="23A37C4A" w14:textId="77777777" w:rsidTr="787E070B">
        <w:trPr>
          <w:cantSplit/>
        </w:trPr>
        <w:tc>
          <w:tcPr>
            <w:tcW w:w="0" w:type="auto"/>
            <w:vMerge w:val="restart"/>
          </w:tcPr>
          <w:p w14:paraId="47EDDF59" w14:textId="77777777" w:rsidR="009A2C2E" w:rsidRDefault="009A2C2E" w:rsidP="00E53512">
            <w:pPr>
              <w:keepNext/>
              <w:spacing w:before="100" w:after="0"/>
            </w:pPr>
            <w:r>
              <w:rPr>
                <w:b/>
                <w:color w:val="000000"/>
              </w:rPr>
              <w:t>3</w:t>
            </w:r>
          </w:p>
        </w:tc>
        <w:tc>
          <w:tcPr>
            <w:tcW w:w="0" w:type="auto"/>
          </w:tcPr>
          <w:p w14:paraId="0B9E2430" w14:textId="77777777" w:rsidR="009A2C2E" w:rsidRDefault="009A2C2E" w:rsidP="00E53512">
            <w:pPr>
              <w:keepNext/>
              <w:spacing w:before="100" w:after="0"/>
              <w:rPr>
                <w:b/>
              </w:rPr>
            </w:pPr>
            <w:r>
              <w:rPr>
                <w:b/>
              </w:rPr>
              <w:t>Goal Name</w:t>
            </w:r>
          </w:p>
        </w:tc>
        <w:tc>
          <w:tcPr>
            <w:tcW w:w="0" w:type="auto"/>
          </w:tcPr>
          <w:p w14:paraId="4CDF0A85" w14:textId="3DE6A04C" w:rsidR="009A2C2E" w:rsidRDefault="00C84914" w:rsidP="00E53512">
            <w:pPr>
              <w:spacing w:before="100" w:after="0"/>
            </w:pPr>
            <w:r w:rsidRPr="008972B1">
              <w:rPr>
                <w:color w:val="000000"/>
              </w:rPr>
              <w:t>Public Facilities/Infrastructure/Public Service New Construction or Purchasing</w:t>
            </w:r>
          </w:p>
        </w:tc>
      </w:tr>
      <w:tr w:rsidR="009A2C2E" w14:paraId="24EBB214" w14:textId="77777777" w:rsidTr="787E070B">
        <w:trPr>
          <w:cantSplit/>
        </w:trPr>
        <w:tc>
          <w:tcPr>
            <w:tcW w:w="0" w:type="auto"/>
            <w:vMerge/>
          </w:tcPr>
          <w:p w14:paraId="51E3F2E8" w14:textId="77777777" w:rsidR="009A2C2E" w:rsidRDefault="009A2C2E" w:rsidP="00E53512"/>
        </w:tc>
        <w:tc>
          <w:tcPr>
            <w:tcW w:w="0" w:type="auto"/>
          </w:tcPr>
          <w:p w14:paraId="30EA87D2" w14:textId="77777777" w:rsidR="009A2C2E" w:rsidRDefault="009A2C2E" w:rsidP="00E53512">
            <w:pPr>
              <w:keepNext/>
              <w:spacing w:before="100" w:after="0"/>
              <w:rPr>
                <w:b/>
              </w:rPr>
            </w:pPr>
            <w:r>
              <w:rPr>
                <w:b/>
              </w:rPr>
              <w:t>Goal Description</w:t>
            </w:r>
          </w:p>
        </w:tc>
        <w:tc>
          <w:tcPr>
            <w:tcW w:w="0" w:type="auto"/>
          </w:tcPr>
          <w:p w14:paraId="1D0DD1E1" w14:textId="77777777" w:rsidR="00C84914" w:rsidRPr="003D336B" w:rsidRDefault="00C84914" w:rsidP="00C84914">
            <w:pPr>
              <w:spacing w:before="100" w:after="0"/>
            </w:pPr>
            <w:r w:rsidRPr="003D336B">
              <w:rPr>
                <w:color w:val="000000"/>
              </w:rPr>
              <w:t>Activities include installing new public facilities systems (infrastructure, community facilities, and public utilities) or extending a system to an eligible service area.  This includes new infrastructure to support housing related activities and affordable housing.</w:t>
            </w:r>
          </w:p>
          <w:p w14:paraId="36396255" w14:textId="77777777" w:rsidR="00C84914" w:rsidRDefault="00C84914" w:rsidP="00C84914">
            <w:pPr>
              <w:spacing w:before="100" w:after="0"/>
              <w:rPr>
                <w:color w:val="000000" w:themeColor="text1"/>
              </w:rPr>
            </w:pPr>
            <w:r w:rsidRPr="098FA5AC">
              <w:rPr>
                <w:color w:val="000000" w:themeColor="text1"/>
              </w:rPr>
              <w:t xml:space="preserve">For the state </w:t>
            </w:r>
            <w:r>
              <w:rPr>
                <w:color w:val="000000" w:themeColor="text1"/>
              </w:rPr>
              <w:t>Community Development Block Grant (</w:t>
            </w:r>
            <w:proofErr w:type="gramStart"/>
            <w:r w:rsidRPr="098FA5AC">
              <w:rPr>
                <w:color w:val="000000" w:themeColor="text1"/>
              </w:rPr>
              <w:t>CDBG</w:t>
            </w:r>
            <w:r>
              <w:rPr>
                <w:color w:val="000000" w:themeColor="text1"/>
              </w:rPr>
              <w:t>)</w:t>
            </w:r>
            <w:r w:rsidRPr="098FA5AC">
              <w:rPr>
                <w:color w:val="000000" w:themeColor="text1"/>
              </w:rPr>
              <w:t xml:space="preserve">  program</w:t>
            </w:r>
            <w:proofErr w:type="gramEnd"/>
            <w:r w:rsidRPr="098FA5AC">
              <w:rPr>
                <w:color w:val="000000" w:themeColor="text1"/>
              </w:rPr>
              <w:t xml:space="preserve">, the Public Facilities/Infrastructure-New Construction goal consists of a large diverse number of activities, therefore, by allocating 25% of funding to this goal it gives local governments a fair amount of flexibility to submit an application based on their Public Facility/Infrastructure-New Construction needs.  </w:t>
            </w:r>
          </w:p>
          <w:p w14:paraId="4D6E8B88" w14:textId="527E1631" w:rsidR="009A2C2E" w:rsidRDefault="00C84914" w:rsidP="00C84914">
            <w:pPr>
              <w:spacing w:before="100" w:after="0"/>
            </w:pPr>
            <w:r>
              <w:rPr>
                <w:color w:val="000000"/>
              </w:rPr>
              <w:t>P</w:t>
            </w:r>
            <w:r w:rsidRPr="003D336B">
              <w:rPr>
                <w:color w:val="000000"/>
              </w:rPr>
              <w:t>rojects funding from this allocation priority will help to ensure Idaho Department of Commerce meets its 70% of funding to benefit low-to-moderate income requirement.</w:t>
            </w:r>
          </w:p>
        </w:tc>
      </w:tr>
      <w:tr w:rsidR="009A2C2E" w14:paraId="199B0D6A" w14:textId="77777777" w:rsidTr="787E070B">
        <w:trPr>
          <w:cantSplit/>
        </w:trPr>
        <w:tc>
          <w:tcPr>
            <w:tcW w:w="0" w:type="auto"/>
            <w:vMerge w:val="restart"/>
          </w:tcPr>
          <w:p w14:paraId="011B82A9" w14:textId="77777777" w:rsidR="009A2C2E" w:rsidRDefault="009A2C2E" w:rsidP="00E53512">
            <w:pPr>
              <w:keepNext/>
              <w:spacing w:before="100" w:after="0"/>
            </w:pPr>
            <w:r>
              <w:rPr>
                <w:b/>
                <w:color w:val="000000"/>
              </w:rPr>
              <w:lastRenderedPageBreak/>
              <w:t>4</w:t>
            </w:r>
          </w:p>
        </w:tc>
        <w:tc>
          <w:tcPr>
            <w:tcW w:w="0" w:type="auto"/>
          </w:tcPr>
          <w:p w14:paraId="17703542" w14:textId="77777777" w:rsidR="009A2C2E" w:rsidRDefault="009A2C2E" w:rsidP="00E53512">
            <w:pPr>
              <w:keepNext/>
              <w:spacing w:before="100" w:after="0"/>
              <w:rPr>
                <w:b/>
              </w:rPr>
            </w:pPr>
            <w:r>
              <w:rPr>
                <w:b/>
              </w:rPr>
              <w:t>Goal Name</w:t>
            </w:r>
          </w:p>
        </w:tc>
        <w:tc>
          <w:tcPr>
            <w:tcW w:w="0" w:type="auto"/>
          </w:tcPr>
          <w:p w14:paraId="46B7F0BB" w14:textId="77777777" w:rsidR="009A2C2E" w:rsidRDefault="009A2C2E" w:rsidP="00E53512">
            <w:pPr>
              <w:spacing w:before="100" w:after="0"/>
            </w:pPr>
            <w:r>
              <w:rPr>
                <w:color w:val="000000"/>
              </w:rPr>
              <w:t>Economic Development-Job Creation</w:t>
            </w:r>
          </w:p>
        </w:tc>
      </w:tr>
      <w:tr w:rsidR="009A2C2E" w14:paraId="3DC89D00" w14:textId="77777777" w:rsidTr="787E070B">
        <w:trPr>
          <w:cantSplit/>
        </w:trPr>
        <w:tc>
          <w:tcPr>
            <w:tcW w:w="0" w:type="auto"/>
            <w:vMerge/>
          </w:tcPr>
          <w:p w14:paraId="6C5E64A3" w14:textId="77777777" w:rsidR="009A2C2E" w:rsidRDefault="009A2C2E" w:rsidP="00E53512"/>
        </w:tc>
        <w:tc>
          <w:tcPr>
            <w:tcW w:w="0" w:type="auto"/>
          </w:tcPr>
          <w:p w14:paraId="7C47A5D7" w14:textId="77777777" w:rsidR="009A2C2E" w:rsidRDefault="009A2C2E" w:rsidP="00E53512">
            <w:pPr>
              <w:keepNext/>
              <w:spacing w:before="100" w:after="0"/>
              <w:rPr>
                <w:b/>
              </w:rPr>
            </w:pPr>
            <w:r>
              <w:rPr>
                <w:b/>
              </w:rPr>
              <w:t>Goal Description</w:t>
            </w:r>
          </w:p>
        </w:tc>
        <w:tc>
          <w:tcPr>
            <w:tcW w:w="0" w:type="auto"/>
          </w:tcPr>
          <w:p w14:paraId="63B22735" w14:textId="77777777" w:rsidR="009A2C2E" w:rsidRDefault="009A2C2E" w:rsidP="00E53512">
            <w:pPr>
              <w:spacing w:before="100" w:after="0"/>
            </w:pPr>
            <w:r>
              <w:rPr>
                <w:color w:val="000000"/>
              </w:rPr>
              <w:t>Public infrastructure improvements for business expansion and subsequent job creation for low-to-moderate income persons.</w:t>
            </w:r>
          </w:p>
          <w:p w14:paraId="44971111" w14:textId="77777777" w:rsidR="009A2C2E" w:rsidRDefault="009A2C2E" w:rsidP="00E53512">
            <w:pPr>
              <w:spacing w:before="100" w:after="0"/>
            </w:pPr>
            <w:r>
              <w:rPr>
                <w:color w:val="000000"/>
              </w:rPr>
              <w:t>Job Creation</w:t>
            </w:r>
          </w:p>
          <w:p w14:paraId="727699D5" w14:textId="5E172722" w:rsidR="009A2C2E" w:rsidRDefault="009A2C2E" w:rsidP="00E53512">
            <w:pPr>
              <w:spacing w:before="100" w:after="0"/>
            </w:pPr>
            <w:r>
              <w:rPr>
                <w:color w:val="000000"/>
              </w:rPr>
              <w:t xml:space="preserve">No question job creation, especially higher paying jobs, is a need in Idaho.  However, utilizing CDBG for job creation is not always user friendly for local governments and their partnering business due to environment review timelines, property acquisition standards, and job creation/retention requirements.  Therefore, only a limited number of eligible job creation projects that are not in a </w:t>
            </w:r>
            <w:r w:rsidR="00980D53">
              <w:rPr>
                <w:color w:val="000000"/>
              </w:rPr>
              <w:t>fast-tracking</w:t>
            </w:r>
            <w:r>
              <w:rPr>
                <w:color w:val="000000"/>
              </w:rPr>
              <w:t xml:space="preserve"> mode nor obligating a large percentage of private funds to the public infrastructure expansion, are an effective and efficient use of CDBG.  </w:t>
            </w:r>
          </w:p>
          <w:p w14:paraId="4AF8665B" w14:textId="3D85B545" w:rsidR="009A2C2E" w:rsidRDefault="009A2C2E" w:rsidP="00E53512">
            <w:pPr>
              <w:spacing w:before="100" w:after="0"/>
            </w:pPr>
            <w:r>
              <w:rPr>
                <w:color w:val="000000"/>
              </w:rPr>
              <w:t xml:space="preserve">Last year the CDBG percentage expended on job creation was 0%.  </w:t>
            </w:r>
            <w:r w:rsidR="00980D53">
              <w:rPr>
                <w:color w:val="000000"/>
              </w:rPr>
              <w:t>Obviously,</w:t>
            </w:r>
            <w:r>
              <w:rPr>
                <w:color w:val="000000"/>
              </w:rPr>
              <w:t xml:space="preserve"> this percentage did not meet the 2020-2024 </w:t>
            </w:r>
            <w:proofErr w:type="gramStart"/>
            <w:r>
              <w:rPr>
                <w:color w:val="000000"/>
              </w:rPr>
              <w:t>five year</w:t>
            </w:r>
            <w:proofErr w:type="gramEnd"/>
            <w:r>
              <w:rPr>
                <w:color w:val="000000"/>
              </w:rPr>
              <w:t xml:space="preserve"> goal of expending 10% on the job creation priority.  Based on this, Commerce had considered lowering the percentage, however, one of the best tools to benefit a low-to-moderate income population is to provide job opportunities.  Even though using CDBG for job creation projects is not always user friendly, Commerce will keep the goal at 10%. </w:t>
            </w:r>
          </w:p>
          <w:p w14:paraId="367B9324" w14:textId="77777777" w:rsidR="009A2C2E" w:rsidRDefault="009A2C2E" w:rsidP="00E53512">
            <w:pPr>
              <w:spacing w:before="100" w:after="0"/>
            </w:pPr>
            <w:r>
              <w:rPr>
                <w:color w:val="000000"/>
              </w:rPr>
              <w:t>Third, projects funding from this allocation priority will help to ensure IDC meets its 70% of funding to benefit low-to-moderate income requirement. </w:t>
            </w:r>
          </w:p>
        </w:tc>
      </w:tr>
      <w:tr w:rsidR="009A2C2E" w14:paraId="720133A4" w14:textId="77777777" w:rsidTr="787E070B">
        <w:trPr>
          <w:cantSplit/>
        </w:trPr>
        <w:tc>
          <w:tcPr>
            <w:tcW w:w="0" w:type="auto"/>
            <w:vMerge w:val="restart"/>
          </w:tcPr>
          <w:p w14:paraId="543BE96F" w14:textId="77777777" w:rsidR="009A2C2E" w:rsidRDefault="009A2C2E" w:rsidP="00E53512">
            <w:pPr>
              <w:keepNext/>
              <w:spacing w:before="100" w:after="0"/>
            </w:pPr>
            <w:r>
              <w:rPr>
                <w:b/>
                <w:color w:val="000000"/>
              </w:rPr>
              <w:lastRenderedPageBreak/>
              <w:t>5</w:t>
            </w:r>
          </w:p>
        </w:tc>
        <w:tc>
          <w:tcPr>
            <w:tcW w:w="0" w:type="auto"/>
          </w:tcPr>
          <w:p w14:paraId="19771866" w14:textId="77777777" w:rsidR="009A2C2E" w:rsidRDefault="009A2C2E" w:rsidP="00E53512">
            <w:pPr>
              <w:keepNext/>
              <w:spacing w:before="100" w:after="0"/>
              <w:rPr>
                <w:b/>
              </w:rPr>
            </w:pPr>
            <w:r>
              <w:rPr>
                <w:b/>
              </w:rPr>
              <w:t>Goal Name</w:t>
            </w:r>
          </w:p>
        </w:tc>
        <w:tc>
          <w:tcPr>
            <w:tcW w:w="0" w:type="auto"/>
          </w:tcPr>
          <w:p w14:paraId="08EFC911" w14:textId="77777777" w:rsidR="009A2C2E" w:rsidRDefault="009A2C2E" w:rsidP="00E53512">
            <w:pPr>
              <w:spacing w:before="100" w:after="0"/>
            </w:pPr>
            <w:r>
              <w:rPr>
                <w:color w:val="000000"/>
              </w:rPr>
              <w:t>Economic Development-Downtown Revitalization</w:t>
            </w:r>
          </w:p>
        </w:tc>
      </w:tr>
      <w:tr w:rsidR="009A2C2E" w14:paraId="6AD2E5DF" w14:textId="77777777" w:rsidTr="787E070B">
        <w:trPr>
          <w:cantSplit/>
        </w:trPr>
        <w:tc>
          <w:tcPr>
            <w:tcW w:w="0" w:type="auto"/>
            <w:vMerge/>
          </w:tcPr>
          <w:p w14:paraId="332709B3" w14:textId="77777777" w:rsidR="009A2C2E" w:rsidRDefault="009A2C2E" w:rsidP="00E53512"/>
        </w:tc>
        <w:tc>
          <w:tcPr>
            <w:tcW w:w="0" w:type="auto"/>
          </w:tcPr>
          <w:p w14:paraId="7BABD9E3" w14:textId="77777777" w:rsidR="009A2C2E" w:rsidRDefault="009A2C2E" w:rsidP="00E53512">
            <w:pPr>
              <w:keepNext/>
              <w:spacing w:before="100" w:after="0"/>
              <w:rPr>
                <w:b/>
              </w:rPr>
            </w:pPr>
            <w:r>
              <w:rPr>
                <w:b/>
              </w:rPr>
              <w:t>Goal Description</w:t>
            </w:r>
          </w:p>
        </w:tc>
        <w:tc>
          <w:tcPr>
            <w:tcW w:w="0" w:type="auto"/>
          </w:tcPr>
          <w:p w14:paraId="0AD2CCB5" w14:textId="77777777" w:rsidR="009A2C2E" w:rsidRDefault="009A2C2E" w:rsidP="00E53512">
            <w:pPr>
              <w:spacing w:before="100" w:after="0"/>
            </w:pPr>
            <w:r>
              <w:rPr>
                <w:color w:val="000000"/>
              </w:rPr>
              <w:t>Public improvements to downtown blighted areas.</w:t>
            </w:r>
          </w:p>
          <w:p w14:paraId="5403FD51" w14:textId="4718A887" w:rsidR="009A2C2E" w:rsidRDefault="009A2C2E" w:rsidP="00E53512">
            <w:pPr>
              <w:spacing w:before="100" w:after="0"/>
            </w:pPr>
            <w:r>
              <w:rPr>
                <w:color w:val="000000"/>
              </w:rPr>
              <w:t xml:space="preserve">Many smaller cities that are served by the CDBG program have seen retail box type businesses establish outside their downtown area which have pulled business and jobs out of their downtown core or have experienced a general lack of sustainable investment in the existing private buildings.   </w:t>
            </w:r>
            <w:r w:rsidR="00980D53">
              <w:rPr>
                <w:color w:val="000000"/>
              </w:rPr>
              <w:t>To</w:t>
            </w:r>
            <w:r>
              <w:rPr>
                <w:color w:val="000000"/>
              </w:rPr>
              <w:t xml:space="preserve"> mitigate these elements and help keep small businesses downtown, some cities are looking to reinvest back into their downtowns.  In part because it’s a significant part of the community's sense of place, has existing infrastructure, and can also be a draw for tourism.  Therefore, a demand exists to improve their downtown infrastructure, which typically includes ADA improvements. </w:t>
            </w:r>
          </w:p>
          <w:p w14:paraId="3819E3CB" w14:textId="65D85C83" w:rsidR="009A2C2E" w:rsidRDefault="009A2C2E" w:rsidP="00E53512">
            <w:pPr>
              <w:spacing w:before="100" w:after="0"/>
            </w:pPr>
            <w:r>
              <w:rPr>
                <w:color w:val="000000"/>
              </w:rPr>
              <w:t>Last year the CDBG percentage expended on downtown revitalization was 7</w:t>
            </w:r>
            <w:proofErr w:type="gramStart"/>
            <w:r>
              <w:rPr>
                <w:color w:val="000000"/>
              </w:rPr>
              <w:t xml:space="preserve">%  </w:t>
            </w:r>
            <w:proofErr w:type="gramEnd"/>
            <w:r>
              <w:rPr>
                <w:color w:val="000000"/>
              </w:rPr>
              <w:t xml:space="preserve"> This did not </w:t>
            </w:r>
            <w:r w:rsidR="00980D53">
              <w:rPr>
                <w:color w:val="000000"/>
              </w:rPr>
              <w:t>meet</w:t>
            </w:r>
            <w:r>
              <w:rPr>
                <w:color w:val="000000"/>
              </w:rPr>
              <w:t xml:space="preserve"> the 2020-2024 Consolidated Plan’s </w:t>
            </w:r>
            <w:proofErr w:type="gramStart"/>
            <w:r>
              <w:rPr>
                <w:color w:val="000000"/>
              </w:rPr>
              <w:t>five year</w:t>
            </w:r>
            <w:proofErr w:type="gramEnd"/>
            <w:r>
              <w:rPr>
                <w:color w:val="000000"/>
              </w:rPr>
              <w:t xml:space="preserve"> goal of expending 10% on the downtown revitalization priority.  Whereas, the goal was almost met, and the need remains high, Commerce will keep the goal at 10%.  One of the reasons for not increasing the goal is that downtown projects do not contribute to the requirement of spending 70% of funding to benefit low-to-moderate income. </w:t>
            </w:r>
          </w:p>
          <w:p w14:paraId="5444B4A4" w14:textId="77777777" w:rsidR="009A2C2E" w:rsidRDefault="009A2C2E" w:rsidP="00E53512">
            <w:pPr>
              <w:spacing w:before="100" w:after="0"/>
            </w:pPr>
            <w:r>
              <w:rPr>
                <w:color w:val="000000"/>
              </w:rPr>
              <w:t>Third, Idaho Department of Commerce's local government needs survey indicated the existing downtown revitalization goal as the 2nd highest need priority.</w:t>
            </w:r>
          </w:p>
        </w:tc>
      </w:tr>
      <w:tr w:rsidR="009A2C2E" w14:paraId="135F69AF" w14:textId="77777777" w:rsidTr="787E070B">
        <w:trPr>
          <w:cantSplit/>
        </w:trPr>
        <w:tc>
          <w:tcPr>
            <w:tcW w:w="0" w:type="auto"/>
            <w:vMerge w:val="restart"/>
          </w:tcPr>
          <w:p w14:paraId="37C9843D" w14:textId="77777777" w:rsidR="009A2C2E" w:rsidRDefault="009A2C2E" w:rsidP="00E53512">
            <w:pPr>
              <w:keepNext/>
              <w:spacing w:before="100" w:after="0"/>
            </w:pPr>
            <w:r>
              <w:rPr>
                <w:b/>
                <w:color w:val="000000"/>
              </w:rPr>
              <w:t>6</w:t>
            </w:r>
          </w:p>
        </w:tc>
        <w:tc>
          <w:tcPr>
            <w:tcW w:w="0" w:type="auto"/>
          </w:tcPr>
          <w:p w14:paraId="48E2E51C" w14:textId="77777777" w:rsidR="009A2C2E" w:rsidRDefault="009A2C2E" w:rsidP="00E53512">
            <w:pPr>
              <w:keepNext/>
              <w:spacing w:before="100" w:after="0"/>
              <w:rPr>
                <w:b/>
              </w:rPr>
            </w:pPr>
            <w:r>
              <w:rPr>
                <w:b/>
              </w:rPr>
              <w:t>Goal Name</w:t>
            </w:r>
          </w:p>
        </w:tc>
        <w:tc>
          <w:tcPr>
            <w:tcW w:w="0" w:type="auto"/>
          </w:tcPr>
          <w:p w14:paraId="437C51EA" w14:textId="77777777" w:rsidR="009A2C2E" w:rsidRDefault="009A2C2E" w:rsidP="00E53512">
            <w:pPr>
              <w:spacing w:before="100" w:after="0"/>
            </w:pPr>
            <w:r>
              <w:rPr>
                <w:color w:val="000000"/>
              </w:rPr>
              <w:t>Provide Suitable Living Environment</w:t>
            </w:r>
          </w:p>
        </w:tc>
      </w:tr>
      <w:tr w:rsidR="009A2C2E" w14:paraId="36AB8FAE" w14:textId="77777777" w:rsidTr="787E070B">
        <w:trPr>
          <w:cantSplit/>
        </w:trPr>
        <w:tc>
          <w:tcPr>
            <w:tcW w:w="0" w:type="auto"/>
            <w:vMerge/>
          </w:tcPr>
          <w:p w14:paraId="4E6612B9" w14:textId="77777777" w:rsidR="009A2C2E" w:rsidRDefault="009A2C2E" w:rsidP="00E53512"/>
        </w:tc>
        <w:tc>
          <w:tcPr>
            <w:tcW w:w="0" w:type="auto"/>
          </w:tcPr>
          <w:p w14:paraId="3CE92D3B" w14:textId="77777777" w:rsidR="009A2C2E" w:rsidRDefault="009A2C2E" w:rsidP="787E070B">
            <w:pPr>
              <w:keepNext/>
              <w:spacing w:before="100" w:after="0"/>
              <w:rPr>
                <w:b/>
                <w:bCs/>
              </w:rPr>
            </w:pPr>
            <w:r w:rsidRPr="787E070B">
              <w:rPr>
                <w:b/>
                <w:bCs/>
              </w:rPr>
              <w:t>Goal Description</w:t>
            </w:r>
          </w:p>
        </w:tc>
        <w:tc>
          <w:tcPr>
            <w:tcW w:w="0" w:type="auto"/>
          </w:tcPr>
          <w:p w14:paraId="58790B18" w14:textId="77777777" w:rsidR="009A2C2E" w:rsidRDefault="009A2C2E" w:rsidP="00E53512">
            <w:pPr>
              <w:spacing w:before="100" w:after="0"/>
            </w:pPr>
            <w:r>
              <w:rPr>
                <w:color w:val="000000"/>
              </w:rPr>
              <w:t xml:space="preserve"> </w:t>
            </w:r>
          </w:p>
        </w:tc>
      </w:tr>
      <w:tr w:rsidR="009A2C2E" w14:paraId="06F19FA8" w14:textId="77777777" w:rsidTr="787E070B">
        <w:trPr>
          <w:cantSplit/>
        </w:trPr>
        <w:tc>
          <w:tcPr>
            <w:tcW w:w="0" w:type="auto"/>
            <w:vMerge w:val="restart"/>
          </w:tcPr>
          <w:p w14:paraId="6EB3D8A1" w14:textId="77777777" w:rsidR="009A2C2E" w:rsidRDefault="009A2C2E" w:rsidP="00E53512">
            <w:pPr>
              <w:keepNext/>
              <w:spacing w:before="100" w:after="0"/>
            </w:pPr>
            <w:r>
              <w:rPr>
                <w:b/>
                <w:color w:val="000000"/>
              </w:rPr>
              <w:t>7</w:t>
            </w:r>
          </w:p>
        </w:tc>
        <w:tc>
          <w:tcPr>
            <w:tcW w:w="0" w:type="auto"/>
          </w:tcPr>
          <w:p w14:paraId="048A9134" w14:textId="77777777" w:rsidR="009A2C2E" w:rsidRDefault="009A2C2E" w:rsidP="00E53512">
            <w:pPr>
              <w:keepNext/>
              <w:spacing w:before="100" w:after="0"/>
              <w:rPr>
                <w:b/>
              </w:rPr>
            </w:pPr>
            <w:r>
              <w:rPr>
                <w:b/>
              </w:rPr>
              <w:t>Goal Name</w:t>
            </w:r>
          </w:p>
        </w:tc>
        <w:tc>
          <w:tcPr>
            <w:tcW w:w="0" w:type="auto"/>
          </w:tcPr>
          <w:p w14:paraId="52F11CFB" w14:textId="77777777" w:rsidR="009A2C2E" w:rsidRDefault="009A2C2E" w:rsidP="00E53512">
            <w:pPr>
              <w:spacing w:before="100" w:after="0"/>
            </w:pPr>
            <w:r>
              <w:rPr>
                <w:color w:val="000000"/>
              </w:rPr>
              <w:t>Provide Decent Affordable Housing</w:t>
            </w:r>
          </w:p>
        </w:tc>
      </w:tr>
      <w:tr w:rsidR="009A2C2E" w14:paraId="4DABF4FE" w14:textId="77777777" w:rsidTr="787E070B">
        <w:trPr>
          <w:cantSplit/>
        </w:trPr>
        <w:tc>
          <w:tcPr>
            <w:tcW w:w="0" w:type="auto"/>
            <w:vMerge/>
          </w:tcPr>
          <w:p w14:paraId="7E8694AB" w14:textId="77777777" w:rsidR="009A2C2E" w:rsidRDefault="009A2C2E" w:rsidP="00E53512"/>
        </w:tc>
        <w:tc>
          <w:tcPr>
            <w:tcW w:w="0" w:type="auto"/>
          </w:tcPr>
          <w:p w14:paraId="0C025D82" w14:textId="77777777" w:rsidR="009A2C2E" w:rsidRDefault="009A2C2E" w:rsidP="00E53512">
            <w:pPr>
              <w:keepNext/>
              <w:spacing w:before="100" w:after="0"/>
              <w:rPr>
                <w:b/>
              </w:rPr>
            </w:pPr>
            <w:r>
              <w:rPr>
                <w:b/>
              </w:rPr>
              <w:t>Goal Description</w:t>
            </w:r>
          </w:p>
        </w:tc>
        <w:tc>
          <w:tcPr>
            <w:tcW w:w="0" w:type="auto"/>
          </w:tcPr>
          <w:p w14:paraId="51CA0198" w14:textId="689D999B" w:rsidR="009A2C2E" w:rsidRDefault="009A2C2E" w:rsidP="00E53512">
            <w:pPr>
              <w:spacing w:before="100" w:after="0"/>
            </w:pPr>
            <w:r>
              <w:rPr>
                <w:color w:val="000000"/>
              </w:rPr>
              <w:t xml:space="preserve">The HOME Program will award funds to approved eligible affordable rental housing and homebuyer activities during the </w:t>
            </w:r>
            <w:r w:rsidR="003409DC">
              <w:rPr>
                <w:color w:val="000000"/>
              </w:rPr>
              <w:t xml:space="preserve">2025 </w:t>
            </w:r>
            <w:r>
              <w:rPr>
                <w:color w:val="000000"/>
              </w:rPr>
              <w:t xml:space="preserve">Program Year. IHFA anticipates all activities approved in the program year </w:t>
            </w:r>
            <w:r w:rsidR="003409DC">
              <w:rPr>
                <w:color w:val="000000"/>
              </w:rPr>
              <w:t xml:space="preserve">2025 </w:t>
            </w:r>
            <w:r>
              <w:rPr>
                <w:color w:val="000000"/>
              </w:rPr>
              <w:t>should be completed by the end of Program year 2028.</w:t>
            </w:r>
          </w:p>
        </w:tc>
      </w:tr>
    </w:tbl>
    <w:p w14:paraId="58E286C5" w14:textId="77777777" w:rsidR="009A2C2E" w:rsidRDefault="009A2C2E" w:rsidP="009A2C2E">
      <w:pPr>
        <w:rPr>
          <w:b/>
          <w:sz w:val="24"/>
          <w:szCs w:val="24"/>
        </w:rPr>
      </w:pPr>
    </w:p>
    <w:p w14:paraId="05590CE3" w14:textId="77777777" w:rsidR="009A2C2E" w:rsidRDefault="009A2C2E" w:rsidP="009A2C2E">
      <w:pPr>
        <w:rPr>
          <w:b/>
          <w:sz w:val="24"/>
          <w:szCs w:val="24"/>
        </w:rPr>
      </w:pPr>
    </w:p>
    <w:p w14:paraId="4450015C" w14:textId="77777777" w:rsidR="009A2C2E" w:rsidRDefault="009A2C2E" w:rsidP="009A2C2E">
      <w:pPr>
        <w:rPr>
          <w:b/>
          <w:sz w:val="24"/>
          <w:szCs w:val="24"/>
        </w:rPr>
      </w:pPr>
    </w:p>
    <w:p w14:paraId="4C50F64C" w14:textId="77777777" w:rsidR="009A2C2E" w:rsidRDefault="009A2C2E" w:rsidP="009A2C2E">
      <w:pPr>
        <w:rPr>
          <w:b/>
          <w:sz w:val="24"/>
          <w:szCs w:val="24"/>
        </w:rPr>
      </w:pPr>
    </w:p>
    <w:p w14:paraId="59058D36" w14:textId="77777777" w:rsidR="009A2C2E" w:rsidRDefault="009A2C2E" w:rsidP="009A2C2E">
      <w:pPr>
        <w:widowControl w:val="0"/>
      </w:pPr>
    </w:p>
    <w:p w14:paraId="45073505" w14:textId="77777777" w:rsidR="009A2C2E" w:rsidRDefault="009A2C2E" w:rsidP="009A2C2E">
      <w:pPr>
        <w:sectPr w:rsidR="009A2C2E" w:rsidSect="009A2C2E">
          <w:pgSz w:w="15840" w:h="12240" w:orient="landscape" w:code="1"/>
          <w:pgMar w:top="1440" w:right="1440" w:bottom="1440" w:left="1440" w:header="720" w:footer="720" w:gutter="0"/>
          <w:cols w:space="720"/>
          <w:docGrid w:linePitch="360"/>
        </w:sectPr>
      </w:pPr>
    </w:p>
    <w:p w14:paraId="4089E9F1" w14:textId="77777777" w:rsidR="009A2C2E" w:rsidRDefault="009A2C2E" w:rsidP="009A2C2E">
      <w:pPr>
        <w:pStyle w:val="Heading2"/>
        <w:rPr>
          <w:rFonts w:ascii="Calibri" w:hAnsi="Calibri"/>
          <w:i/>
        </w:rPr>
      </w:pPr>
      <w:bookmarkStart w:id="115" w:name="_Toc191358751"/>
      <w:bookmarkStart w:id="116" w:name="_Toc194673875"/>
      <w:r>
        <w:rPr>
          <w:rFonts w:ascii="Calibri" w:hAnsi="Calibri"/>
        </w:rPr>
        <w:lastRenderedPageBreak/>
        <w:t>AP-25 Allocation Priorities – 91.320(d)</w:t>
      </w:r>
      <w:bookmarkEnd w:id="115"/>
      <w:bookmarkEnd w:id="116"/>
    </w:p>
    <w:p w14:paraId="05E09653" w14:textId="77764794" w:rsidR="009A2C2E" w:rsidRDefault="009A2C2E" w:rsidP="009A2C2E">
      <w:pPr>
        <w:keepNext/>
        <w:widowControl w:val="0"/>
        <w:spacing w:line="204" w:lineRule="auto"/>
        <w:rPr>
          <w:b/>
          <w:sz w:val="24"/>
          <w:szCs w:val="24"/>
        </w:rPr>
      </w:pPr>
      <w:r>
        <w:rPr>
          <w:b/>
          <w:sz w:val="24"/>
          <w:szCs w:val="24"/>
        </w:rPr>
        <w:t xml:space="preserve">Introduction: </w:t>
      </w:r>
    </w:p>
    <w:p w14:paraId="13F3A47A" w14:textId="019928F4" w:rsidR="009A2C2E" w:rsidRPr="00980D53" w:rsidRDefault="009A2C2E" w:rsidP="009A2C2E">
      <w:pPr>
        <w:keepNext/>
        <w:widowControl w:val="0"/>
        <w:spacing w:beforeAutospacing="1" w:afterAutospacing="1"/>
        <w:rPr>
          <w:b/>
          <w:sz w:val="24"/>
          <w:szCs w:val="24"/>
        </w:rPr>
      </w:pPr>
      <w:r w:rsidRPr="00980D53">
        <w:rPr>
          <w:rFonts w:cs="Arial"/>
          <w:sz w:val="24"/>
          <w:szCs w:val="24"/>
        </w:rPr>
        <w:t>See Unique Appendices</w:t>
      </w:r>
      <w:r w:rsidR="00980D53" w:rsidRPr="00980D53">
        <w:rPr>
          <w:rFonts w:cs="Arial"/>
          <w:sz w:val="24"/>
          <w:szCs w:val="24"/>
        </w:rPr>
        <w:t>.</w:t>
      </w:r>
    </w:p>
    <w:p w14:paraId="04F9AA40" w14:textId="77777777" w:rsidR="009A2C2E" w:rsidRDefault="009A2C2E" w:rsidP="009A2C2E">
      <w:pPr>
        <w:keepNext/>
        <w:widowControl w:val="0"/>
        <w:rPr>
          <w:rFonts w:cs="Arial"/>
          <w:b/>
          <w:sz w:val="24"/>
          <w:szCs w:val="24"/>
        </w:rPr>
      </w:pPr>
      <w:r>
        <w:rPr>
          <w:rFonts w:cs="Arial"/>
          <w:b/>
          <w:sz w:val="24"/>
          <w:szCs w:val="24"/>
        </w:rPr>
        <w:t>Funding Allocation Priorities</w:t>
      </w:r>
    </w:p>
    <w:tbl>
      <w:tblPr>
        <w:tblW w:w="531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247"/>
        <w:gridCol w:w="2248"/>
        <w:gridCol w:w="2250"/>
        <w:gridCol w:w="1415"/>
        <w:gridCol w:w="1420"/>
        <w:gridCol w:w="1302"/>
        <w:gridCol w:w="1118"/>
        <w:gridCol w:w="642"/>
      </w:tblGrid>
      <w:tr w:rsidR="009A2C2E" w14:paraId="11D16891" w14:textId="77777777" w:rsidTr="003D336B">
        <w:trPr>
          <w:cantSplit/>
        </w:trPr>
        <w:tc>
          <w:tcPr>
            <w:tcW w:w="0" w:type="auto"/>
            <w:vAlign w:val="center"/>
          </w:tcPr>
          <w:p w14:paraId="79050920" w14:textId="77777777" w:rsidR="009A2C2E" w:rsidRDefault="009A2C2E" w:rsidP="00E53512">
            <w:pPr>
              <w:spacing w:beforeAutospacing="1" w:afterAutospacing="1"/>
            </w:pPr>
            <w:r>
              <w:rPr>
                <w:b/>
                <w:color w:val="000000"/>
                <w:sz w:val="20"/>
              </w:rPr>
              <w:t xml:space="preserve"> </w:t>
            </w:r>
          </w:p>
        </w:tc>
        <w:tc>
          <w:tcPr>
            <w:tcW w:w="0" w:type="auto"/>
            <w:vAlign w:val="bottom"/>
          </w:tcPr>
          <w:p w14:paraId="513C1373" w14:textId="77777777" w:rsidR="009A2C2E" w:rsidRDefault="009A2C2E" w:rsidP="00E53512">
            <w:pPr>
              <w:spacing w:beforeAutospacing="1" w:afterAutospacing="1"/>
              <w:jc w:val="center"/>
            </w:pPr>
            <w:r>
              <w:rPr>
                <w:b/>
                <w:color w:val="000000"/>
                <w:sz w:val="20"/>
              </w:rPr>
              <w:t>Public Facilities/Infrastructure-Compliance (%)</w:t>
            </w:r>
          </w:p>
        </w:tc>
        <w:tc>
          <w:tcPr>
            <w:tcW w:w="0" w:type="auto"/>
            <w:vAlign w:val="bottom"/>
          </w:tcPr>
          <w:p w14:paraId="08C30251" w14:textId="77777777" w:rsidR="009A2C2E" w:rsidRDefault="009A2C2E" w:rsidP="00E53512">
            <w:pPr>
              <w:spacing w:beforeAutospacing="1" w:afterAutospacing="1"/>
              <w:jc w:val="center"/>
            </w:pPr>
            <w:r>
              <w:rPr>
                <w:b/>
                <w:color w:val="000000"/>
                <w:sz w:val="20"/>
              </w:rPr>
              <w:t>Public Facilities/Infrastructure-Rehabilitation (%)</w:t>
            </w:r>
          </w:p>
        </w:tc>
        <w:tc>
          <w:tcPr>
            <w:tcW w:w="0" w:type="auto"/>
            <w:vAlign w:val="bottom"/>
          </w:tcPr>
          <w:p w14:paraId="3C3C813E" w14:textId="77777777" w:rsidR="009A2C2E" w:rsidRDefault="009A2C2E" w:rsidP="00E53512">
            <w:pPr>
              <w:spacing w:beforeAutospacing="1" w:afterAutospacing="1"/>
              <w:jc w:val="center"/>
            </w:pPr>
            <w:r>
              <w:rPr>
                <w:b/>
                <w:color w:val="000000"/>
                <w:sz w:val="20"/>
              </w:rPr>
              <w:t>Public Facilities/Infrastructure-New Construction (%)</w:t>
            </w:r>
          </w:p>
        </w:tc>
        <w:tc>
          <w:tcPr>
            <w:tcW w:w="0" w:type="auto"/>
            <w:vAlign w:val="bottom"/>
          </w:tcPr>
          <w:p w14:paraId="7836FA9E" w14:textId="77777777" w:rsidR="009A2C2E" w:rsidRDefault="009A2C2E" w:rsidP="00E53512">
            <w:pPr>
              <w:spacing w:beforeAutospacing="1" w:afterAutospacing="1"/>
              <w:jc w:val="center"/>
            </w:pPr>
            <w:r>
              <w:rPr>
                <w:b/>
                <w:color w:val="000000"/>
                <w:sz w:val="20"/>
              </w:rPr>
              <w:t>Economic Development-Job Creation (%)</w:t>
            </w:r>
          </w:p>
        </w:tc>
        <w:tc>
          <w:tcPr>
            <w:tcW w:w="0" w:type="auto"/>
            <w:vAlign w:val="bottom"/>
          </w:tcPr>
          <w:p w14:paraId="70396A18" w14:textId="77777777" w:rsidR="009A2C2E" w:rsidRDefault="009A2C2E" w:rsidP="00E53512">
            <w:pPr>
              <w:spacing w:beforeAutospacing="1" w:afterAutospacing="1"/>
              <w:jc w:val="center"/>
            </w:pPr>
            <w:r>
              <w:rPr>
                <w:b/>
                <w:color w:val="000000"/>
                <w:sz w:val="20"/>
              </w:rPr>
              <w:t>Economic Development-Downtown Revitalization (%)</w:t>
            </w:r>
          </w:p>
        </w:tc>
        <w:tc>
          <w:tcPr>
            <w:tcW w:w="0" w:type="auto"/>
            <w:vAlign w:val="bottom"/>
          </w:tcPr>
          <w:p w14:paraId="65A80DBB" w14:textId="77777777" w:rsidR="009A2C2E" w:rsidRDefault="009A2C2E" w:rsidP="00E53512">
            <w:pPr>
              <w:spacing w:beforeAutospacing="1" w:afterAutospacing="1"/>
              <w:jc w:val="center"/>
            </w:pPr>
            <w:r>
              <w:rPr>
                <w:b/>
                <w:color w:val="000000"/>
                <w:sz w:val="20"/>
              </w:rPr>
              <w:t>Provide Suitable Living Environment (%)</w:t>
            </w:r>
          </w:p>
        </w:tc>
        <w:tc>
          <w:tcPr>
            <w:tcW w:w="0" w:type="auto"/>
            <w:vAlign w:val="bottom"/>
          </w:tcPr>
          <w:p w14:paraId="7B23B83D" w14:textId="77777777" w:rsidR="009A2C2E" w:rsidRDefault="009A2C2E" w:rsidP="00E53512">
            <w:pPr>
              <w:spacing w:beforeAutospacing="1" w:afterAutospacing="1"/>
              <w:jc w:val="center"/>
            </w:pPr>
            <w:r>
              <w:rPr>
                <w:b/>
                <w:color w:val="000000"/>
                <w:sz w:val="20"/>
              </w:rPr>
              <w:t>Provide Decent Affordable Housing (%)</w:t>
            </w:r>
          </w:p>
        </w:tc>
        <w:tc>
          <w:tcPr>
            <w:tcW w:w="0" w:type="auto"/>
            <w:vAlign w:val="bottom"/>
          </w:tcPr>
          <w:p w14:paraId="245FFF49" w14:textId="77777777" w:rsidR="009A2C2E" w:rsidRDefault="009A2C2E" w:rsidP="00E53512">
            <w:pPr>
              <w:spacing w:beforeAutospacing="1" w:afterAutospacing="1"/>
              <w:jc w:val="center"/>
            </w:pPr>
            <w:r>
              <w:rPr>
                <w:b/>
                <w:color w:val="000000"/>
                <w:sz w:val="20"/>
              </w:rPr>
              <w:t>Total (%)</w:t>
            </w:r>
          </w:p>
        </w:tc>
      </w:tr>
      <w:tr w:rsidR="009A2C2E" w14:paraId="12CDE5FA" w14:textId="77777777" w:rsidTr="003D336B">
        <w:trPr>
          <w:cantSplit/>
        </w:trPr>
        <w:tc>
          <w:tcPr>
            <w:tcW w:w="0" w:type="auto"/>
          </w:tcPr>
          <w:p w14:paraId="29A53C5F" w14:textId="77777777" w:rsidR="009A2C2E" w:rsidRDefault="009A2C2E" w:rsidP="00E53512">
            <w:pPr>
              <w:spacing w:beforeAutospacing="1" w:afterAutospacing="1"/>
            </w:pPr>
            <w:r>
              <w:rPr>
                <w:color w:val="000000"/>
                <w:sz w:val="20"/>
              </w:rPr>
              <w:t>CDBG</w:t>
            </w:r>
          </w:p>
        </w:tc>
        <w:tc>
          <w:tcPr>
            <w:tcW w:w="0" w:type="auto"/>
            <w:vAlign w:val="bottom"/>
          </w:tcPr>
          <w:p w14:paraId="4309DD1B" w14:textId="77777777" w:rsidR="009A2C2E" w:rsidRDefault="009A2C2E" w:rsidP="00E53512">
            <w:pPr>
              <w:spacing w:beforeAutospacing="1" w:afterAutospacing="1"/>
              <w:jc w:val="right"/>
            </w:pPr>
            <w:r>
              <w:rPr>
                <w:color w:val="000000"/>
                <w:sz w:val="20"/>
              </w:rPr>
              <w:t>25</w:t>
            </w:r>
          </w:p>
        </w:tc>
        <w:tc>
          <w:tcPr>
            <w:tcW w:w="0" w:type="auto"/>
            <w:vAlign w:val="bottom"/>
          </w:tcPr>
          <w:p w14:paraId="6C74316B" w14:textId="77777777" w:rsidR="009A2C2E" w:rsidRDefault="009A2C2E" w:rsidP="00E53512">
            <w:pPr>
              <w:spacing w:beforeAutospacing="1" w:afterAutospacing="1"/>
              <w:jc w:val="right"/>
            </w:pPr>
            <w:r>
              <w:rPr>
                <w:color w:val="000000"/>
                <w:sz w:val="20"/>
              </w:rPr>
              <w:t>30</w:t>
            </w:r>
          </w:p>
        </w:tc>
        <w:tc>
          <w:tcPr>
            <w:tcW w:w="0" w:type="auto"/>
            <w:vAlign w:val="bottom"/>
          </w:tcPr>
          <w:p w14:paraId="4098C331" w14:textId="77777777" w:rsidR="009A2C2E" w:rsidRDefault="009A2C2E" w:rsidP="00E53512">
            <w:pPr>
              <w:spacing w:beforeAutospacing="1" w:afterAutospacing="1"/>
              <w:jc w:val="right"/>
            </w:pPr>
            <w:r>
              <w:rPr>
                <w:color w:val="000000"/>
                <w:sz w:val="20"/>
              </w:rPr>
              <w:t>25</w:t>
            </w:r>
          </w:p>
        </w:tc>
        <w:tc>
          <w:tcPr>
            <w:tcW w:w="0" w:type="auto"/>
            <w:vAlign w:val="bottom"/>
          </w:tcPr>
          <w:p w14:paraId="3F85093D" w14:textId="77777777" w:rsidR="009A2C2E" w:rsidRDefault="009A2C2E" w:rsidP="00E53512">
            <w:pPr>
              <w:spacing w:beforeAutospacing="1" w:afterAutospacing="1"/>
              <w:jc w:val="right"/>
            </w:pPr>
            <w:r>
              <w:rPr>
                <w:color w:val="000000"/>
                <w:sz w:val="20"/>
              </w:rPr>
              <w:t>10</w:t>
            </w:r>
          </w:p>
        </w:tc>
        <w:tc>
          <w:tcPr>
            <w:tcW w:w="0" w:type="auto"/>
            <w:vAlign w:val="bottom"/>
          </w:tcPr>
          <w:p w14:paraId="6DC04C36" w14:textId="77777777" w:rsidR="009A2C2E" w:rsidRDefault="009A2C2E" w:rsidP="00E53512">
            <w:pPr>
              <w:spacing w:beforeAutospacing="1" w:afterAutospacing="1"/>
              <w:jc w:val="right"/>
            </w:pPr>
            <w:r>
              <w:rPr>
                <w:color w:val="000000"/>
                <w:sz w:val="20"/>
              </w:rPr>
              <w:t>10</w:t>
            </w:r>
          </w:p>
        </w:tc>
        <w:tc>
          <w:tcPr>
            <w:tcW w:w="0" w:type="auto"/>
            <w:vAlign w:val="bottom"/>
          </w:tcPr>
          <w:p w14:paraId="0538B8C5" w14:textId="77777777" w:rsidR="009A2C2E" w:rsidRDefault="009A2C2E" w:rsidP="00E53512">
            <w:pPr>
              <w:spacing w:beforeAutospacing="1" w:afterAutospacing="1"/>
              <w:jc w:val="right"/>
            </w:pPr>
            <w:r>
              <w:rPr>
                <w:color w:val="000000"/>
                <w:sz w:val="20"/>
              </w:rPr>
              <w:t>0</w:t>
            </w:r>
          </w:p>
        </w:tc>
        <w:tc>
          <w:tcPr>
            <w:tcW w:w="0" w:type="auto"/>
            <w:vAlign w:val="bottom"/>
          </w:tcPr>
          <w:p w14:paraId="6C15087F" w14:textId="77777777" w:rsidR="009A2C2E" w:rsidRDefault="009A2C2E" w:rsidP="00E53512">
            <w:pPr>
              <w:spacing w:beforeAutospacing="1" w:afterAutospacing="1"/>
              <w:jc w:val="right"/>
            </w:pPr>
            <w:r>
              <w:rPr>
                <w:color w:val="000000"/>
                <w:sz w:val="20"/>
              </w:rPr>
              <w:t>0</w:t>
            </w:r>
          </w:p>
        </w:tc>
        <w:tc>
          <w:tcPr>
            <w:tcW w:w="0" w:type="auto"/>
            <w:vAlign w:val="bottom"/>
          </w:tcPr>
          <w:p w14:paraId="7DF3F368" w14:textId="77777777" w:rsidR="009A2C2E" w:rsidRDefault="009A2C2E" w:rsidP="00E53512">
            <w:pPr>
              <w:spacing w:beforeAutospacing="1" w:afterAutospacing="1"/>
              <w:jc w:val="right"/>
            </w:pPr>
            <w:r>
              <w:rPr>
                <w:b/>
                <w:color w:val="000000"/>
                <w:sz w:val="20"/>
              </w:rPr>
              <w:t>100</w:t>
            </w:r>
          </w:p>
        </w:tc>
      </w:tr>
      <w:tr w:rsidR="009A2C2E" w14:paraId="06E8277A" w14:textId="77777777" w:rsidTr="003D336B">
        <w:trPr>
          <w:cantSplit/>
        </w:trPr>
        <w:tc>
          <w:tcPr>
            <w:tcW w:w="0" w:type="auto"/>
          </w:tcPr>
          <w:p w14:paraId="7FFC71C5" w14:textId="77777777" w:rsidR="009A2C2E" w:rsidRDefault="009A2C2E" w:rsidP="00E53512">
            <w:pPr>
              <w:spacing w:beforeAutospacing="1" w:afterAutospacing="1"/>
            </w:pPr>
            <w:r>
              <w:rPr>
                <w:color w:val="000000"/>
                <w:sz w:val="20"/>
              </w:rPr>
              <w:t>HOME</w:t>
            </w:r>
          </w:p>
        </w:tc>
        <w:tc>
          <w:tcPr>
            <w:tcW w:w="0" w:type="auto"/>
            <w:vAlign w:val="bottom"/>
          </w:tcPr>
          <w:p w14:paraId="12A59D7D" w14:textId="77777777" w:rsidR="009A2C2E" w:rsidRDefault="009A2C2E" w:rsidP="00E53512">
            <w:pPr>
              <w:spacing w:beforeAutospacing="1" w:afterAutospacing="1"/>
              <w:jc w:val="right"/>
            </w:pPr>
            <w:r>
              <w:rPr>
                <w:color w:val="000000"/>
                <w:sz w:val="20"/>
              </w:rPr>
              <w:t>0</w:t>
            </w:r>
          </w:p>
        </w:tc>
        <w:tc>
          <w:tcPr>
            <w:tcW w:w="0" w:type="auto"/>
            <w:vAlign w:val="bottom"/>
          </w:tcPr>
          <w:p w14:paraId="76976EE4" w14:textId="77777777" w:rsidR="009A2C2E" w:rsidRDefault="009A2C2E" w:rsidP="00E53512">
            <w:pPr>
              <w:spacing w:beforeAutospacing="1" w:afterAutospacing="1"/>
              <w:jc w:val="right"/>
            </w:pPr>
            <w:r>
              <w:rPr>
                <w:color w:val="000000"/>
                <w:sz w:val="20"/>
              </w:rPr>
              <w:t>0</w:t>
            </w:r>
          </w:p>
        </w:tc>
        <w:tc>
          <w:tcPr>
            <w:tcW w:w="0" w:type="auto"/>
            <w:vAlign w:val="bottom"/>
          </w:tcPr>
          <w:p w14:paraId="2A8620A8" w14:textId="77777777" w:rsidR="009A2C2E" w:rsidRDefault="009A2C2E" w:rsidP="00E53512">
            <w:pPr>
              <w:spacing w:beforeAutospacing="1" w:afterAutospacing="1"/>
              <w:jc w:val="right"/>
            </w:pPr>
            <w:r>
              <w:rPr>
                <w:color w:val="000000"/>
                <w:sz w:val="20"/>
              </w:rPr>
              <w:t>0</w:t>
            </w:r>
          </w:p>
        </w:tc>
        <w:tc>
          <w:tcPr>
            <w:tcW w:w="0" w:type="auto"/>
            <w:vAlign w:val="bottom"/>
          </w:tcPr>
          <w:p w14:paraId="769FA25F" w14:textId="77777777" w:rsidR="009A2C2E" w:rsidRDefault="009A2C2E" w:rsidP="00E53512">
            <w:pPr>
              <w:spacing w:beforeAutospacing="1" w:afterAutospacing="1"/>
              <w:jc w:val="right"/>
            </w:pPr>
            <w:r>
              <w:rPr>
                <w:color w:val="000000"/>
                <w:sz w:val="20"/>
              </w:rPr>
              <w:t>0</w:t>
            </w:r>
          </w:p>
        </w:tc>
        <w:tc>
          <w:tcPr>
            <w:tcW w:w="0" w:type="auto"/>
            <w:vAlign w:val="bottom"/>
          </w:tcPr>
          <w:p w14:paraId="65251271" w14:textId="77777777" w:rsidR="009A2C2E" w:rsidRDefault="009A2C2E" w:rsidP="00E53512">
            <w:pPr>
              <w:spacing w:beforeAutospacing="1" w:afterAutospacing="1"/>
              <w:jc w:val="right"/>
            </w:pPr>
            <w:r>
              <w:rPr>
                <w:color w:val="000000"/>
                <w:sz w:val="20"/>
              </w:rPr>
              <w:t>0</w:t>
            </w:r>
          </w:p>
        </w:tc>
        <w:tc>
          <w:tcPr>
            <w:tcW w:w="0" w:type="auto"/>
            <w:vAlign w:val="bottom"/>
          </w:tcPr>
          <w:p w14:paraId="5A4163AC" w14:textId="77777777" w:rsidR="009A2C2E" w:rsidRDefault="009A2C2E" w:rsidP="00E53512">
            <w:pPr>
              <w:spacing w:beforeAutospacing="1" w:afterAutospacing="1"/>
              <w:jc w:val="right"/>
            </w:pPr>
            <w:r>
              <w:rPr>
                <w:color w:val="000000"/>
                <w:sz w:val="20"/>
              </w:rPr>
              <w:t>0</w:t>
            </w:r>
          </w:p>
        </w:tc>
        <w:tc>
          <w:tcPr>
            <w:tcW w:w="0" w:type="auto"/>
            <w:vAlign w:val="bottom"/>
          </w:tcPr>
          <w:p w14:paraId="1999A989" w14:textId="77777777" w:rsidR="009A2C2E" w:rsidRDefault="009A2C2E" w:rsidP="00E53512">
            <w:pPr>
              <w:spacing w:beforeAutospacing="1" w:afterAutospacing="1"/>
              <w:jc w:val="right"/>
            </w:pPr>
            <w:r>
              <w:rPr>
                <w:color w:val="000000"/>
                <w:sz w:val="20"/>
              </w:rPr>
              <w:t>100</w:t>
            </w:r>
          </w:p>
        </w:tc>
        <w:tc>
          <w:tcPr>
            <w:tcW w:w="0" w:type="auto"/>
            <w:vAlign w:val="bottom"/>
          </w:tcPr>
          <w:p w14:paraId="37099D66" w14:textId="77777777" w:rsidR="009A2C2E" w:rsidRDefault="009A2C2E" w:rsidP="00E53512">
            <w:pPr>
              <w:spacing w:beforeAutospacing="1" w:afterAutospacing="1"/>
              <w:jc w:val="right"/>
            </w:pPr>
            <w:r>
              <w:rPr>
                <w:b/>
                <w:color w:val="000000"/>
                <w:sz w:val="20"/>
              </w:rPr>
              <w:t>100</w:t>
            </w:r>
          </w:p>
        </w:tc>
      </w:tr>
      <w:tr w:rsidR="009A2C2E" w14:paraId="3BA12DD6" w14:textId="77777777" w:rsidTr="003D336B">
        <w:trPr>
          <w:cantSplit/>
        </w:trPr>
        <w:tc>
          <w:tcPr>
            <w:tcW w:w="0" w:type="auto"/>
          </w:tcPr>
          <w:p w14:paraId="133F297F" w14:textId="77777777" w:rsidR="009A2C2E" w:rsidRDefault="009A2C2E" w:rsidP="00E53512">
            <w:pPr>
              <w:spacing w:beforeAutospacing="1" w:afterAutospacing="1"/>
            </w:pPr>
            <w:r>
              <w:rPr>
                <w:color w:val="000000"/>
                <w:sz w:val="20"/>
              </w:rPr>
              <w:t>ESG</w:t>
            </w:r>
          </w:p>
        </w:tc>
        <w:tc>
          <w:tcPr>
            <w:tcW w:w="0" w:type="auto"/>
            <w:vAlign w:val="bottom"/>
          </w:tcPr>
          <w:p w14:paraId="7927AD1F" w14:textId="77777777" w:rsidR="009A2C2E" w:rsidRDefault="009A2C2E" w:rsidP="00E53512">
            <w:pPr>
              <w:spacing w:beforeAutospacing="1" w:afterAutospacing="1"/>
              <w:jc w:val="right"/>
            </w:pPr>
            <w:r>
              <w:rPr>
                <w:color w:val="000000"/>
                <w:sz w:val="20"/>
              </w:rPr>
              <w:t>0</w:t>
            </w:r>
          </w:p>
        </w:tc>
        <w:tc>
          <w:tcPr>
            <w:tcW w:w="0" w:type="auto"/>
            <w:vAlign w:val="bottom"/>
          </w:tcPr>
          <w:p w14:paraId="0229831D" w14:textId="77777777" w:rsidR="009A2C2E" w:rsidRDefault="009A2C2E" w:rsidP="00E53512">
            <w:pPr>
              <w:spacing w:beforeAutospacing="1" w:afterAutospacing="1"/>
              <w:jc w:val="right"/>
            </w:pPr>
            <w:r>
              <w:rPr>
                <w:color w:val="000000"/>
                <w:sz w:val="20"/>
              </w:rPr>
              <w:t>0</w:t>
            </w:r>
          </w:p>
        </w:tc>
        <w:tc>
          <w:tcPr>
            <w:tcW w:w="0" w:type="auto"/>
            <w:vAlign w:val="bottom"/>
          </w:tcPr>
          <w:p w14:paraId="0D97A4F6" w14:textId="77777777" w:rsidR="009A2C2E" w:rsidRDefault="009A2C2E" w:rsidP="00E53512">
            <w:pPr>
              <w:spacing w:beforeAutospacing="1" w:afterAutospacing="1"/>
              <w:jc w:val="right"/>
            </w:pPr>
            <w:r>
              <w:rPr>
                <w:color w:val="000000"/>
                <w:sz w:val="20"/>
              </w:rPr>
              <w:t>0</w:t>
            </w:r>
          </w:p>
        </w:tc>
        <w:tc>
          <w:tcPr>
            <w:tcW w:w="0" w:type="auto"/>
            <w:vAlign w:val="bottom"/>
          </w:tcPr>
          <w:p w14:paraId="0DA03868" w14:textId="77777777" w:rsidR="009A2C2E" w:rsidRDefault="009A2C2E" w:rsidP="00E53512">
            <w:pPr>
              <w:spacing w:beforeAutospacing="1" w:afterAutospacing="1"/>
              <w:jc w:val="right"/>
            </w:pPr>
            <w:r>
              <w:rPr>
                <w:color w:val="000000"/>
                <w:sz w:val="20"/>
              </w:rPr>
              <w:t>0</w:t>
            </w:r>
          </w:p>
        </w:tc>
        <w:tc>
          <w:tcPr>
            <w:tcW w:w="0" w:type="auto"/>
            <w:vAlign w:val="bottom"/>
          </w:tcPr>
          <w:p w14:paraId="56A09963" w14:textId="77777777" w:rsidR="009A2C2E" w:rsidRDefault="009A2C2E" w:rsidP="00E53512">
            <w:pPr>
              <w:spacing w:beforeAutospacing="1" w:afterAutospacing="1"/>
              <w:jc w:val="right"/>
            </w:pPr>
            <w:r>
              <w:rPr>
                <w:color w:val="000000"/>
                <w:sz w:val="20"/>
              </w:rPr>
              <w:t>0</w:t>
            </w:r>
          </w:p>
        </w:tc>
        <w:tc>
          <w:tcPr>
            <w:tcW w:w="0" w:type="auto"/>
            <w:vAlign w:val="bottom"/>
          </w:tcPr>
          <w:p w14:paraId="6A29603A" w14:textId="77777777" w:rsidR="009A2C2E" w:rsidRDefault="009A2C2E" w:rsidP="00E53512">
            <w:pPr>
              <w:spacing w:beforeAutospacing="1" w:afterAutospacing="1"/>
              <w:jc w:val="right"/>
            </w:pPr>
            <w:r>
              <w:rPr>
                <w:color w:val="000000"/>
                <w:sz w:val="20"/>
              </w:rPr>
              <w:t>100</w:t>
            </w:r>
          </w:p>
        </w:tc>
        <w:tc>
          <w:tcPr>
            <w:tcW w:w="0" w:type="auto"/>
            <w:vAlign w:val="bottom"/>
          </w:tcPr>
          <w:p w14:paraId="505D752D" w14:textId="77777777" w:rsidR="009A2C2E" w:rsidRDefault="009A2C2E" w:rsidP="00E53512">
            <w:pPr>
              <w:spacing w:beforeAutospacing="1" w:afterAutospacing="1"/>
              <w:jc w:val="right"/>
            </w:pPr>
            <w:r>
              <w:rPr>
                <w:color w:val="000000"/>
                <w:sz w:val="20"/>
              </w:rPr>
              <w:t>0</w:t>
            </w:r>
          </w:p>
        </w:tc>
        <w:tc>
          <w:tcPr>
            <w:tcW w:w="0" w:type="auto"/>
            <w:vAlign w:val="bottom"/>
          </w:tcPr>
          <w:p w14:paraId="2C650C9A" w14:textId="77777777" w:rsidR="009A2C2E" w:rsidRDefault="009A2C2E" w:rsidP="00E53512">
            <w:pPr>
              <w:spacing w:beforeAutospacing="1" w:afterAutospacing="1"/>
              <w:jc w:val="right"/>
            </w:pPr>
            <w:r>
              <w:rPr>
                <w:b/>
                <w:color w:val="000000"/>
                <w:sz w:val="20"/>
              </w:rPr>
              <w:t>100</w:t>
            </w:r>
          </w:p>
        </w:tc>
      </w:tr>
      <w:tr w:rsidR="009A2C2E" w14:paraId="54C41ED3" w14:textId="77777777" w:rsidTr="003D336B">
        <w:trPr>
          <w:cantSplit/>
        </w:trPr>
        <w:tc>
          <w:tcPr>
            <w:tcW w:w="0" w:type="auto"/>
          </w:tcPr>
          <w:p w14:paraId="316845EE" w14:textId="77777777" w:rsidR="009A2C2E" w:rsidRDefault="009A2C2E" w:rsidP="00E53512">
            <w:pPr>
              <w:spacing w:beforeAutospacing="1" w:afterAutospacing="1"/>
            </w:pPr>
            <w:r>
              <w:rPr>
                <w:color w:val="000000"/>
                <w:sz w:val="20"/>
              </w:rPr>
              <w:t>HTF</w:t>
            </w:r>
          </w:p>
        </w:tc>
        <w:tc>
          <w:tcPr>
            <w:tcW w:w="0" w:type="auto"/>
            <w:vAlign w:val="bottom"/>
          </w:tcPr>
          <w:p w14:paraId="084F977A" w14:textId="77777777" w:rsidR="009A2C2E" w:rsidRDefault="009A2C2E" w:rsidP="00E53512">
            <w:pPr>
              <w:spacing w:beforeAutospacing="1" w:afterAutospacing="1"/>
              <w:jc w:val="right"/>
            </w:pPr>
            <w:r>
              <w:rPr>
                <w:color w:val="000000"/>
                <w:sz w:val="20"/>
              </w:rPr>
              <w:t>0</w:t>
            </w:r>
          </w:p>
        </w:tc>
        <w:tc>
          <w:tcPr>
            <w:tcW w:w="0" w:type="auto"/>
            <w:vAlign w:val="bottom"/>
          </w:tcPr>
          <w:p w14:paraId="7072D8E4" w14:textId="77777777" w:rsidR="009A2C2E" w:rsidRDefault="009A2C2E" w:rsidP="00E53512">
            <w:pPr>
              <w:spacing w:beforeAutospacing="1" w:afterAutospacing="1"/>
              <w:jc w:val="right"/>
            </w:pPr>
            <w:r>
              <w:rPr>
                <w:color w:val="000000"/>
                <w:sz w:val="20"/>
              </w:rPr>
              <w:t>0</w:t>
            </w:r>
          </w:p>
        </w:tc>
        <w:tc>
          <w:tcPr>
            <w:tcW w:w="0" w:type="auto"/>
            <w:vAlign w:val="bottom"/>
          </w:tcPr>
          <w:p w14:paraId="00F79E2A" w14:textId="77777777" w:rsidR="009A2C2E" w:rsidRDefault="009A2C2E" w:rsidP="00E53512">
            <w:pPr>
              <w:spacing w:beforeAutospacing="1" w:afterAutospacing="1"/>
              <w:jc w:val="right"/>
            </w:pPr>
            <w:r>
              <w:rPr>
                <w:color w:val="000000"/>
                <w:sz w:val="20"/>
              </w:rPr>
              <w:t>0</w:t>
            </w:r>
          </w:p>
        </w:tc>
        <w:tc>
          <w:tcPr>
            <w:tcW w:w="0" w:type="auto"/>
            <w:vAlign w:val="bottom"/>
          </w:tcPr>
          <w:p w14:paraId="367B6423" w14:textId="77777777" w:rsidR="009A2C2E" w:rsidRDefault="009A2C2E" w:rsidP="00E53512">
            <w:pPr>
              <w:spacing w:beforeAutospacing="1" w:afterAutospacing="1"/>
              <w:jc w:val="right"/>
            </w:pPr>
            <w:r>
              <w:rPr>
                <w:color w:val="000000"/>
                <w:sz w:val="20"/>
              </w:rPr>
              <w:t>0</w:t>
            </w:r>
          </w:p>
        </w:tc>
        <w:tc>
          <w:tcPr>
            <w:tcW w:w="0" w:type="auto"/>
            <w:vAlign w:val="bottom"/>
          </w:tcPr>
          <w:p w14:paraId="36BD5301" w14:textId="77777777" w:rsidR="009A2C2E" w:rsidRDefault="009A2C2E" w:rsidP="00E53512">
            <w:pPr>
              <w:spacing w:beforeAutospacing="1" w:afterAutospacing="1"/>
              <w:jc w:val="right"/>
            </w:pPr>
            <w:r>
              <w:rPr>
                <w:color w:val="000000"/>
                <w:sz w:val="20"/>
              </w:rPr>
              <w:t>0</w:t>
            </w:r>
          </w:p>
        </w:tc>
        <w:tc>
          <w:tcPr>
            <w:tcW w:w="0" w:type="auto"/>
            <w:vAlign w:val="bottom"/>
          </w:tcPr>
          <w:p w14:paraId="18262CD3" w14:textId="77777777" w:rsidR="009A2C2E" w:rsidRDefault="009A2C2E" w:rsidP="00E53512">
            <w:pPr>
              <w:spacing w:beforeAutospacing="1" w:afterAutospacing="1"/>
              <w:jc w:val="right"/>
            </w:pPr>
            <w:r>
              <w:rPr>
                <w:color w:val="000000"/>
                <w:sz w:val="20"/>
              </w:rPr>
              <w:t>0</w:t>
            </w:r>
          </w:p>
        </w:tc>
        <w:tc>
          <w:tcPr>
            <w:tcW w:w="0" w:type="auto"/>
            <w:vAlign w:val="bottom"/>
          </w:tcPr>
          <w:p w14:paraId="0B925DDE" w14:textId="77777777" w:rsidR="009A2C2E" w:rsidRDefault="009A2C2E" w:rsidP="00E53512">
            <w:pPr>
              <w:spacing w:beforeAutospacing="1" w:afterAutospacing="1"/>
              <w:jc w:val="right"/>
            </w:pPr>
            <w:r>
              <w:rPr>
                <w:color w:val="000000"/>
                <w:sz w:val="20"/>
              </w:rPr>
              <w:t>100</w:t>
            </w:r>
          </w:p>
        </w:tc>
        <w:tc>
          <w:tcPr>
            <w:tcW w:w="0" w:type="auto"/>
            <w:vAlign w:val="bottom"/>
          </w:tcPr>
          <w:p w14:paraId="0927BE81" w14:textId="77777777" w:rsidR="009A2C2E" w:rsidRDefault="009A2C2E" w:rsidP="00E53512">
            <w:pPr>
              <w:spacing w:beforeAutospacing="1" w:afterAutospacing="1"/>
              <w:jc w:val="right"/>
            </w:pPr>
            <w:r>
              <w:rPr>
                <w:b/>
                <w:color w:val="000000"/>
                <w:sz w:val="20"/>
              </w:rPr>
              <w:t>100</w:t>
            </w:r>
          </w:p>
        </w:tc>
      </w:tr>
      <w:tr w:rsidR="009A2C2E" w14:paraId="3954AE4A" w14:textId="77777777" w:rsidTr="003D336B">
        <w:trPr>
          <w:cantSplit/>
        </w:trPr>
        <w:tc>
          <w:tcPr>
            <w:tcW w:w="0" w:type="auto"/>
          </w:tcPr>
          <w:p w14:paraId="02DF54D4" w14:textId="77777777" w:rsidR="009A2C2E" w:rsidRDefault="009A2C2E" w:rsidP="00E53512">
            <w:pPr>
              <w:spacing w:beforeAutospacing="1" w:afterAutospacing="1"/>
            </w:pPr>
            <w:r>
              <w:rPr>
                <w:color w:val="000000"/>
                <w:sz w:val="20"/>
              </w:rPr>
              <w:t>Continuum of Care</w:t>
            </w:r>
          </w:p>
        </w:tc>
        <w:tc>
          <w:tcPr>
            <w:tcW w:w="0" w:type="auto"/>
            <w:vAlign w:val="bottom"/>
          </w:tcPr>
          <w:p w14:paraId="4CC60A21" w14:textId="77777777" w:rsidR="009A2C2E" w:rsidRDefault="009A2C2E" w:rsidP="00E53512">
            <w:pPr>
              <w:spacing w:beforeAutospacing="1" w:afterAutospacing="1"/>
              <w:jc w:val="right"/>
            </w:pPr>
            <w:r>
              <w:rPr>
                <w:color w:val="000000"/>
                <w:sz w:val="20"/>
              </w:rPr>
              <w:t>0</w:t>
            </w:r>
          </w:p>
        </w:tc>
        <w:tc>
          <w:tcPr>
            <w:tcW w:w="0" w:type="auto"/>
            <w:vAlign w:val="bottom"/>
          </w:tcPr>
          <w:p w14:paraId="647F67E9" w14:textId="77777777" w:rsidR="009A2C2E" w:rsidRDefault="009A2C2E" w:rsidP="00E53512">
            <w:pPr>
              <w:spacing w:beforeAutospacing="1" w:afterAutospacing="1"/>
              <w:jc w:val="right"/>
            </w:pPr>
            <w:r>
              <w:rPr>
                <w:color w:val="000000"/>
                <w:sz w:val="20"/>
              </w:rPr>
              <w:t>0</w:t>
            </w:r>
          </w:p>
        </w:tc>
        <w:tc>
          <w:tcPr>
            <w:tcW w:w="0" w:type="auto"/>
            <w:vAlign w:val="bottom"/>
          </w:tcPr>
          <w:p w14:paraId="06C230E9" w14:textId="77777777" w:rsidR="009A2C2E" w:rsidRDefault="009A2C2E" w:rsidP="00E53512">
            <w:pPr>
              <w:spacing w:beforeAutospacing="1" w:afterAutospacing="1"/>
              <w:jc w:val="right"/>
            </w:pPr>
            <w:r>
              <w:rPr>
                <w:color w:val="000000"/>
                <w:sz w:val="20"/>
              </w:rPr>
              <w:t>0</w:t>
            </w:r>
          </w:p>
        </w:tc>
        <w:tc>
          <w:tcPr>
            <w:tcW w:w="0" w:type="auto"/>
            <w:vAlign w:val="bottom"/>
          </w:tcPr>
          <w:p w14:paraId="62DB1742" w14:textId="77777777" w:rsidR="009A2C2E" w:rsidRDefault="009A2C2E" w:rsidP="00E53512">
            <w:pPr>
              <w:spacing w:beforeAutospacing="1" w:afterAutospacing="1"/>
              <w:jc w:val="right"/>
            </w:pPr>
            <w:r>
              <w:rPr>
                <w:color w:val="000000"/>
                <w:sz w:val="20"/>
              </w:rPr>
              <w:t>0</w:t>
            </w:r>
          </w:p>
        </w:tc>
        <w:tc>
          <w:tcPr>
            <w:tcW w:w="0" w:type="auto"/>
            <w:vAlign w:val="bottom"/>
          </w:tcPr>
          <w:p w14:paraId="0A183D29" w14:textId="77777777" w:rsidR="009A2C2E" w:rsidRDefault="009A2C2E" w:rsidP="00E53512">
            <w:pPr>
              <w:spacing w:beforeAutospacing="1" w:afterAutospacing="1"/>
              <w:jc w:val="right"/>
            </w:pPr>
            <w:r>
              <w:rPr>
                <w:color w:val="000000"/>
                <w:sz w:val="20"/>
              </w:rPr>
              <w:t>0</w:t>
            </w:r>
          </w:p>
        </w:tc>
        <w:tc>
          <w:tcPr>
            <w:tcW w:w="0" w:type="auto"/>
            <w:vAlign w:val="bottom"/>
          </w:tcPr>
          <w:p w14:paraId="5EEEFCDF" w14:textId="77777777" w:rsidR="009A2C2E" w:rsidRDefault="009A2C2E" w:rsidP="00E53512">
            <w:pPr>
              <w:spacing w:beforeAutospacing="1" w:afterAutospacing="1"/>
              <w:jc w:val="right"/>
            </w:pPr>
            <w:r>
              <w:rPr>
                <w:color w:val="000000"/>
                <w:sz w:val="20"/>
              </w:rPr>
              <w:t>100</w:t>
            </w:r>
          </w:p>
        </w:tc>
        <w:tc>
          <w:tcPr>
            <w:tcW w:w="0" w:type="auto"/>
            <w:vAlign w:val="bottom"/>
          </w:tcPr>
          <w:p w14:paraId="1167F2F2" w14:textId="77777777" w:rsidR="009A2C2E" w:rsidRDefault="009A2C2E" w:rsidP="00E53512">
            <w:pPr>
              <w:spacing w:beforeAutospacing="1" w:afterAutospacing="1"/>
              <w:jc w:val="right"/>
            </w:pPr>
            <w:r>
              <w:rPr>
                <w:color w:val="000000"/>
                <w:sz w:val="20"/>
              </w:rPr>
              <w:t>0</w:t>
            </w:r>
          </w:p>
        </w:tc>
        <w:tc>
          <w:tcPr>
            <w:tcW w:w="0" w:type="auto"/>
            <w:vAlign w:val="bottom"/>
          </w:tcPr>
          <w:p w14:paraId="5BDFF206" w14:textId="77777777" w:rsidR="009A2C2E" w:rsidRDefault="009A2C2E" w:rsidP="00E53512">
            <w:pPr>
              <w:spacing w:beforeAutospacing="1" w:afterAutospacing="1"/>
              <w:jc w:val="right"/>
            </w:pPr>
            <w:r>
              <w:rPr>
                <w:b/>
                <w:color w:val="000000"/>
                <w:sz w:val="20"/>
              </w:rPr>
              <w:t>100</w:t>
            </w:r>
          </w:p>
        </w:tc>
      </w:tr>
    </w:tbl>
    <w:p w14:paraId="46E65F21" w14:textId="77777777" w:rsidR="009A2C2E" w:rsidRDefault="009A2C2E" w:rsidP="009A2C2E">
      <w:pPr>
        <w:spacing w:after="0" w:line="240" w:lineRule="auto"/>
        <w:rPr>
          <w:b/>
          <w:sz w:val="24"/>
          <w:szCs w:val="24"/>
        </w:rPr>
      </w:pPr>
    </w:p>
    <w:p w14:paraId="0EDC3E0C" w14:textId="77777777" w:rsidR="009A2C2E" w:rsidRDefault="009A2C2E" w:rsidP="009A2C2E">
      <w:pPr>
        <w:widowControl w:val="0"/>
        <w:rPr>
          <w:b/>
          <w:sz w:val="24"/>
          <w:szCs w:val="24"/>
        </w:rPr>
      </w:pPr>
      <w:r>
        <w:rPr>
          <w:b/>
          <w:sz w:val="24"/>
          <w:szCs w:val="24"/>
        </w:rPr>
        <w:t>Reason for Allocation Priorities</w:t>
      </w:r>
    </w:p>
    <w:p w14:paraId="324509A8" w14:textId="3BE14035" w:rsidR="009A2C2E" w:rsidRPr="00980D53" w:rsidRDefault="00980D53" w:rsidP="00980D53">
      <w:pPr>
        <w:widowControl w:val="0"/>
        <w:spacing w:beforeAutospacing="1" w:afterAutospacing="1"/>
        <w:jc w:val="both"/>
        <w:rPr>
          <w:rFonts w:cs="Arial"/>
          <w:sz w:val="24"/>
          <w:szCs w:val="24"/>
        </w:rPr>
      </w:pPr>
      <w:r>
        <w:rPr>
          <w:rFonts w:cs="Arial"/>
          <w:b/>
          <w:sz w:val="24"/>
          <w:szCs w:val="24"/>
        </w:rPr>
        <w:t>Community Development Block Grant (</w:t>
      </w:r>
      <w:r w:rsidR="009A2C2E" w:rsidRPr="00980D53">
        <w:rPr>
          <w:rFonts w:cs="Arial"/>
          <w:b/>
          <w:sz w:val="24"/>
          <w:szCs w:val="24"/>
        </w:rPr>
        <w:t>CDBG</w:t>
      </w:r>
      <w:r>
        <w:rPr>
          <w:rFonts w:cs="Arial"/>
          <w:b/>
          <w:sz w:val="24"/>
          <w:szCs w:val="24"/>
        </w:rPr>
        <w:t>)</w:t>
      </w:r>
      <w:r w:rsidR="009A2C2E" w:rsidRPr="00980D53">
        <w:rPr>
          <w:rFonts w:cs="Arial"/>
          <w:sz w:val="24"/>
          <w:szCs w:val="24"/>
        </w:rPr>
        <w:t>- See AP 20 Goals 1,2,3,4 and 5 descriptions</w:t>
      </w:r>
    </w:p>
    <w:p w14:paraId="1D904DD2" w14:textId="0F99E51D" w:rsidR="009A2C2E" w:rsidRPr="00980D53" w:rsidRDefault="009A2C2E" w:rsidP="00980D53">
      <w:pPr>
        <w:widowControl w:val="0"/>
        <w:spacing w:beforeAutospacing="1" w:afterAutospacing="1"/>
        <w:jc w:val="both"/>
        <w:rPr>
          <w:rFonts w:cs="Arial"/>
          <w:sz w:val="24"/>
          <w:szCs w:val="24"/>
        </w:rPr>
      </w:pPr>
      <w:r w:rsidRPr="00980D53">
        <w:rPr>
          <w:rFonts w:cs="Arial"/>
          <w:b/>
          <w:sz w:val="24"/>
          <w:szCs w:val="24"/>
        </w:rPr>
        <w:t xml:space="preserve">HOME &amp; </w:t>
      </w:r>
      <w:r w:rsidR="007769CA">
        <w:rPr>
          <w:rFonts w:cs="Arial"/>
          <w:b/>
          <w:sz w:val="24"/>
          <w:szCs w:val="24"/>
        </w:rPr>
        <w:t>Housing Trust Fund (</w:t>
      </w:r>
      <w:r w:rsidRPr="00980D53">
        <w:rPr>
          <w:rFonts w:cs="Arial"/>
          <w:b/>
          <w:sz w:val="24"/>
          <w:szCs w:val="24"/>
        </w:rPr>
        <w:t>HTF</w:t>
      </w:r>
      <w:r w:rsidR="007769CA">
        <w:rPr>
          <w:rFonts w:cs="Arial"/>
          <w:b/>
          <w:sz w:val="24"/>
          <w:szCs w:val="24"/>
        </w:rPr>
        <w:t>)</w:t>
      </w:r>
      <w:r w:rsidRPr="00980D53">
        <w:rPr>
          <w:rFonts w:cs="Arial"/>
          <w:sz w:val="24"/>
          <w:szCs w:val="24"/>
        </w:rPr>
        <w:t>- The 20</w:t>
      </w:r>
      <w:r w:rsidR="003D336B" w:rsidRPr="00980D53">
        <w:rPr>
          <w:rFonts w:cs="Arial"/>
          <w:sz w:val="24"/>
          <w:szCs w:val="24"/>
        </w:rPr>
        <w:t xml:space="preserve">24 </w:t>
      </w:r>
      <w:r w:rsidRPr="00980D53">
        <w:rPr>
          <w:rFonts w:cs="Arial"/>
          <w:sz w:val="24"/>
          <w:szCs w:val="24"/>
        </w:rPr>
        <w:t>Idaho Housing Needs Survey</w:t>
      </w:r>
      <w:r w:rsidR="003409DC" w:rsidRPr="00980D53">
        <w:rPr>
          <w:rFonts w:cs="Arial"/>
          <w:sz w:val="24"/>
          <w:szCs w:val="24"/>
        </w:rPr>
        <w:t>,</w:t>
      </w:r>
      <w:r w:rsidRPr="00980D53">
        <w:rPr>
          <w:rFonts w:cs="Arial"/>
          <w:sz w:val="24"/>
          <w:szCs w:val="24"/>
        </w:rPr>
        <w:t xml:space="preserve"> 20</w:t>
      </w:r>
      <w:r w:rsidR="003D336B" w:rsidRPr="00980D53">
        <w:rPr>
          <w:rFonts w:cs="Arial"/>
          <w:sz w:val="24"/>
          <w:szCs w:val="24"/>
        </w:rPr>
        <w:t>24</w:t>
      </w:r>
      <w:r w:rsidRPr="00980D53">
        <w:rPr>
          <w:rFonts w:cs="Arial"/>
          <w:sz w:val="24"/>
          <w:szCs w:val="24"/>
        </w:rPr>
        <w:t xml:space="preserve"> Idaho County-level Housing and Demographic Data, as well as input from the public indicate the creation and preservation of affordable permanent rental housing for extremely low-income, elderly, and disabled persons and families is Idaho's highest priority housing needs. This is followed closely by affordable homebuyer housing.</w:t>
      </w:r>
    </w:p>
    <w:p w14:paraId="44063852" w14:textId="0DC00B9D" w:rsidR="009A2C2E" w:rsidRPr="00980D53" w:rsidRDefault="007769CA" w:rsidP="00980D53">
      <w:pPr>
        <w:widowControl w:val="0"/>
        <w:spacing w:beforeAutospacing="1" w:afterAutospacing="1"/>
        <w:jc w:val="both"/>
        <w:rPr>
          <w:rFonts w:cs="Arial"/>
          <w:sz w:val="24"/>
          <w:szCs w:val="24"/>
        </w:rPr>
      </w:pPr>
      <w:r>
        <w:rPr>
          <w:rFonts w:cs="Arial"/>
          <w:b/>
          <w:sz w:val="24"/>
          <w:szCs w:val="24"/>
        </w:rPr>
        <w:t>Emergency Solutions Grant (</w:t>
      </w:r>
      <w:r w:rsidR="009A2C2E" w:rsidRPr="00980D53">
        <w:rPr>
          <w:rFonts w:cs="Arial"/>
          <w:b/>
          <w:sz w:val="24"/>
          <w:szCs w:val="24"/>
        </w:rPr>
        <w:t>ESG</w:t>
      </w:r>
      <w:r>
        <w:rPr>
          <w:rFonts w:cs="Arial"/>
          <w:b/>
          <w:sz w:val="24"/>
          <w:szCs w:val="24"/>
        </w:rPr>
        <w:t>)</w:t>
      </w:r>
      <w:r w:rsidR="009A2C2E" w:rsidRPr="00980D53">
        <w:rPr>
          <w:rFonts w:cs="Arial"/>
          <w:b/>
          <w:sz w:val="24"/>
          <w:szCs w:val="24"/>
        </w:rPr>
        <w:t xml:space="preserve"> -</w:t>
      </w:r>
      <w:r w:rsidR="009A2C2E" w:rsidRPr="00980D53">
        <w:rPr>
          <w:rFonts w:cs="Arial"/>
          <w:sz w:val="24"/>
          <w:szCs w:val="24"/>
        </w:rPr>
        <w:t xml:space="preserve"> Other than funding from faith-based organizations and Federal programs, Idaho’s homeless housing and service programs receive little financial support.  In the absence of essential emergency shelter funding, many individuals </w:t>
      </w:r>
      <w:r w:rsidR="009A2C2E" w:rsidRPr="00980D53">
        <w:rPr>
          <w:rFonts w:cs="Arial"/>
          <w:sz w:val="24"/>
          <w:szCs w:val="24"/>
        </w:rPr>
        <w:lastRenderedPageBreak/>
        <w:t>and families are unable to receive reprieve from homelessness through temporary assistance or access to rapid re-housing.  For this reason, Idaho has directed a substantial portion of ESG funds (45%) towards emergency shelter activities.  The remaining 55% is used for homelessness prevention and rapid re-housing activities, generally with an emphasis placed on rapid re-housing.  The additional emphasis is imposed due to IHFA’s alignment with HUD objectives, and HUD precedence within the Homelessness Prevention and Rapid Re-Housing Program, which was born out of the American Recovery and Reinvestment Act of 2009, to divert individuals out of homelessness and shorten shelter stays.  Further descriptions are included in section AP-20.  IHFA coordinates with the Boise CoC and incorporate their priorities and recommendations into allocation decisions for ESG funding.  </w:t>
      </w:r>
    </w:p>
    <w:p w14:paraId="3DAB831F" w14:textId="2E7FCFC9" w:rsidR="009A2C2E" w:rsidRPr="00980D53" w:rsidRDefault="009A2C2E" w:rsidP="00980D53">
      <w:pPr>
        <w:keepNext/>
        <w:widowControl w:val="0"/>
        <w:jc w:val="both"/>
        <w:rPr>
          <w:b/>
          <w:sz w:val="24"/>
          <w:szCs w:val="24"/>
        </w:rPr>
      </w:pPr>
      <w:r w:rsidRPr="00980D53">
        <w:rPr>
          <w:b/>
          <w:sz w:val="24"/>
          <w:szCs w:val="24"/>
        </w:rPr>
        <w:t>How will the proposed distribution of funds will address the priority needs and specific objectives described in the Consolidated Plan?</w:t>
      </w:r>
    </w:p>
    <w:p w14:paraId="77D21439" w14:textId="2CA2DC29" w:rsidR="009A2C2E" w:rsidRPr="00980D53" w:rsidRDefault="009A2C2E" w:rsidP="00980D53">
      <w:pPr>
        <w:keepNext/>
        <w:widowControl w:val="0"/>
        <w:spacing w:beforeAutospacing="1" w:afterAutospacing="1"/>
        <w:jc w:val="both"/>
        <w:rPr>
          <w:rFonts w:cs="Arial"/>
          <w:sz w:val="24"/>
          <w:szCs w:val="24"/>
        </w:rPr>
      </w:pPr>
      <w:r w:rsidRPr="00980D53">
        <w:rPr>
          <w:rFonts w:cs="Arial"/>
          <w:b/>
          <w:sz w:val="24"/>
          <w:szCs w:val="24"/>
        </w:rPr>
        <w:t>ESG -</w:t>
      </w:r>
      <w:r w:rsidRPr="00980D53">
        <w:rPr>
          <w:rFonts w:cs="Arial"/>
          <w:sz w:val="24"/>
          <w:szCs w:val="24"/>
        </w:rPr>
        <w:t xml:space="preserve"> While IHFA still places </w:t>
      </w:r>
      <w:r w:rsidR="3AE6345D" w:rsidRPr="00980D53">
        <w:rPr>
          <w:rFonts w:cs="Arial"/>
          <w:sz w:val="24"/>
          <w:szCs w:val="24"/>
        </w:rPr>
        <w:t>a</w:t>
      </w:r>
      <w:r w:rsidR="7B270814" w:rsidRPr="00980D53">
        <w:rPr>
          <w:rFonts w:cs="Arial"/>
          <w:sz w:val="24"/>
          <w:szCs w:val="24"/>
        </w:rPr>
        <w:t>n</w:t>
      </w:r>
      <w:r w:rsidRPr="00980D53">
        <w:rPr>
          <w:rFonts w:cs="Arial"/>
          <w:sz w:val="24"/>
          <w:szCs w:val="24"/>
        </w:rPr>
        <w:t xml:space="preserve"> emphasis on the importance of supporting shelter activities</w:t>
      </w:r>
      <w:r w:rsidR="09C8B616" w:rsidRPr="00980D53">
        <w:rPr>
          <w:rFonts w:cs="Arial"/>
          <w:sz w:val="24"/>
          <w:szCs w:val="24"/>
        </w:rPr>
        <w:t>, a</w:t>
      </w:r>
      <w:r w:rsidR="7B270814" w:rsidRPr="00980D53">
        <w:rPr>
          <w:rFonts w:cs="Arial"/>
          <w:sz w:val="24"/>
          <w:szCs w:val="24"/>
        </w:rPr>
        <w:t>ll</w:t>
      </w:r>
      <w:r w:rsidRPr="00980D53">
        <w:rPr>
          <w:rFonts w:cs="Arial"/>
          <w:sz w:val="24"/>
          <w:szCs w:val="24"/>
        </w:rPr>
        <w:t xml:space="preserve"> remaining funds have been reserved for homelessness prevention and rapid re-housing activities (IHFA also prioritizes rapid rehousing </w:t>
      </w:r>
      <w:proofErr w:type="gramStart"/>
      <w:r w:rsidRPr="00980D53">
        <w:rPr>
          <w:rFonts w:cs="Arial"/>
          <w:sz w:val="24"/>
          <w:szCs w:val="24"/>
        </w:rPr>
        <w:t>projects</w:t>
      </w:r>
      <w:r w:rsidR="63CC81B9" w:rsidRPr="00980D53">
        <w:rPr>
          <w:rFonts w:cs="Arial"/>
          <w:sz w:val="24"/>
          <w:szCs w:val="24"/>
        </w:rPr>
        <w:t>,</w:t>
      </w:r>
      <w:r w:rsidRPr="00980D53">
        <w:rPr>
          <w:rFonts w:cs="Arial"/>
          <w:sz w:val="24"/>
          <w:szCs w:val="24"/>
        </w:rPr>
        <w:t xml:space="preserve"> but</w:t>
      </w:r>
      <w:proofErr w:type="gramEnd"/>
      <w:r w:rsidRPr="00980D53">
        <w:rPr>
          <w:rFonts w:cs="Arial"/>
          <w:sz w:val="24"/>
          <w:szCs w:val="24"/>
        </w:rPr>
        <w:t xml:space="preserve"> is only able to do so due to funding limitations imposed by HUD). Due to the changes in program regulations and</w:t>
      </w:r>
      <w:r w:rsidR="7B270814" w:rsidRPr="00980D53">
        <w:rPr>
          <w:rFonts w:cs="Arial"/>
          <w:sz w:val="24"/>
          <w:szCs w:val="24"/>
        </w:rPr>
        <w:t xml:space="preserve"> </w:t>
      </w:r>
      <w:r w:rsidR="3A848CE0" w:rsidRPr="00980D53">
        <w:rPr>
          <w:rFonts w:cs="Arial"/>
          <w:sz w:val="24"/>
          <w:szCs w:val="24"/>
        </w:rPr>
        <w:t>the</w:t>
      </w:r>
      <w:r w:rsidRPr="00980D53">
        <w:rPr>
          <w:rFonts w:cs="Arial"/>
          <w:sz w:val="24"/>
          <w:szCs w:val="24"/>
        </w:rPr>
        <w:t xml:space="preserve"> need to prioritize resources yearly based upon the ever</w:t>
      </w:r>
      <w:r w:rsidR="003D336B" w:rsidRPr="00980D53">
        <w:rPr>
          <w:rFonts w:cs="Arial"/>
          <w:sz w:val="24"/>
          <w:szCs w:val="24"/>
        </w:rPr>
        <w:t>-</w:t>
      </w:r>
      <w:r w:rsidRPr="00980D53">
        <w:rPr>
          <w:rFonts w:cs="Arial"/>
          <w:sz w:val="24"/>
          <w:szCs w:val="24"/>
        </w:rPr>
        <w:t>changing population needs, IHFA felt it appropriate to impose a goal of ensuring that the changes in policy and regulations does not decrease the number of homeless households served.  In such scenarios, if a decrease in households served occurs while no waiting lists exist in emergency shelters, this would indicate a decreased need for emergency shelter beds which could allow for funds to be redirected towards homelessness prevention and rapid re-housing.  This could be an appropriate and positive scenario of not meeting the goal set.</w:t>
      </w:r>
    </w:p>
    <w:p w14:paraId="515ED859" w14:textId="77777777" w:rsidR="009A2C2E" w:rsidRPr="00980D53" w:rsidRDefault="009A2C2E" w:rsidP="00980D53">
      <w:pPr>
        <w:keepNext/>
        <w:widowControl w:val="0"/>
        <w:spacing w:beforeAutospacing="1" w:afterAutospacing="1"/>
        <w:jc w:val="both"/>
        <w:rPr>
          <w:rFonts w:cs="Arial"/>
          <w:sz w:val="24"/>
          <w:szCs w:val="24"/>
        </w:rPr>
      </w:pPr>
      <w:r w:rsidRPr="00980D53">
        <w:rPr>
          <w:rFonts w:cs="Arial"/>
          <w:b/>
          <w:sz w:val="24"/>
          <w:szCs w:val="24"/>
        </w:rPr>
        <w:t>HOME</w:t>
      </w:r>
      <w:r w:rsidRPr="00980D53">
        <w:rPr>
          <w:rFonts w:cs="Arial"/>
          <w:sz w:val="24"/>
          <w:szCs w:val="24"/>
        </w:rPr>
        <w:t xml:space="preserve"> - See AP 20 Goal 7 descriptions</w:t>
      </w:r>
    </w:p>
    <w:p w14:paraId="3E9EC219" w14:textId="77777777" w:rsidR="009A2C2E" w:rsidRDefault="009A2C2E" w:rsidP="009A2C2E">
      <w:pPr>
        <w:pStyle w:val="Heading2"/>
        <w:pageBreakBefore/>
        <w:rPr>
          <w:rFonts w:ascii="Calibri" w:hAnsi="Calibri"/>
          <w:i/>
        </w:rPr>
      </w:pPr>
      <w:bookmarkStart w:id="117" w:name="_Toc191358752"/>
      <w:bookmarkStart w:id="118" w:name="_Toc194673876"/>
      <w:r>
        <w:rPr>
          <w:rFonts w:ascii="Calibri" w:hAnsi="Calibri"/>
        </w:rPr>
        <w:lastRenderedPageBreak/>
        <w:t>AP-30 Methods of Distribution – 91.320(d)&amp;(k)</w:t>
      </w:r>
      <w:bookmarkEnd w:id="117"/>
      <w:bookmarkEnd w:id="118"/>
    </w:p>
    <w:p w14:paraId="6B8904E8" w14:textId="14644CF3" w:rsidR="009A2C2E" w:rsidRDefault="009A2C2E" w:rsidP="009A2C2E">
      <w:pPr>
        <w:keepNext/>
        <w:widowControl w:val="0"/>
        <w:spacing w:line="204" w:lineRule="auto"/>
        <w:rPr>
          <w:b/>
          <w:sz w:val="24"/>
          <w:szCs w:val="24"/>
        </w:rPr>
      </w:pPr>
      <w:r>
        <w:rPr>
          <w:b/>
          <w:sz w:val="24"/>
          <w:szCs w:val="24"/>
        </w:rPr>
        <w:t xml:space="preserve">Introduction: </w:t>
      </w:r>
    </w:p>
    <w:p w14:paraId="24114AB2" w14:textId="583437E2" w:rsidR="009A2C2E" w:rsidRPr="006A2F63" w:rsidRDefault="009A2C2E" w:rsidP="006A2F63">
      <w:pPr>
        <w:keepNext/>
        <w:widowControl w:val="0"/>
        <w:spacing w:beforeAutospacing="1" w:afterAutospacing="1"/>
        <w:jc w:val="both"/>
        <w:rPr>
          <w:b/>
          <w:sz w:val="24"/>
          <w:szCs w:val="24"/>
        </w:rPr>
      </w:pPr>
      <w:r w:rsidRPr="006A2F63">
        <w:rPr>
          <w:rFonts w:cs="Arial"/>
          <w:sz w:val="24"/>
          <w:szCs w:val="24"/>
        </w:rPr>
        <w:t xml:space="preserve">The </w:t>
      </w:r>
      <w:r w:rsidR="3DF852DC" w:rsidRPr="006A2F63">
        <w:rPr>
          <w:rFonts w:cs="Arial"/>
          <w:sz w:val="24"/>
          <w:szCs w:val="24"/>
        </w:rPr>
        <w:t>Housing Trust Fund (</w:t>
      </w:r>
      <w:r w:rsidRPr="006A2F63">
        <w:rPr>
          <w:rFonts w:cs="Arial"/>
          <w:sz w:val="24"/>
          <w:szCs w:val="24"/>
        </w:rPr>
        <w:t>HTF</w:t>
      </w:r>
      <w:r w:rsidR="12560B91" w:rsidRPr="006A2F63">
        <w:rPr>
          <w:rFonts w:cs="Arial"/>
          <w:sz w:val="24"/>
          <w:szCs w:val="24"/>
        </w:rPr>
        <w:t>)</w:t>
      </w:r>
      <w:r w:rsidRPr="006A2F63">
        <w:rPr>
          <w:rFonts w:cs="Arial"/>
          <w:sz w:val="24"/>
          <w:szCs w:val="24"/>
        </w:rPr>
        <w:t xml:space="preserve"> regulations require </w:t>
      </w:r>
      <w:r w:rsidR="7B270814" w:rsidRPr="006A2F63">
        <w:rPr>
          <w:rFonts w:cs="Arial"/>
          <w:sz w:val="24"/>
          <w:szCs w:val="24"/>
        </w:rPr>
        <w:t>I</w:t>
      </w:r>
      <w:r w:rsidR="758B0054" w:rsidRPr="006A2F63">
        <w:rPr>
          <w:rFonts w:cs="Arial"/>
          <w:sz w:val="24"/>
          <w:szCs w:val="24"/>
        </w:rPr>
        <w:t xml:space="preserve">daho </w:t>
      </w:r>
      <w:r w:rsidR="7B270814" w:rsidRPr="006A2F63">
        <w:rPr>
          <w:rFonts w:cs="Arial"/>
          <w:sz w:val="24"/>
          <w:szCs w:val="24"/>
        </w:rPr>
        <w:t>H</w:t>
      </w:r>
      <w:r w:rsidR="4BEBD841" w:rsidRPr="006A2F63">
        <w:rPr>
          <w:rFonts w:cs="Arial"/>
          <w:sz w:val="24"/>
          <w:szCs w:val="24"/>
        </w:rPr>
        <w:t xml:space="preserve">ousing and Finance </w:t>
      </w:r>
      <w:r w:rsidR="7B270814" w:rsidRPr="006A2F63">
        <w:rPr>
          <w:rFonts w:cs="Arial"/>
          <w:sz w:val="24"/>
          <w:szCs w:val="24"/>
        </w:rPr>
        <w:t>A</w:t>
      </w:r>
      <w:r w:rsidR="4290B457" w:rsidRPr="006A2F63">
        <w:rPr>
          <w:rFonts w:cs="Arial"/>
          <w:sz w:val="24"/>
          <w:szCs w:val="24"/>
        </w:rPr>
        <w:t>ssociation (</w:t>
      </w:r>
      <w:r w:rsidRPr="006A2F63">
        <w:rPr>
          <w:rFonts w:cs="Arial"/>
          <w:sz w:val="24"/>
          <w:szCs w:val="24"/>
        </w:rPr>
        <w:t>IHFA</w:t>
      </w:r>
      <w:r w:rsidR="4290B457" w:rsidRPr="006A2F63">
        <w:rPr>
          <w:rFonts w:cs="Arial"/>
          <w:sz w:val="24"/>
          <w:szCs w:val="24"/>
        </w:rPr>
        <w:t>)</w:t>
      </w:r>
      <w:r w:rsidRPr="006A2F63">
        <w:rPr>
          <w:rFonts w:cs="Arial"/>
          <w:sz w:val="24"/>
          <w:szCs w:val="24"/>
        </w:rPr>
        <w:t xml:space="preserve"> to describe how the HTF per unit subsidy limits were determined. IHFA chose to use the HOME Maximum Per-Unit Subsidy Limits as the appropriate limits for the HTF Program- Idaho's HOME Maximum Per-unit Subsidy Limits are established by Region X HUD-CPD Office, are currently 240% of the base limit for the Section 234 Program (Condominium housing basic housing limits for elevator-type projects). Prior to receiving the first HTF allocation, IHFA reviewed the amount of HOME funds invested on a per-unit basis throughout Idaho. HOME funds were invested in affordable housing throughout Idaho, including high cost and resort areas. In most cases, the HOME per-unit maximum subsidy limits were more than sufficient to meet the gap financing needs of the project. Accordingly, IHFA has determined the HOME Per-Unit Maximum Subsidy limits are the appropriate per-unit subsidy limit for the Housing Trust Fund Program.</w:t>
      </w:r>
    </w:p>
    <w:p w14:paraId="466B442A" w14:textId="4AA3465C" w:rsidR="009A2C2E" w:rsidRPr="006A2F63" w:rsidRDefault="009A2C2E" w:rsidP="006A2F63">
      <w:pPr>
        <w:keepNext/>
        <w:widowControl w:val="0"/>
        <w:spacing w:beforeAutospacing="1" w:afterAutospacing="1"/>
        <w:jc w:val="both"/>
        <w:rPr>
          <w:b/>
          <w:sz w:val="24"/>
          <w:szCs w:val="24"/>
        </w:rPr>
      </w:pPr>
      <w:r w:rsidRPr="006A2F63">
        <w:rPr>
          <w:rFonts w:cs="Arial"/>
          <w:sz w:val="24"/>
          <w:szCs w:val="24"/>
        </w:rPr>
        <w:t xml:space="preserve">Actual allocation amounts are not yet available. Expected resources and outcomes will be updated based on actual amounts when published </w:t>
      </w:r>
      <w:r w:rsidR="003D336B" w:rsidRPr="006A2F63">
        <w:rPr>
          <w:rFonts w:cs="Arial"/>
          <w:sz w:val="24"/>
          <w:szCs w:val="24"/>
        </w:rPr>
        <w:t>a</w:t>
      </w:r>
      <w:r w:rsidRPr="006A2F63">
        <w:rPr>
          <w:rFonts w:cs="Arial"/>
          <w:sz w:val="24"/>
          <w:szCs w:val="24"/>
        </w:rPr>
        <w:t>nd divided based on allocation priority percentages as described in the plan.</w:t>
      </w:r>
    </w:p>
    <w:p w14:paraId="1C22E443" w14:textId="77777777" w:rsidR="009A2C2E" w:rsidRDefault="009A2C2E" w:rsidP="009A2C2E">
      <w:pPr>
        <w:keepNext/>
        <w:widowControl w:val="0"/>
        <w:rPr>
          <w:rFonts w:cs="Arial"/>
          <w:b/>
          <w:sz w:val="24"/>
          <w:szCs w:val="24"/>
        </w:rPr>
      </w:pPr>
      <w:r>
        <w:rPr>
          <w:rFonts w:cs="Arial"/>
          <w:b/>
          <w:sz w:val="24"/>
          <w:szCs w:val="24"/>
        </w:rPr>
        <w:t>Distribution Methods</w:t>
      </w:r>
    </w:p>
    <w:p w14:paraId="019BB27D" w14:textId="77777777" w:rsidR="009A2C2E" w:rsidRDefault="009A2C2E" w:rsidP="009A2C2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Distribution Methods by State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333"/>
        <w:gridCol w:w="8289"/>
      </w:tblGrid>
      <w:tr w:rsidR="009A2C2E" w14:paraId="0E480A6D" w14:textId="77777777" w:rsidTr="787E070B">
        <w:trPr>
          <w:cantSplit/>
        </w:trPr>
        <w:tc>
          <w:tcPr>
            <w:tcW w:w="0" w:type="auto"/>
            <w:vMerge w:val="restart"/>
          </w:tcPr>
          <w:p w14:paraId="4D1B1836" w14:textId="77777777" w:rsidR="009A2C2E" w:rsidRDefault="009A2C2E" w:rsidP="00E53512">
            <w:r>
              <w:rPr>
                <w:b/>
              </w:rPr>
              <w:t>1</w:t>
            </w:r>
          </w:p>
        </w:tc>
        <w:tc>
          <w:tcPr>
            <w:tcW w:w="0" w:type="auto"/>
          </w:tcPr>
          <w:p w14:paraId="237CAF4E"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015E008E" w14:textId="77777777" w:rsidR="009A2C2E" w:rsidRDefault="009A2C2E" w:rsidP="00E53512">
            <w:pPr>
              <w:spacing w:before="100" w:after="0"/>
            </w:pPr>
            <w:r>
              <w:rPr>
                <w:color w:val="000000"/>
              </w:rPr>
              <w:t>Down Payment/Closing Cost Assistance</w:t>
            </w:r>
          </w:p>
        </w:tc>
      </w:tr>
      <w:tr w:rsidR="009A2C2E" w14:paraId="17221B8F" w14:textId="77777777" w:rsidTr="787E070B">
        <w:trPr>
          <w:cantSplit/>
        </w:trPr>
        <w:tc>
          <w:tcPr>
            <w:tcW w:w="0" w:type="auto"/>
            <w:vMerge/>
          </w:tcPr>
          <w:p w14:paraId="7CC4ABF8" w14:textId="77777777" w:rsidR="009A2C2E" w:rsidRDefault="009A2C2E" w:rsidP="00E53512"/>
        </w:tc>
        <w:tc>
          <w:tcPr>
            <w:tcW w:w="0" w:type="auto"/>
          </w:tcPr>
          <w:p w14:paraId="20065387"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2DBF18AB" w14:textId="77777777" w:rsidR="009A2C2E" w:rsidRDefault="009A2C2E" w:rsidP="00E53512">
            <w:pPr>
              <w:spacing w:before="100" w:after="0"/>
            </w:pPr>
            <w:r>
              <w:rPr>
                <w:color w:val="000000"/>
              </w:rPr>
              <w:t>HOME</w:t>
            </w:r>
          </w:p>
        </w:tc>
      </w:tr>
      <w:tr w:rsidR="009A2C2E" w14:paraId="72535B15" w14:textId="77777777" w:rsidTr="787E070B">
        <w:trPr>
          <w:cantSplit/>
        </w:trPr>
        <w:tc>
          <w:tcPr>
            <w:tcW w:w="0" w:type="auto"/>
            <w:vMerge/>
          </w:tcPr>
          <w:p w14:paraId="128802B6" w14:textId="77777777" w:rsidR="009A2C2E" w:rsidRDefault="009A2C2E" w:rsidP="00E53512"/>
        </w:tc>
        <w:tc>
          <w:tcPr>
            <w:tcW w:w="0" w:type="auto"/>
          </w:tcPr>
          <w:p w14:paraId="06DCB7B8"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5C80B8C7" w14:textId="77777777" w:rsidR="009A2C2E" w:rsidRDefault="009A2C2E" w:rsidP="00E53512">
            <w:pPr>
              <w:spacing w:before="100" w:after="0"/>
            </w:pPr>
            <w:r>
              <w:rPr>
                <w:color w:val="000000"/>
              </w:rPr>
              <w:t>DP/CC assistance is awarded to low-income homebuyers as a 0% interest, due on sale or default loan to help with the purchase of a Standard Condition affordable home.  Standard condition is defined as a unit that meets state and local residential code and the HOME program's property standards at the time of purchase without any rehabilitation or minor repairs.</w:t>
            </w:r>
          </w:p>
          <w:p w14:paraId="513D8734" w14:textId="2ABB197C" w:rsidR="009A2C2E" w:rsidRDefault="003409DC" w:rsidP="00E53512">
            <w:pPr>
              <w:spacing w:before="100" w:after="0"/>
            </w:pPr>
            <w:r>
              <w:rPr>
                <w:color w:val="000000"/>
              </w:rPr>
              <w:t>A</w:t>
            </w:r>
            <w:r w:rsidR="009A2C2E">
              <w:rPr>
                <w:color w:val="000000"/>
              </w:rPr>
              <w:t xml:space="preserve"> HOME-assisted homebuyer must reside in the assisted unit as a primary residence during the HOME period of affordability.  If an assisted homebuyer rents or otherwise occupies their HOME-assisted unit during the period of </w:t>
            </w:r>
            <w:proofErr w:type="gramStart"/>
            <w:r w:rsidR="009A2C2E">
              <w:rPr>
                <w:color w:val="000000"/>
              </w:rPr>
              <w:t>affordability, and</w:t>
            </w:r>
            <w:proofErr w:type="gramEnd"/>
            <w:r w:rsidR="009A2C2E">
              <w:rPr>
                <w:color w:val="000000"/>
              </w:rPr>
              <w:t xml:space="preserve"> refuses to return to the unit as their primary residence, IHFA calls the loan due and payable.  IHFA allows two exceptions to the HOME primary residence requirement: Military transfer or deployment, and full-time post-secondary education.  The homeowner must request an exception in writing to the HOME Programs Department, which includes a plan to return to the HOME-assisted unit.</w:t>
            </w:r>
          </w:p>
          <w:p w14:paraId="4078B8B9" w14:textId="77777777" w:rsidR="009A2C2E" w:rsidRDefault="009A2C2E" w:rsidP="00E53512">
            <w:pPr>
              <w:spacing w:before="100" w:after="0"/>
            </w:pPr>
            <w:r>
              <w:rPr>
                <w:color w:val="000000"/>
              </w:rPr>
              <w:t>The HOME period of affordability is determined by the amount of HOME subsidy the homebuyer receives.  Following the HOME Program's Recapture Option, the homebuyer is allowed to sell their HOME-assisted unit at any time, to any willing buyer, at whatever price the market will bear.  At the time title is transferred, IHFA will attempt to recapture the entire HOME subsidy amount as available from the Net proceeds of the sale.  IHFA's Recapture Option follows §92.254 (a)(ii)(A) (4 and 5). IHFA reviews the maximum amount of DPCC available on an annual basis and may increase or decrease the amount, depending on funding availability and market conditions. The maximum amount available and application requirements are published in the Annual Administrative Plan.</w:t>
            </w:r>
          </w:p>
        </w:tc>
      </w:tr>
      <w:tr w:rsidR="009A2C2E" w14:paraId="39EF2810" w14:textId="77777777" w:rsidTr="787E070B">
        <w:trPr>
          <w:cantSplit/>
        </w:trPr>
        <w:tc>
          <w:tcPr>
            <w:tcW w:w="0" w:type="auto"/>
            <w:vMerge/>
          </w:tcPr>
          <w:p w14:paraId="02DA3895" w14:textId="77777777" w:rsidR="009A2C2E" w:rsidRDefault="009A2C2E" w:rsidP="00E53512"/>
        </w:tc>
        <w:tc>
          <w:tcPr>
            <w:tcW w:w="0" w:type="auto"/>
          </w:tcPr>
          <w:p w14:paraId="49D7D785" w14:textId="4E96AE80"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w:t>
            </w:r>
            <w:proofErr w:type="gramStart"/>
            <w:r>
              <w:rPr>
                <w:rFonts w:asciiTheme="minorHAnsi" w:eastAsia="Times New Roman" w:hAnsiTheme="minorHAnsi"/>
                <w:b/>
                <w:sz w:val="24"/>
                <w:szCs w:val="24"/>
              </w:rPr>
              <w:t>all of</w:t>
            </w:r>
            <w:proofErr w:type="gramEnd"/>
            <w:r>
              <w:rPr>
                <w:rFonts w:asciiTheme="minorHAnsi" w:eastAsia="Times New Roman" w:hAnsiTheme="minorHAnsi"/>
                <w:b/>
                <w:sz w:val="24"/>
                <w:szCs w:val="24"/>
              </w:rPr>
              <w:t xml:space="preserve"> the criteria that will be used to select applications and the relative importance of these criteria. </w:t>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7873D6C8"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0F03A089" w14:textId="77777777" w:rsidR="009A2C2E" w:rsidRDefault="009A2C2E" w:rsidP="00E53512">
            <w:pPr>
              <w:spacing w:before="100" w:after="0"/>
            </w:pPr>
            <w:r>
              <w:rPr>
                <w:color w:val="000000"/>
              </w:rPr>
              <w:t>The homebuyer(s) must be able to document annual (gross) household income ≤80% AMI as defined by 24 CFR 5.609.  Underwriting requirements are identified in the Annual Administrative Plan.</w:t>
            </w:r>
          </w:p>
          <w:p w14:paraId="19324E36" w14:textId="07207369" w:rsidR="009A2C2E" w:rsidRDefault="009A2C2E" w:rsidP="00E53512">
            <w:pPr>
              <w:spacing w:before="100" w:after="0"/>
            </w:pPr>
            <w:r>
              <w:rPr>
                <w:color w:val="000000"/>
              </w:rPr>
              <w:t>The sales price of the assisted unit cannot exceed the HOME program's annual Homeownership Value Limit for the area</w:t>
            </w:r>
            <w:r w:rsidR="003D336B">
              <w:rPr>
                <w:color w:val="000000"/>
              </w:rPr>
              <w:t>.</w:t>
            </w:r>
            <w:r w:rsidR="003409DC">
              <w:rPr>
                <w:color w:val="000000"/>
              </w:rPr>
              <w:t xml:space="preserve">  IHFA will conduct its own analysis for the </w:t>
            </w:r>
            <w:proofErr w:type="gramStart"/>
            <w:r w:rsidR="003409DC">
              <w:rPr>
                <w:color w:val="000000"/>
              </w:rPr>
              <w:t>first year</w:t>
            </w:r>
            <w:proofErr w:type="gramEnd"/>
            <w:r w:rsidR="003409DC">
              <w:rPr>
                <w:color w:val="000000"/>
              </w:rPr>
              <w:t xml:space="preserve"> action plan. </w:t>
            </w:r>
          </w:p>
        </w:tc>
      </w:tr>
      <w:tr w:rsidR="009A2C2E" w14:paraId="7F818685" w14:textId="77777777" w:rsidTr="787E070B">
        <w:trPr>
          <w:cantSplit/>
        </w:trPr>
        <w:tc>
          <w:tcPr>
            <w:tcW w:w="0" w:type="auto"/>
            <w:vMerge/>
          </w:tcPr>
          <w:p w14:paraId="26E0BB5D" w14:textId="77777777" w:rsidR="009A2C2E" w:rsidRDefault="009A2C2E" w:rsidP="00E53512"/>
        </w:tc>
        <w:tc>
          <w:tcPr>
            <w:tcW w:w="0" w:type="auto"/>
          </w:tcPr>
          <w:p w14:paraId="1680B88D"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6334C3ED"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 xml:space="preserve">state publications describing the application </w:t>
            </w:r>
            <w:proofErr w:type="gramStart"/>
            <w:r>
              <w:rPr>
                <w:rFonts w:asciiTheme="minorHAnsi" w:hAnsiTheme="minorHAnsi"/>
                <w:b/>
                <w:sz w:val="24"/>
                <w:szCs w:val="24"/>
              </w:rPr>
              <w:t>criteria?</w:t>
            </w:r>
            <w:proofErr w:type="gramEnd"/>
            <w:r>
              <w:rPr>
                <w:rFonts w:asciiTheme="minorHAnsi" w:hAnsiTheme="minorHAnsi"/>
                <w:b/>
                <w:sz w:val="24"/>
                <w:szCs w:val="24"/>
              </w:rPr>
              <w:t xml:space="preserve"> (CDBG only)</w:t>
            </w:r>
          </w:p>
        </w:tc>
        <w:tc>
          <w:tcPr>
            <w:tcW w:w="0" w:type="auto"/>
          </w:tcPr>
          <w:p w14:paraId="7A4D389B" w14:textId="77777777" w:rsidR="009A2C2E" w:rsidRDefault="009A2C2E" w:rsidP="00E53512">
            <w:pPr>
              <w:spacing w:before="100" w:after="0"/>
            </w:pPr>
            <w:r>
              <w:rPr>
                <w:color w:val="000000"/>
              </w:rPr>
              <w:t>N/A</w:t>
            </w:r>
          </w:p>
        </w:tc>
      </w:tr>
      <w:tr w:rsidR="009A2C2E" w14:paraId="4AA2C89A" w14:textId="77777777" w:rsidTr="787E070B">
        <w:trPr>
          <w:cantSplit/>
        </w:trPr>
        <w:tc>
          <w:tcPr>
            <w:tcW w:w="0" w:type="auto"/>
            <w:vMerge/>
          </w:tcPr>
          <w:p w14:paraId="27129208" w14:textId="77777777" w:rsidR="009A2C2E" w:rsidRDefault="009A2C2E" w:rsidP="00E53512"/>
        </w:tc>
        <w:tc>
          <w:tcPr>
            <w:tcW w:w="0" w:type="auto"/>
          </w:tcPr>
          <w:p w14:paraId="0E78FE2C"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52BB997A"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01FBBFB5"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31F622D3" w14:textId="77777777" w:rsidR="009A2C2E" w:rsidRDefault="009A2C2E" w:rsidP="00E53512">
            <w:pPr>
              <w:spacing w:before="100" w:after="0"/>
            </w:pPr>
            <w:r>
              <w:rPr>
                <w:color w:val="000000"/>
              </w:rPr>
              <w:t>N/A</w:t>
            </w:r>
          </w:p>
        </w:tc>
      </w:tr>
      <w:tr w:rsidR="009A2C2E" w14:paraId="3679226F" w14:textId="77777777" w:rsidTr="787E070B">
        <w:trPr>
          <w:cantSplit/>
        </w:trPr>
        <w:tc>
          <w:tcPr>
            <w:tcW w:w="0" w:type="auto"/>
            <w:vMerge/>
          </w:tcPr>
          <w:p w14:paraId="61F6A584" w14:textId="77777777" w:rsidR="009A2C2E" w:rsidRDefault="009A2C2E" w:rsidP="00E53512"/>
        </w:tc>
        <w:tc>
          <w:tcPr>
            <w:tcW w:w="0" w:type="auto"/>
          </w:tcPr>
          <w:p w14:paraId="4E38B688"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70BF69BA"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7A47FB1B" w14:textId="414E5743" w:rsidR="009A2C2E" w:rsidRDefault="009A2C2E" w:rsidP="00E53512">
            <w:pPr>
              <w:spacing w:before="100" w:after="0"/>
            </w:pPr>
            <w:r>
              <w:rPr>
                <w:color w:val="000000"/>
              </w:rPr>
              <w:t xml:space="preserve"> </w:t>
            </w:r>
            <w:r w:rsidR="003D336B">
              <w:rPr>
                <w:color w:val="000000"/>
              </w:rPr>
              <w:t>N/A</w:t>
            </w:r>
          </w:p>
        </w:tc>
      </w:tr>
      <w:tr w:rsidR="009A2C2E" w14:paraId="1FFB4BC9" w14:textId="77777777" w:rsidTr="787E070B">
        <w:trPr>
          <w:cantSplit/>
        </w:trPr>
        <w:tc>
          <w:tcPr>
            <w:tcW w:w="0" w:type="auto"/>
            <w:vMerge/>
          </w:tcPr>
          <w:p w14:paraId="602ADE41" w14:textId="77777777" w:rsidR="009A2C2E" w:rsidRDefault="009A2C2E" w:rsidP="00E53512"/>
        </w:tc>
        <w:tc>
          <w:tcPr>
            <w:tcW w:w="0" w:type="auto"/>
          </w:tcPr>
          <w:p w14:paraId="679D4CF6"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189E620B"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0F241053"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7592E8D6" w14:textId="77777777" w:rsidR="009A2C2E" w:rsidRDefault="009A2C2E" w:rsidP="00E53512">
            <w:pPr>
              <w:spacing w:before="100" w:after="0"/>
            </w:pPr>
            <w:r>
              <w:rPr>
                <w:color w:val="000000"/>
              </w:rPr>
              <w:t xml:space="preserve"> </w:t>
            </w:r>
          </w:p>
        </w:tc>
      </w:tr>
      <w:tr w:rsidR="009A2C2E" w14:paraId="37EE8364" w14:textId="77777777" w:rsidTr="787E070B">
        <w:trPr>
          <w:cantSplit/>
        </w:trPr>
        <w:tc>
          <w:tcPr>
            <w:tcW w:w="0" w:type="auto"/>
            <w:vMerge/>
          </w:tcPr>
          <w:p w14:paraId="0697232F" w14:textId="77777777" w:rsidR="009A2C2E" w:rsidRDefault="009A2C2E" w:rsidP="00E53512"/>
        </w:tc>
        <w:tc>
          <w:tcPr>
            <w:tcW w:w="0" w:type="auto"/>
          </w:tcPr>
          <w:p w14:paraId="6F2D6849"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14:paraId="3C06AAC9"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66D2BB02"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3D5D1B56" w14:textId="77777777" w:rsidR="009A2C2E" w:rsidRDefault="009A2C2E" w:rsidP="00E53512">
            <w:pPr>
              <w:spacing w:before="100" w:after="0"/>
            </w:pPr>
            <w:r>
              <w:rPr>
                <w:color w:val="000000"/>
              </w:rPr>
              <w:t>This program is reviewed on an annual basis and is revised as needed in the annual HOME Administrative Plan.</w:t>
            </w:r>
          </w:p>
        </w:tc>
      </w:tr>
      <w:tr w:rsidR="009A2C2E" w14:paraId="7221CB0C" w14:textId="77777777" w:rsidTr="787E070B">
        <w:trPr>
          <w:cantSplit/>
        </w:trPr>
        <w:tc>
          <w:tcPr>
            <w:tcW w:w="0" w:type="auto"/>
            <w:vMerge/>
          </w:tcPr>
          <w:p w14:paraId="5433624D" w14:textId="77777777" w:rsidR="009A2C2E" w:rsidRDefault="009A2C2E" w:rsidP="00E53512"/>
        </w:tc>
        <w:tc>
          <w:tcPr>
            <w:tcW w:w="0" w:type="auto"/>
          </w:tcPr>
          <w:p w14:paraId="524F0F0B"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w:t>
            </w:r>
            <w:proofErr w:type="gramStart"/>
            <w:r>
              <w:rPr>
                <w:rFonts w:asciiTheme="minorHAnsi" w:eastAsia="Times New Roman" w:hAnsiTheme="minorHAnsi"/>
                <w:b/>
                <w:sz w:val="24"/>
                <w:szCs w:val="24"/>
              </w:rPr>
              <w:t>as a result of</w:t>
            </w:r>
            <w:proofErr w:type="gramEnd"/>
            <w:r>
              <w:rPr>
                <w:rFonts w:asciiTheme="minorHAnsi" w:eastAsia="Times New Roman" w:hAnsiTheme="minorHAnsi"/>
                <w:b/>
                <w:sz w:val="24"/>
                <w:szCs w:val="24"/>
              </w:rPr>
              <w:t xml:space="preserve"> the method of distribution? </w:t>
            </w:r>
          </w:p>
          <w:p w14:paraId="3E01087D"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48AF880A" w14:textId="77777777" w:rsidR="009A2C2E" w:rsidRDefault="009A2C2E" w:rsidP="00E53512">
            <w:pPr>
              <w:keepNext/>
              <w:spacing w:before="100" w:after="0"/>
              <w:rPr>
                <w:rFonts w:asciiTheme="minorHAnsi" w:eastAsia="Times New Roman" w:hAnsiTheme="minorHAnsi"/>
                <w:b/>
                <w:sz w:val="24"/>
                <w:szCs w:val="24"/>
              </w:rPr>
            </w:pPr>
          </w:p>
          <w:p w14:paraId="1102BF4D"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3171B461" w14:textId="21630E1E" w:rsidR="009A2C2E" w:rsidRDefault="009A2C2E" w:rsidP="00E53512">
            <w:pPr>
              <w:spacing w:before="100" w:after="0"/>
            </w:pPr>
            <w:r w:rsidRPr="098FA5AC">
              <w:rPr>
                <w:color w:val="000000" w:themeColor="text1"/>
              </w:rPr>
              <w:t xml:space="preserve">It is estimated that </w:t>
            </w:r>
            <w:r w:rsidR="093327C0" w:rsidRPr="098FA5AC">
              <w:rPr>
                <w:color w:val="000000" w:themeColor="text1"/>
              </w:rPr>
              <w:t>twenty</w:t>
            </w:r>
            <w:r w:rsidR="122F39C2" w:rsidRPr="098FA5AC">
              <w:rPr>
                <w:color w:val="000000" w:themeColor="text1"/>
              </w:rPr>
              <w:t>-</w:t>
            </w:r>
            <w:r w:rsidR="093327C0" w:rsidRPr="098FA5AC">
              <w:rPr>
                <w:color w:val="000000" w:themeColor="text1"/>
              </w:rPr>
              <w:t>five (</w:t>
            </w:r>
            <w:r w:rsidR="003D336B" w:rsidRPr="098FA5AC">
              <w:rPr>
                <w:color w:val="000000" w:themeColor="text1"/>
              </w:rPr>
              <w:t>25</w:t>
            </w:r>
            <w:r w:rsidR="60114766" w:rsidRPr="098FA5AC">
              <w:rPr>
                <w:color w:val="000000" w:themeColor="text1"/>
              </w:rPr>
              <w:t>)</w:t>
            </w:r>
            <w:r w:rsidRPr="098FA5AC">
              <w:rPr>
                <w:color w:val="000000" w:themeColor="text1"/>
              </w:rPr>
              <w:t xml:space="preserve"> qualified low-income homebuyers will result.</w:t>
            </w:r>
          </w:p>
        </w:tc>
      </w:tr>
      <w:tr w:rsidR="009A2C2E" w14:paraId="3B2D0C73" w14:textId="77777777" w:rsidTr="787E070B">
        <w:trPr>
          <w:cantSplit/>
        </w:trPr>
        <w:tc>
          <w:tcPr>
            <w:tcW w:w="0" w:type="auto"/>
            <w:vMerge w:val="restart"/>
          </w:tcPr>
          <w:p w14:paraId="0BACE69C" w14:textId="4ADF5FEB" w:rsidR="009A2C2E" w:rsidRDefault="006A2F63" w:rsidP="00E53512">
            <w:r>
              <w:rPr>
                <w:b/>
              </w:rPr>
              <w:t>2</w:t>
            </w:r>
          </w:p>
        </w:tc>
        <w:tc>
          <w:tcPr>
            <w:tcW w:w="0" w:type="auto"/>
          </w:tcPr>
          <w:p w14:paraId="0317A513"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3D24786F" w14:textId="77777777" w:rsidR="009A2C2E" w:rsidRDefault="009A2C2E" w:rsidP="00E53512">
            <w:pPr>
              <w:spacing w:before="100" w:after="0"/>
            </w:pPr>
            <w:r>
              <w:rPr>
                <w:color w:val="000000"/>
              </w:rPr>
              <w:t>Rental Housing Production</w:t>
            </w:r>
          </w:p>
        </w:tc>
      </w:tr>
      <w:tr w:rsidR="009A2C2E" w14:paraId="674C323A" w14:textId="77777777" w:rsidTr="787E070B">
        <w:trPr>
          <w:cantSplit/>
        </w:trPr>
        <w:tc>
          <w:tcPr>
            <w:tcW w:w="0" w:type="auto"/>
            <w:vMerge/>
          </w:tcPr>
          <w:p w14:paraId="4A436541" w14:textId="77777777" w:rsidR="009A2C2E" w:rsidRDefault="009A2C2E" w:rsidP="00E53512"/>
        </w:tc>
        <w:tc>
          <w:tcPr>
            <w:tcW w:w="0" w:type="auto"/>
          </w:tcPr>
          <w:p w14:paraId="16904169"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372A27F8" w14:textId="77777777" w:rsidR="009A2C2E" w:rsidRDefault="009A2C2E" w:rsidP="00E53512">
            <w:pPr>
              <w:spacing w:before="100" w:after="0"/>
            </w:pPr>
            <w:r>
              <w:rPr>
                <w:color w:val="000000"/>
              </w:rPr>
              <w:t>HOME</w:t>
            </w:r>
            <w:r>
              <w:rPr>
                <w:color w:val="000000"/>
              </w:rPr>
              <w:br/>
              <w:t>HTF</w:t>
            </w:r>
          </w:p>
        </w:tc>
      </w:tr>
      <w:tr w:rsidR="009A2C2E" w14:paraId="7D70ACEC" w14:textId="77777777" w:rsidTr="787E070B">
        <w:trPr>
          <w:cantSplit/>
        </w:trPr>
        <w:tc>
          <w:tcPr>
            <w:tcW w:w="0" w:type="auto"/>
            <w:vMerge/>
          </w:tcPr>
          <w:p w14:paraId="712FD2CE" w14:textId="77777777" w:rsidR="009A2C2E" w:rsidRDefault="009A2C2E" w:rsidP="00E53512"/>
        </w:tc>
        <w:tc>
          <w:tcPr>
            <w:tcW w:w="0" w:type="auto"/>
          </w:tcPr>
          <w:p w14:paraId="52B70CB7"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536FA744" w14:textId="77777777" w:rsidR="009A2C2E" w:rsidRDefault="009A2C2E" w:rsidP="00E53512">
            <w:pPr>
              <w:spacing w:before="100" w:after="0"/>
            </w:pPr>
            <w:r>
              <w:rPr>
                <w:color w:val="000000"/>
              </w:rPr>
              <w:t xml:space="preserve">Following a published NOFA, private and non-profit developers can apply for funds for eligible rental housing activities. The application must include certain minimum threshold criteria and other project-specific criteria as identified in the Annual Administrative Plan. Eligible recipients must be registered Business Entities with the State of Idaho and in Good Standing with IHFA (defined as demonstrated experience and capacity to own, develop, manage, and market </w:t>
            </w:r>
            <w:proofErr w:type="gramStart"/>
            <w:r>
              <w:rPr>
                <w:color w:val="000000"/>
              </w:rPr>
              <w:t>federally-assisted</w:t>
            </w:r>
            <w:proofErr w:type="gramEnd"/>
            <w:r>
              <w:rPr>
                <w:color w:val="000000"/>
              </w:rPr>
              <w:t xml:space="preserve"> rental housing, are familiar with the requirements of other Federal housing programs that may be used in conjunction with CPD funds to ensure compliance with applicable requirements and regulations). Demonstrated experience includes evidence of completing previous projects on time and within the approved budget, and no outstanding or material findings of non-compliance during the period of affordability. IHFA awards HOME/HTF funds as a low or no interest loan (HOME) or Due on Sale (HTF only), depending on the type of project, other programs involved in the project, and the type of preference tenant population(s) served. HOME and/or HTF funds are not committed to any activity until it has received the appropriate level of environmental clearance and all sources of financing in the project have been reasonably secured. IHFA's HOME and HTF programs are designed to work with a variety of public and private funding sources and programs to help create and preserve affordable housing. Single-family rental activities must be owned by a non-profit or unit of local government at application and during the period of affordability. HOME and HTF developers partner with the Low-Income Housing Tax Credit program to create affordable multifamily rental housing units. The HOME and HTF programs are designed to work well with a variety of public and private funding sources to help create and preserve affordable housing. IHFA is the Allocating Agency for Idaho's Low-Income Housing Tax Credit Program.</w:t>
            </w:r>
          </w:p>
        </w:tc>
      </w:tr>
      <w:tr w:rsidR="009A2C2E" w14:paraId="50DB43E4" w14:textId="77777777" w:rsidTr="787E070B">
        <w:trPr>
          <w:cantSplit/>
        </w:trPr>
        <w:tc>
          <w:tcPr>
            <w:tcW w:w="0" w:type="auto"/>
            <w:vMerge/>
          </w:tcPr>
          <w:p w14:paraId="66A6D60A" w14:textId="77777777" w:rsidR="009A2C2E" w:rsidRDefault="009A2C2E" w:rsidP="00E53512"/>
        </w:tc>
        <w:tc>
          <w:tcPr>
            <w:tcW w:w="0" w:type="auto"/>
          </w:tcPr>
          <w:p w14:paraId="296E24A9"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w:t>
            </w:r>
            <w:proofErr w:type="gramStart"/>
            <w:r>
              <w:rPr>
                <w:rFonts w:asciiTheme="minorHAnsi" w:eastAsia="Times New Roman" w:hAnsiTheme="minorHAnsi"/>
                <w:b/>
                <w:sz w:val="24"/>
                <w:szCs w:val="24"/>
              </w:rPr>
              <w:t>all of</w:t>
            </w:r>
            <w:proofErr w:type="gramEnd"/>
            <w:r>
              <w:rPr>
                <w:rFonts w:asciiTheme="minorHAnsi" w:eastAsia="Times New Roman" w:hAnsiTheme="minorHAnsi"/>
                <w:b/>
                <w:sz w:val="24"/>
                <w:szCs w:val="24"/>
              </w:rPr>
              <w:t xml:space="preserve"> the criteria that will be used to select applications and the relative importance of these criteria. </w:t>
            </w:r>
          </w:p>
          <w:p w14:paraId="018137DF"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55491CA2"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70DC5CA6" w14:textId="6AE3AB18" w:rsidR="009A2C2E" w:rsidRDefault="009A2C2E" w:rsidP="787E070B">
            <w:pPr>
              <w:spacing w:before="100" w:after="0"/>
              <w:rPr>
                <w:color w:val="000000" w:themeColor="text1"/>
              </w:rPr>
            </w:pPr>
            <w:r w:rsidRPr="787E070B">
              <w:rPr>
                <w:color w:val="000000" w:themeColor="text1"/>
              </w:rPr>
              <w:t>HOME/HTF applications/proposals must include specific threshold criteria (see threshold criteria below) to receive a full review and scoring. Additional criteria includes type, scope, and description of the activity, per-unit total and assistance level of investment, proposed project replacement reserves, other funding sources, debt service coverage ratio, proposed loan repayment structure, ownership structure, federal cross-cutting requirements, local planning and zoning approval, proposed tenant population(s), match contributions, development timeline, developer capacity, proximity to essential services based on the proposed tenant population, green building energy efficiency design components, site and building unit design and amenities. HOME specific - Loan Repayment/</w:t>
            </w:r>
            <w:r w:rsidR="086D5C96" w:rsidRPr="098FA5AC">
              <w:rPr>
                <w:color w:val="000000" w:themeColor="text1"/>
              </w:rPr>
              <w:t>Thirty (</w:t>
            </w:r>
            <w:r w:rsidRPr="787E070B">
              <w:rPr>
                <w:color w:val="000000" w:themeColor="text1"/>
              </w:rPr>
              <w:t>30</w:t>
            </w:r>
            <w:r w:rsidR="2A88C508" w:rsidRPr="098FA5AC">
              <w:rPr>
                <w:color w:val="000000" w:themeColor="text1"/>
              </w:rPr>
              <w:t>)</w:t>
            </w:r>
            <w:r w:rsidRPr="787E070B">
              <w:rPr>
                <w:color w:val="000000" w:themeColor="text1"/>
              </w:rPr>
              <w:t xml:space="preserve"> Year Maturity/MATCH/ HTF specific - Additional HTF Units/HTF Repayment choice</w:t>
            </w:r>
          </w:p>
        </w:tc>
      </w:tr>
      <w:tr w:rsidR="009A2C2E" w14:paraId="40FD331E" w14:textId="77777777" w:rsidTr="787E070B">
        <w:trPr>
          <w:cantSplit/>
        </w:trPr>
        <w:tc>
          <w:tcPr>
            <w:tcW w:w="0" w:type="auto"/>
            <w:vMerge/>
          </w:tcPr>
          <w:p w14:paraId="06C857C6" w14:textId="77777777" w:rsidR="009A2C2E" w:rsidRDefault="009A2C2E" w:rsidP="00E53512"/>
        </w:tc>
        <w:tc>
          <w:tcPr>
            <w:tcW w:w="0" w:type="auto"/>
          </w:tcPr>
          <w:p w14:paraId="4EDC0784"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6A1942D2"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 xml:space="preserve">state publications describing the application </w:t>
            </w:r>
            <w:proofErr w:type="gramStart"/>
            <w:r>
              <w:rPr>
                <w:rFonts w:asciiTheme="minorHAnsi" w:hAnsiTheme="minorHAnsi"/>
                <w:b/>
                <w:sz w:val="24"/>
                <w:szCs w:val="24"/>
              </w:rPr>
              <w:t>criteria?</w:t>
            </w:r>
            <w:proofErr w:type="gramEnd"/>
            <w:r>
              <w:rPr>
                <w:rFonts w:asciiTheme="minorHAnsi" w:hAnsiTheme="minorHAnsi"/>
                <w:b/>
                <w:sz w:val="24"/>
                <w:szCs w:val="24"/>
              </w:rPr>
              <w:t xml:space="preserve"> (CDBG only)</w:t>
            </w:r>
          </w:p>
        </w:tc>
        <w:tc>
          <w:tcPr>
            <w:tcW w:w="0" w:type="auto"/>
          </w:tcPr>
          <w:p w14:paraId="66255365" w14:textId="77777777" w:rsidR="009A2C2E" w:rsidRDefault="009A2C2E" w:rsidP="00E53512">
            <w:pPr>
              <w:spacing w:before="100" w:after="0"/>
            </w:pPr>
            <w:r>
              <w:rPr>
                <w:color w:val="000000"/>
              </w:rPr>
              <w:t>N/A</w:t>
            </w:r>
          </w:p>
        </w:tc>
      </w:tr>
      <w:tr w:rsidR="009A2C2E" w14:paraId="07EE20A8" w14:textId="77777777" w:rsidTr="787E070B">
        <w:trPr>
          <w:cantSplit/>
        </w:trPr>
        <w:tc>
          <w:tcPr>
            <w:tcW w:w="0" w:type="auto"/>
            <w:vMerge/>
          </w:tcPr>
          <w:p w14:paraId="4C9ECF2E" w14:textId="77777777" w:rsidR="009A2C2E" w:rsidRDefault="009A2C2E" w:rsidP="00E53512"/>
        </w:tc>
        <w:tc>
          <w:tcPr>
            <w:tcW w:w="0" w:type="auto"/>
          </w:tcPr>
          <w:p w14:paraId="037EE3EB"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35FA576F"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5FF9057B"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6F541673" w14:textId="77777777" w:rsidR="009A2C2E" w:rsidRPr="006A2F63" w:rsidRDefault="009A2C2E" w:rsidP="00E53512">
            <w:pPr>
              <w:spacing w:before="100" w:after="0"/>
            </w:pPr>
            <w:r w:rsidRPr="006A2F63">
              <w:rPr>
                <w:color w:val="000000"/>
              </w:rPr>
              <w:t>N/A</w:t>
            </w:r>
          </w:p>
        </w:tc>
      </w:tr>
      <w:tr w:rsidR="009A2C2E" w14:paraId="3AB282D5" w14:textId="77777777" w:rsidTr="787E070B">
        <w:trPr>
          <w:cantSplit/>
        </w:trPr>
        <w:tc>
          <w:tcPr>
            <w:tcW w:w="0" w:type="auto"/>
            <w:vMerge/>
          </w:tcPr>
          <w:p w14:paraId="55678FA4" w14:textId="77777777" w:rsidR="009A2C2E" w:rsidRDefault="009A2C2E" w:rsidP="00E53512"/>
        </w:tc>
        <w:tc>
          <w:tcPr>
            <w:tcW w:w="0" w:type="auto"/>
          </w:tcPr>
          <w:p w14:paraId="00FE72C7"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3C85FADC"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7AF59719" w14:textId="582D85BD" w:rsidR="009A2C2E" w:rsidRPr="006A2F63" w:rsidRDefault="009A2C2E" w:rsidP="00E53512">
            <w:pPr>
              <w:spacing w:before="100" w:after="0"/>
            </w:pPr>
            <w:r w:rsidRPr="006A2F63">
              <w:rPr>
                <w:color w:val="000000"/>
              </w:rPr>
              <w:t xml:space="preserve"> </w:t>
            </w:r>
            <w:r w:rsidR="003D336B" w:rsidRPr="006A2F63">
              <w:rPr>
                <w:color w:val="000000"/>
              </w:rPr>
              <w:t>N/A</w:t>
            </w:r>
          </w:p>
        </w:tc>
      </w:tr>
      <w:tr w:rsidR="009A2C2E" w14:paraId="61DBE902" w14:textId="77777777" w:rsidTr="787E070B">
        <w:trPr>
          <w:cantSplit/>
        </w:trPr>
        <w:tc>
          <w:tcPr>
            <w:tcW w:w="0" w:type="auto"/>
            <w:vMerge/>
          </w:tcPr>
          <w:p w14:paraId="6D51FCD1" w14:textId="77777777" w:rsidR="009A2C2E" w:rsidRDefault="009A2C2E" w:rsidP="00E53512"/>
        </w:tc>
        <w:tc>
          <w:tcPr>
            <w:tcW w:w="0" w:type="auto"/>
          </w:tcPr>
          <w:p w14:paraId="7D5CDD27"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6E9D0B7D"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19CEB106"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2969FB56" w14:textId="77777777" w:rsidR="009A2C2E" w:rsidRPr="006A2F63" w:rsidRDefault="009A2C2E" w:rsidP="00E53512">
            <w:pPr>
              <w:spacing w:before="100" w:after="0"/>
            </w:pPr>
            <w:r w:rsidRPr="006A2F63">
              <w:rPr>
                <w:color w:val="000000"/>
              </w:rPr>
              <w:t>HOME applications/proposals must include specific threshold criteria (see threshold criteria below) to receive a full review and scoring. Additionally, IHFA awards HOME and HTF funds to eligible owner/developers following a published NOFA/RFP application/proposal review process. The multifamily rental projects are funded once each year, which coincides with IHFA's Low-income Housing Tax Credit program. Single-family rental housing proposals are accepted following a published RFP, usually after multifamily rental project funding is known. 90% of Idaho's HTF funds will be used for rental housing production and preservation. The funds will target extremely low-income (30% AMI) households.</w:t>
            </w:r>
          </w:p>
        </w:tc>
      </w:tr>
      <w:tr w:rsidR="009A2C2E" w14:paraId="2424643A" w14:textId="77777777" w:rsidTr="787E070B">
        <w:trPr>
          <w:cantSplit/>
        </w:trPr>
        <w:tc>
          <w:tcPr>
            <w:tcW w:w="0" w:type="auto"/>
            <w:vMerge/>
          </w:tcPr>
          <w:p w14:paraId="4C86D89A" w14:textId="77777777" w:rsidR="009A2C2E" w:rsidRDefault="009A2C2E" w:rsidP="00E53512"/>
        </w:tc>
        <w:tc>
          <w:tcPr>
            <w:tcW w:w="0" w:type="auto"/>
          </w:tcPr>
          <w:p w14:paraId="19FF67B3" w14:textId="598C885B"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763A00C9"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2A3D1928" w14:textId="7D1532D3" w:rsidR="009A2C2E" w:rsidRPr="006A2F63" w:rsidRDefault="009A2C2E" w:rsidP="00E53512">
            <w:pPr>
              <w:spacing w:before="100" w:after="0"/>
            </w:pPr>
            <w:r w:rsidRPr="006A2F63">
              <w:rPr>
                <w:color w:val="000000"/>
              </w:rPr>
              <w:t xml:space="preserve">Threshold factors for rental housing activities are identified in the Annual HOME, HTF and NSP Administrative Plan. This plan is reviewed and revised each year as determined by IHFA. The HOME maximum subsidy limit is the </w:t>
            </w:r>
            <w:r w:rsidR="00BC3056" w:rsidRPr="006A2F63">
              <w:rPr>
                <w:color w:val="000000"/>
              </w:rPr>
              <w:t>Section 234 limits</w:t>
            </w:r>
            <w:r w:rsidRPr="006A2F63">
              <w:rPr>
                <w:color w:val="000000"/>
              </w:rPr>
              <w:t>.</w:t>
            </w:r>
          </w:p>
          <w:p w14:paraId="04FACA02" w14:textId="4750CB35" w:rsidR="009A2C2E" w:rsidRPr="006A2F63" w:rsidRDefault="009A2C2E" w:rsidP="00E53512">
            <w:pPr>
              <w:spacing w:before="100" w:after="0"/>
            </w:pPr>
            <w:r w:rsidRPr="006A2F63">
              <w:rPr>
                <w:color w:val="000000"/>
              </w:rPr>
              <w:t>See Unique Appendices</w:t>
            </w:r>
            <w:r w:rsidR="006A2F63" w:rsidRPr="006A2F63">
              <w:rPr>
                <w:color w:val="000000"/>
              </w:rPr>
              <w:t>.</w:t>
            </w:r>
          </w:p>
        </w:tc>
      </w:tr>
      <w:tr w:rsidR="009A2C2E" w14:paraId="672DD4CC" w14:textId="77777777" w:rsidTr="787E070B">
        <w:trPr>
          <w:cantSplit/>
        </w:trPr>
        <w:tc>
          <w:tcPr>
            <w:tcW w:w="0" w:type="auto"/>
            <w:vMerge/>
          </w:tcPr>
          <w:p w14:paraId="2325D313" w14:textId="77777777" w:rsidR="009A2C2E" w:rsidRDefault="009A2C2E" w:rsidP="00E53512"/>
        </w:tc>
        <w:tc>
          <w:tcPr>
            <w:tcW w:w="0" w:type="auto"/>
          </w:tcPr>
          <w:p w14:paraId="214CFD7E" w14:textId="439A1D48" w:rsidR="009A2C2E" w:rsidRDefault="009A2C2E" w:rsidP="003D336B">
            <w:pPr>
              <w:keepNext/>
              <w:spacing w:before="100" w:after="0"/>
              <w:rPr>
                <w:rFonts w:asciiTheme="minorHAnsi" w:hAnsiTheme="minorHAnsi"/>
                <w:b/>
                <w:sz w:val="24"/>
                <w:szCs w:val="24"/>
              </w:rPr>
            </w:pPr>
            <w:r>
              <w:rPr>
                <w:rFonts w:asciiTheme="minorHAnsi" w:eastAsia="Times New Roman" w:hAnsiTheme="minorHAnsi"/>
                <w:b/>
                <w:sz w:val="24"/>
                <w:szCs w:val="24"/>
              </w:rPr>
              <w:t xml:space="preserve">What are the outcome measures expected </w:t>
            </w:r>
            <w:proofErr w:type="gramStart"/>
            <w:r>
              <w:rPr>
                <w:rFonts w:asciiTheme="minorHAnsi" w:eastAsia="Times New Roman" w:hAnsiTheme="minorHAnsi"/>
                <w:b/>
                <w:sz w:val="24"/>
                <w:szCs w:val="24"/>
              </w:rPr>
              <w:t>as a result of</w:t>
            </w:r>
            <w:proofErr w:type="gramEnd"/>
            <w:r>
              <w:rPr>
                <w:rFonts w:asciiTheme="minorHAnsi" w:eastAsia="Times New Roman" w:hAnsiTheme="minorHAnsi"/>
                <w:b/>
                <w:sz w:val="24"/>
                <w:szCs w:val="24"/>
              </w:rPr>
              <w:t xml:space="preserve"> the method of distribution? </w:t>
            </w:r>
          </w:p>
        </w:tc>
        <w:tc>
          <w:tcPr>
            <w:tcW w:w="0" w:type="auto"/>
          </w:tcPr>
          <w:p w14:paraId="21A58D63" w14:textId="03E03ABE" w:rsidR="009A2C2E" w:rsidRPr="006A2F63" w:rsidRDefault="4188F496" w:rsidP="00E53512">
            <w:pPr>
              <w:spacing w:before="100" w:after="0"/>
            </w:pPr>
            <w:r w:rsidRPr="006A2F63">
              <w:rPr>
                <w:color w:val="000000" w:themeColor="text1"/>
              </w:rPr>
              <w:t>Thirty (</w:t>
            </w:r>
            <w:r w:rsidR="003D336B" w:rsidRPr="006A2F63">
              <w:rPr>
                <w:color w:val="000000" w:themeColor="text1"/>
              </w:rPr>
              <w:t>30</w:t>
            </w:r>
            <w:r w:rsidRPr="006A2F63">
              <w:rPr>
                <w:color w:val="000000" w:themeColor="text1"/>
              </w:rPr>
              <w:t>)</w:t>
            </w:r>
            <w:r w:rsidR="009A2C2E" w:rsidRPr="006A2F63">
              <w:rPr>
                <w:color w:val="000000" w:themeColor="text1"/>
              </w:rPr>
              <w:t xml:space="preserve"> HOME and HTF-assisted rental units </w:t>
            </w:r>
            <w:proofErr w:type="gramStart"/>
            <w:r w:rsidR="009A2C2E" w:rsidRPr="006A2F63">
              <w:rPr>
                <w:color w:val="000000" w:themeColor="text1"/>
              </w:rPr>
              <w:t>serving</w:t>
            </w:r>
            <w:proofErr w:type="gramEnd"/>
            <w:r w:rsidR="009A2C2E" w:rsidRPr="006A2F63">
              <w:rPr>
                <w:color w:val="000000" w:themeColor="text1"/>
              </w:rPr>
              <w:t xml:space="preserve"> Low, </w:t>
            </w:r>
            <w:proofErr w:type="gramStart"/>
            <w:r w:rsidR="009A2C2E" w:rsidRPr="006A2F63">
              <w:rPr>
                <w:color w:val="000000" w:themeColor="text1"/>
              </w:rPr>
              <w:t>Very</w:t>
            </w:r>
            <w:proofErr w:type="gramEnd"/>
            <w:r w:rsidR="009A2C2E" w:rsidRPr="006A2F63">
              <w:rPr>
                <w:color w:val="000000" w:themeColor="text1"/>
              </w:rPr>
              <w:t xml:space="preserve"> low, and Extremely low-income families and individuals. Projects with a tenant preference for elderly, disabled or 30% AMI received additional points during the application scoring process. The points are reviewed annually and included in the Annual Administrative Plan.</w:t>
            </w:r>
          </w:p>
        </w:tc>
      </w:tr>
      <w:tr w:rsidR="009A2C2E" w14:paraId="3C79A16E" w14:textId="77777777" w:rsidTr="787E070B">
        <w:trPr>
          <w:cantSplit/>
        </w:trPr>
        <w:tc>
          <w:tcPr>
            <w:tcW w:w="0" w:type="auto"/>
            <w:vMerge w:val="restart"/>
          </w:tcPr>
          <w:p w14:paraId="64497B09" w14:textId="5C90F836" w:rsidR="009A2C2E" w:rsidRDefault="006A2F63" w:rsidP="00E53512">
            <w:r>
              <w:rPr>
                <w:b/>
              </w:rPr>
              <w:t>3</w:t>
            </w:r>
          </w:p>
        </w:tc>
        <w:tc>
          <w:tcPr>
            <w:tcW w:w="0" w:type="auto"/>
          </w:tcPr>
          <w:p w14:paraId="7201FBCE"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State Program Name:</w:t>
            </w:r>
          </w:p>
        </w:tc>
        <w:tc>
          <w:tcPr>
            <w:tcW w:w="0" w:type="auto"/>
          </w:tcPr>
          <w:p w14:paraId="5126117C" w14:textId="77777777" w:rsidR="009A2C2E" w:rsidRPr="006A2F63" w:rsidRDefault="009A2C2E" w:rsidP="00E53512">
            <w:pPr>
              <w:spacing w:before="100" w:after="0"/>
            </w:pPr>
            <w:r w:rsidRPr="006A2F63">
              <w:rPr>
                <w:color w:val="000000"/>
              </w:rPr>
              <w:t>State of Idaho</w:t>
            </w:r>
          </w:p>
        </w:tc>
      </w:tr>
      <w:tr w:rsidR="009A2C2E" w14:paraId="0DB32955" w14:textId="77777777" w:rsidTr="787E070B">
        <w:trPr>
          <w:cantSplit/>
        </w:trPr>
        <w:tc>
          <w:tcPr>
            <w:tcW w:w="0" w:type="auto"/>
            <w:vMerge/>
          </w:tcPr>
          <w:p w14:paraId="2132DB92" w14:textId="77777777" w:rsidR="009A2C2E" w:rsidRDefault="009A2C2E" w:rsidP="00E53512"/>
        </w:tc>
        <w:tc>
          <w:tcPr>
            <w:tcW w:w="0" w:type="auto"/>
          </w:tcPr>
          <w:p w14:paraId="371E2504"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Funding Sources:</w:t>
            </w:r>
          </w:p>
        </w:tc>
        <w:tc>
          <w:tcPr>
            <w:tcW w:w="0" w:type="auto"/>
          </w:tcPr>
          <w:p w14:paraId="1A7ECE0B" w14:textId="314D19BA" w:rsidR="009A2C2E" w:rsidRPr="006A2F63" w:rsidRDefault="009A2C2E" w:rsidP="00E53512">
            <w:pPr>
              <w:spacing w:before="100" w:after="0"/>
            </w:pPr>
            <w:r w:rsidRPr="006A2F63">
              <w:rPr>
                <w:color w:val="000000"/>
              </w:rPr>
              <w:t>CDBG</w:t>
            </w:r>
          </w:p>
        </w:tc>
      </w:tr>
      <w:tr w:rsidR="009A2C2E" w14:paraId="4BD2C33A" w14:textId="77777777" w:rsidTr="787E070B">
        <w:trPr>
          <w:cantSplit/>
        </w:trPr>
        <w:tc>
          <w:tcPr>
            <w:tcW w:w="0" w:type="auto"/>
            <w:vMerge/>
          </w:tcPr>
          <w:p w14:paraId="2D45513C" w14:textId="77777777" w:rsidR="009A2C2E" w:rsidRDefault="009A2C2E" w:rsidP="00E53512"/>
        </w:tc>
        <w:tc>
          <w:tcPr>
            <w:tcW w:w="0" w:type="auto"/>
          </w:tcPr>
          <w:p w14:paraId="574A3CD8"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560D0056" w14:textId="77777777" w:rsidR="009A2C2E" w:rsidRPr="006A2F63" w:rsidRDefault="009A2C2E" w:rsidP="00E53512">
            <w:pPr>
              <w:spacing w:before="100" w:after="0"/>
            </w:pPr>
            <w:r w:rsidRPr="006A2F63">
              <w:rPr>
                <w:color w:val="000000"/>
              </w:rPr>
              <w:t>See Unique Appendices.</w:t>
            </w:r>
          </w:p>
        </w:tc>
      </w:tr>
      <w:tr w:rsidR="009A2C2E" w14:paraId="34E36C2A" w14:textId="77777777" w:rsidTr="787E070B">
        <w:trPr>
          <w:cantSplit/>
        </w:trPr>
        <w:tc>
          <w:tcPr>
            <w:tcW w:w="0" w:type="auto"/>
            <w:vMerge/>
          </w:tcPr>
          <w:p w14:paraId="6F9855B2" w14:textId="77777777" w:rsidR="009A2C2E" w:rsidRDefault="009A2C2E" w:rsidP="00E53512"/>
        </w:tc>
        <w:tc>
          <w:tcPr>
            <w:tcW w:w="0" w:type="auto"/>
          </w:tcPr>
          <w:p w14:paraId="161BFBF9" w14:textId="04CFAB33" w:rsidR="009A2C2E" w:rsidRDefault="009A2C2E" w:rsidP="003D336B">
            <w:pPr>
              <w:keepNext/>
              <w:spacing w:before="100" w:after="0"/>
              <w:rPr>
                <w:rFonts w:asciiTheme="minorHAnsi" w:hAnsiTheme="minorHAnsi"/>
                <w:b/>
                <w:sz w:val="24"/>
                <w:szCs w:val="24"/>
              </w:rPr>
            </w:pPr>
            <w:r>
              <w:rPr>
                <w:rFonts w:asciiTheme="minorHAnsi" w:eastAsia="Times New Roman" w:hAnsiTheme="minorHAnsi"/>
                <w:b/>
                <w:sz w:val="24"/>
                <w:szCs w:val="24"/>
              </w:rPr>
              <w:t xml:space="preserve">Describe </w:t>
            </w:r>
            <w:proofErr w:type="gramStart"/>
            <w:r>
              <w:rPr>
                <w:rFonts w:asciiTheme="minorHAnsi" w:eastAsia="Times New Roman" w:hAnsiTheme="minorHAnsi"/>
                <w:b/>
                <w:sz w:val="24"/>
                <w:szCs w:val="24"/>
              </w:rPr>
              <w:t>all of</w:t>
            </w:r>
            <w:proofErr w:type="gramEnd"/>
            <w:r>
              <w:rPr>
                <w:rFonts w:asciiTheme="minorHAnsi" w:eastAsia="Times New Roman" w:hAnsiTheme="minorHAnsi"/>
                <w:b/>
                <w:sz w:val="24"/>
                <w:szCs w:val="24"/>
              </w:rPr>
              <w:t xml:space="preserve"> the criteria that will be used to select applications and the relative importance of these criteria. </w:t>
            </w:r>
          </w:p>
        </w:tc>
        <w:tc>
          <w:tcPr>
            <w:tcW w:w="0" w:type="auto"/>
          </w:tcPr>
          <w:p w14:paraId="4A9E45AA" w14:textId="77777777" w:rsidR="009A2C2E" w:rsidRPr="006A2F63" w:rsidRDefault="009A2C2E" w:rsidP="00E53512">
            <w:pPr>
              <w:spacing w:before="100" w:after="0"/>
            </w:pPr>
            <w:r w:rsidRPr="006A2F63">
              <w:rPr>
                <w:color w:val="000000"/>
              </w:rPr>
              <w:t>See Unique Appendices.</w:t>
            </w:r>
          </w:p>
        </w:tc>
      </w:tr>
      <w:tr w:rsidR="009A2C2E" w14:paraId="1B16D834" w14:textId="77777777" w:rsidTr="787E070B">
        <w:trPr>
          <w:cantSplit/>
        </w:trPr>
        <w:tc>
          <w:tcPr>
            <w:tcW w:w="0" w:type="auto"/>
            <w:vMerge/>
          </w:tcPr>
          <w:p w14:paraId="13B96632" w14:textId="77777777" w:rsidR="009A2C2E" w:rsidRDefault="009A2C2E" w:rsidP="00E53512"/>
        </w:tc>
        <w:tc>
          <w:tcPr>
            <w:tcW w:w="0" w:type="auto"/>
          </w:tcPr>
          <w:p w14:paraId="4A9244F6"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686C5F11"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 xml:space="preserve">state publications describing the application </w:t>
            </w:r>
            <w:proofErr w:type="gramStart"/>
            <w:r>
              <w:rPr>
                <w:rFonts w:asciiTheme="minorHAnsi" w:hAnsiTheme="minorHAnsi"/>
                <w:b/>
                <w:sz w:val="24"/>
                <w:szCs w:val="24"/>
              </w:rPr>
              <w:t>criteria?</w:t>
            </w:r>
            <w:proofErr w:type="gramEnd"/>
            <w:r>
              <w:rPr>
                <w:rFonts w:asciiTheme="minorHAnsi" w:hAnsiTheme="minorHAnsi"/>
                <w:b/>
                <w:sz w:val="24"/>
                <w:szCs w:val="24"/>
              </w:rPr>
              <w:t xml:space="preserve"> (CDBG only)</w:t>
            </w:r>
          </w:p>
        </w:tc>
        <w:tc>
          <w:tcPr>
            <w:tcW w:w="0" w:type="auto"/>
          </w:tcPr>
          <w:p w14:paraId="2087F6E1" w14:textId="77777777" w:rsidR="009A2C2E" w:rsidRPr="006A2F63" w:rsidRDefault="009A2C2E" w:rsidP="00E53512">
            <w:pPr>
              <w:spacing w:before="100" w:after="0"/>
            </w:pPr>
            <w:r w:rsidRPr="006A2F63">
              <w:rPr>
                <w:color w:val="000000"/>
              </w:rPr>
              <w:t>See Unique Appendices.</w:t>
            </w:r>
          </w:p>
        </w:tc>
      </w:tr>
      <w:tr w:rsidR="009A2C2E" w14:paraId="5A527D82" w14:textId="77777777" w:rsidTr="787E070B">
        <w:trPr>
          <w:cantSplit/>
        </w:trPr>
        <w:tc>
          <w:tcPr>
            <w:tcW w:w="0" w:type="auto"/>
            <w:vMerge/>
          </w:tcPr>
          <w:p w14:paraId="5670FAC9" w14:textId="77777777" w:rsidR="009A2C2E" w:rsidRDefault="009A2C2E" w:rsidP="00E53512"/>
        </w:tc>
        <w:tc>
          <w:tcPr>
            <w:tcW w:w="0" w:type="auto"/>
          </w:tcPr>
          <w:p w14:paraId="4751DE31"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2AC5CA3B"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00EBF767"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organizations. (ESG only)</w:t>
            </w:r>
          </w:p>
        </w:tc>
        <w:tc>
          <w:tcPr>
            <w:tcW w:w="0" w:type="auto"/>
          </w:tcPr>
          <w:p w14:paraId="777EE635" w14:textId="77777777" w:rsidR="009A2C2E" w:rsidRPr="006A2F63" w:rsidRDefault="009A2C2E" w:rsidP="00E53512">
            <w:pPr>
              <w:spacing w:before="100" w:after="0"/>
            </w:pPr>
            <w:r w:rsidRPr="006A2F63">
              <w:rPr>
                <w:color w:val="000000"/>
              </w:rPr>
              <w:t>See Unique Appendices.</w:t>
            </w:r>
          </w:p>
        </w:tc>
      </w:tr>
      <w:tr w:rsidR="009A2C2E" w14:paraId="10DB7AF3" w14:textId="77777777" w:rsidTr="787E070B">
        <w:trPr>
          <w:cantSplit/>
        </w:trPr>
        <w:tc>
          <w:tcPr>
            <w:tcW w:w="0" w:type="auto"/>
            <w:vMerge/>
          </w:tcPr>
          <w:p w14:paraId="29A5CC27" w14:textId="77777777" w:rsidR="009A2C2E" w:rsidRDefault="009A2C2E" w:rsidP="00E53512"/>
        </w:tc>
        <w:tc>
          <w:tcPr>
            <w:tcW w:w="0" w:type="auto"/>
          </w:tcPr>
          <w:p w14:paraId="5895CB88"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05AE18AC" w14:textId="77777777" w:rsidR="009A2C2E" w:rsidRDefault="009A2C2E" w:rsidP="00E53512">
            <w:pPr>
              <w:keepNext/>
              <w:widowControl w:val="0"/>
              <w:spacing w:before="100" w:after="0"/>
              <w:rPr>
                <w:rFonts w:asciiTheme="minorHAnsi" w:hAnsiTheme="minorHAnsi"/>
                <w:b/>
                <w:sz w:val="24"/>
                <w:szCs w:val="24"/>
              </w:rPr>
            </w:pPr>
            <w:r>
              <w:rPr>
                <w:rFonts w:asciiTheme="minorHAnsi" w:hAnsiTheme="minorHAnsi"/>
                <w:b/>
                <w:sz w:val="24"/>
                <w:szCs w:val="24"/>
              </w:rPr>
              <w:t>community-based organizations). (HOPWA only)</w:t>
            </w:r>
          </w:p>
        </w:tc>
        <w:tc>
          <w:tcPr>
            <w:tcW w:w="0" w:type="auto"/>
          </w:tcPr>
          <w:p w14:paraId="02F5200E" w14:textId="42EF2253" w:rsidR="009A2C2E" w:rsidRPr="006A2F63" w:rsidRDefault="009A2C2E" w:rsidP="00E53512">
            <w:pPr>
              <w:spacing w:before="100" w:after="0"/>
            </w:pPr>
            <w:r w:rsidRPr="006A2F63">
              <w:rPr>
                <w:color w:val="000000"/>
              </w:rPr>
              <w:t xml:space="preserve"> </w:t>
            </w:r>
            <w:r w:rsidR="003D336B" w:rsidRPr="006A2F63">
              <w:rPr>
                <w:color w:val="000000"/>
              </w:rPr>
              <w:t>N/A</w:t>
            </w:r>
          </w:p>
        </w:tc>
      </w:tr>
      <w:tr w:rsidR="009A2C2E" w14:paraId="02B80640" w14:textId="77777777" w:rsidTr="787E070B">
        <w:trPr>
          <w:cantSplit/>
        </w:trPr>
        <w:tc>
          <w:tcPr>
            <w:tcW w:w="0" w:type="auto"/>
            <w:vMerge/>
          </w:tcPr>
          <w:p w14:paraId="4F088928" w14:textId="77777777" w:rsidR="009A2C2E" w:rsidRDefault="009A2C2E" w:rsidP="00E53512"/>
        </w:tc>
        <w:tc>
          <w:tcPr>
            <w:tcW w:w="0" w:type="auto"/>
          </w:tcPr>
          <w:p w14:paraId="15829BF3"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4EA579A4"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3D38638B"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374F929B" w14:textId="77777777" w:rsidR="009A2C2E" w:rsidRPr="006A2F63" w:rsidRDefault="009A2C2E" w:rsidP="00E53512">
            <w:pPr>
              <w:spacing w:before="100" w:after="0"/>
            </w:pPr>
            <w:r w:rsidRPr="006A2F63">
              <w:rPr>
                <w:color w:val="000000"/>
              </w:rPr>
              <w:t>See Unique Appendices.</w:t>
            </w:r>
          </w:p>
        </w:tc>
      </w:tr>
      <w:tr w:rsidR="009A2C2E" w14:paraId="0FB396F0" w14:textId="77777777" w:rsidTr="787E070B">
        <w:trPr>
          <w:cantSplit/>
        </w:trPr>
        <w:tc>
          <w:tcPr>
            <w:tcW w:w="0" w:type="auto"/>
            <w:vMerge/>
          </w:tcPr>
          <w:p w14:paraId="68D472BB" w14:textId="77777777" w:rsidR="009A2C2E" w:rsidRDefault="009A2C2E" w:rsidP="00E53512"/>
        </w:tc>
        <w:tc>
          <w:tcPr>
            <w:tcW w:w="0" w:type="auto"/>
          </w:tcPr>
          <w:p w14:paraId="39425397"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14:paraId="408DA8AA"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158C4F50"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42CB6377" w14:textId="77777777" w:rsidR="009A2C2E" w:rsidRPr="006A2F63" w:rsidRDefault="009A2C2E" w:rsidP="00E53512">
            <w:pPr>
              <w:spacing w:before="100" w:after="0"/>
            </w:pPr>
            <w:r w:rsidRPr="006A2F63">
              <w:rPr>
                <w:color w:val="000000"/>
              </w:rPr>
              <w:t>See Unique Appendices.</w:t>
            </w:r>
          </w:p>
        </w:tc>
      </w:tr>
      <w:tr w:rsidR="009A2C2E" w14:paraId="4B319FA8" w14:textId="77777777" w:rsidTr="787E070B">
        <w:trPr>
          <w:cantSplit/>
        </w:trPr>
        <w:tc>
          <w:tcPr>
            <w:tcW w:w="0" w:type="auto"/>
            <w:vMerge/>
          </w:tcPr>
          <w:p w14:paraId="77B22C55" w14:textId="77777777" w:rsidR="009A2C2E" w:rsidRDefault="009A2C2E" w:rsidP="00E53512"/>
        </w:tc>
        <w:tc>
          <w:tcPr>
            <w:tcW w:w="0" w:type="auto"/>
          </w:tcPr>
          <w:p w14:paraId="095BAD19"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w:t>
            </w:r>
            <w:proofErr w:type="gramStart"/>
            <w:r>
              <w:rPr>
                <w:rFonts w:asciiTheme="minorHAnsi" w:eastAsia="Times New Roman" w:hAnsiTheme="minorHAnsi"/>
                <w:b/>
                <w:sz w:val="24"/>
                <w:szCs w:val="24"/>
              </w:rPr>
              <w:t>as a result of</w:t>
            </w:r>
            <w:proofErr w:type="gramEnd"/>
            <w:r>
              <w:rPr>
                <w:rFonts w:asciiTheme="minorHAnsi" w:eastAsia="Times New Roman" w:hAnsiTheme="minorHAnsi"/>
                <w:b/>
                <w:sz w:val="24"/>
                <w:szCs w:val="24"/>
              </w:rPr>
              <w:t xml:space="preserve"> the method of distribution? </w:t>
            </w:r>
          </w:p>
          <w:p w14:paraId="1D0C4112" w14:textId="77777777" w:rsidR="009A2C2E" w:rsidRDefault="009A2C2E" w:rsidP="00E53512">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7A2910B9" w14:textId="77777777" w:rsidR="009A2C2E" w:rsidRDefault="009A2C2E" w:rsidP="00E53512">
            <w:pPr>
              <w:keepNext/>
              <w:spacing w:before="100" w:after="0"/>
              <w:rPr>
                <w:rFonts w:asciiTheme="minorHAnsi" w:eastAsia="Times New Roman" w:hAnsiTheme="minorHAnsi"/>
                <w:b/>
                <w:sz w:val="24"/>
                <w:szCs w:val="24"/>
              </w:rPr>
            </w:pPr>
          </w:p>
          <w:p w14:paraId="14738A76" w14:textId="77777777" w:rsidR="009A2C2E" w:rsidRDefault="009A2C2E" w:rsidP="00E53512">
            <w:pPr>
              <w:keepNext/>
              <w:widowControl w:val="0"/>
              <w:spacing w:before="100" w:after="0"/>
              <w:jc w:val="center"/>
              <w:rPr>
                <w:rFonts w:asciiTheme="minorHAnsi" w:hAnsiTheme="minorHAnsi"/>
                <w:b/>
                <w:sz w:val="24"/>
                <w:szCs w:val="24"/>
              </w:rPr>
            </w:pPr>
          </w:p>
        </w:tc>
        <w:tc>
          <w:tcPr>
            <w:tcW w:w="0" w:type="auto"/>
          </w:tcPr>
          <w:p w14:paraId="2F939115" w14:textId="77777777" w:rsidR="009A2C2E" w:rsidRPr="006A2F63" w:rsidRDefault="009A2C2E" w:rsidP="00E53512">
            <w:pPr>
              <w:spacing w:before="100" w:after="0"/>
            </w:pPr>
            <w:r w:rsidRPr="006A2F63">
              <w:rPr>
                <w:color w:val="000000"/>
              </w:rPr>
              <w:t>See Unique Appendices.</w:t>
            </w:r>
          </w:p>
        </w:tc>
      </w:tr>
      <w:tr w:rsidR="003D336B" w14:paraId="1E4A0273" w14:textId="77777777" w:rsidTr="787E070B">
        <w:trPr>
          <w:cantSplit/>
        </w:trPr>
        <w:tc>
          <w:tcPr>
            <w:tcW w:w="0" w:type="auto"/>
            <w:vMerge w:val="restart"/>
          </w:tcPr>
          <w:p w14:paraId="4CF1AFDF" w14:textId="60B55ED7" w:rsidR="003D336B" w:rsidRPr="003D336B" w:rsidRDefault="003D336B" w:rsidP="003D336B">
            <w:pPr>
              <w:rPr>
                <w:b/>
                <w:bCs/>
              </w:rPr>
            </w:pPr>
            <w:r w:rsidRPr="003D336B">
              <w:rPr>
                <w:b/>
                <w:bCs/>
              </w:rPr>
              <w:t>5</w:t>
            </w:r>
          </w:p>
        </w:tc>
        <w:tc>
          <w:tcPr>
            <w:tcW w:w="0" w:type="auto"/>
          </w:tcPr>
          <w:p w14:paraId="6EF4E76F" w14:textId="729F263C" w:rsidR="003D336B" w:rsidRDefault="003D336B" w:rsidP="003D336B">
            <w:pPr>
              <w:keepNext/>
              <w:spacing w:before="100" w:after="0"/>
              <w:rPr>
                <w:rFonts w:asciiTheme="minorHAnsi" w:eastAsia="Times New Roman" w:hAnsiTheme="minorHAnsi"/>
                <w:b/>
                <w:sz w:val="24"/>
                <w:szCs w:val="24"/>
              </w:rPr>
            </w:pPr>
            <w:r>
              <w:rPr>
                <w:rFonts w:asciiTheme="minorHAnsi" w:hAnsiTheme="minorHAnsi"/>
                <w:b/>
                <w:sz w:val="24"/>
                <w:szCs w:val="24"/>
              </w:rPr>
              <w:t>State Program Name:</w:t>
            </w:r>
          </w:p>
        </w:tc>
        <w:tc>
          <w:tcPr>
            <w:tcW w:w="0" w:type="auto"/>
          </w:tcPr>
          <w:p w14:paraId="445F7CF8" w14:textId="52BFFD2D" w:rsidR="003D336B" w:rsidRPr="006A2F63" w:rsidRDefault="003D336B" w:rsidP="003D336B">
            <w:pPr>
              <w:spacing w:before="100" w:after="0"/>
              <w:rPr>
                <w:color w:val="000000"/>
              </w:rPr>
            </w:pPr>
            <w:r w:rsidRPr="006A2F63">
              <w:rPr>
                <w:color w:val="000000"/>
              </w:rPr>
              <w:t>State of Idaho</w:t>
            </w:r>
          </w:p>
        </w:tc>
      </w:tr>
      <w:tr w:rsidR="003D336B" w14:paraId="2868A6DB" w14:textId="77777777" w:rsidTr="787E070B">
        <w:trPr>
          <w:cantSplit/>
        </w:trPr>
        <w:tc>
          <w:tcPr>
            <w:tcW w:w="0" w:type="auto"/>
            <w:vMerge/>
          </w:tcPr>
          <w:p w14:paraId="5B7D0B66" w14:textId="77777777" w:rsidR="003D336B" w:rsidRDefault="003D336B" w:rsidP="003D336B"/>
        </w:tc>
        <w:tc>
          <w:tcPr>
            <w:tcW w:w="0" w:type="auto"/>
          </w:tcPr>
          <w:p w14:paraId="672B2E1B" w14:textId="5E8AB837" w:rsidR="003D336B" w:rsidRDefault="003D336B" w:rsidP="003D336B">
            <w:pPr>
              <w:keepNext/>
              <w:spacing w:before="100" w:after="0"/>
              <w:rPr>
                <w:rFonts w:asciiTheme="minorHAnsi" w:eastAsia="Times New Roman" w:hAnsiTheme="minorHAnsi"/>
                <w:b/>
                <w:sz w:val="24"/>
                <w:szCs w:val="24"/>
              </w:rPr>
            </w:pPr>
            <w:r>
              <w:rPr>
                <w:rFonts w:asciiTheme="minorHAnsi" w:hAnsiTheme="minorHAnsi"/>
                <w:b/>
                <w:sz w:val="24"/>
                <w:szCs w:val="24"/>
              </w:rPr>
              <w:t>Funding Sources:</w:t>
            </w:r>
          </w:p>
        </w:tc>
        <w:tc>
          <w:tcPr>
            <w:tcW w:w="0" w:type="auto"/>
          </w:tcPr>
          <w:p w14:paraId="7E94AAC8" w14:textId="6C5A8519" w:rsidR="003D336B" w:rsidRPr="006A2F63" w:rsidRDefault="003D336B" w:rsidP="003D336B">
            <w:pPr>
              <w:spacing w:before="100" w:after="0"/>
              <w:rPr>
                <w:color w:val="000000"/>
              </w:rPr>
            </w:pPr>
            <w:r w:rsidRPr="006A2F63">
              <w:rPr>
                <w:color w:val="000000"/>
              </w:rPr>
              <w:t>ESG</w:t>
            </w:r>
          </w:p>
        </w:tc>
      </w:tr>
      <w:tr w:rsidR="003D336B" w14:paraId="5CD80AFC" w14:textId="77777777" w:rsidTr="787E070B">
        <w:trPr>
          <w:cantSplit/>
        </w:trPr>
        <w:tc>
          <w:tcPr>
            <w:tcW w:w="0" w:type="auto"/>
            <w:vMerge/>
          </w:tcPr>
          <w:p w14:paraId="40C2C0C9" w14:textId="77777777" w:rsidR="003D336B" w:rsidRDefault="003D336B" w:rsidP="003D336B"/>
        </w:tc>
        <w:tc>
          <w:tcPr>
            <w:tcW w:w="0" w:type="auto"/>
          </w:tcPr>
          <w:p w14:paraId="0A6ABAA9" w14:textId="0ACA0FE4" w:rsidR="003D336B" w:rsidRDefault="003D336B" w:rsidP="003D336B">
            <w:pPr>
              <w:keepNext/>
              <w:spacing w:before="100" w:after="0"/>
              <w:rPr>
                <w:rFonts w:asciiTheme="minorHAnsi" w:eastAsia="Times New Roman" w:hAnsiTheme="minorHAnsi"/>
                <w:b/>
                <w:sz w:val="24"/>
                <w:szCs w:val="24"/>
              </w:rPr>
            </w:pPr>
            <w:r>
              <w:rPr>
                <w:rFonts w:asciiTheme="minorHAnsi" w:hAnsiTheme="minorHAnsi"/>
                <w:b/>
                <w:sz w:val="24"/>
                <w:szCs w:val="24"/>
              </w:rPr>
              <w:t>Describe the state program addressed by the Method of Distribution.</w:t>
            </w:r>
          </w:p>
        </w:tc>
        <w:tc>
          <w:tcPr>
            <w:tcW w:w="0" w:type="auto"/>
          </w:tcPr>
          <w:p w14:paraId="3B879E7E" w14:textId="4FD1170D" w:rsidR="003D336B" w:rsidRPr="006A2F63" w:rsidRDefault="003D336B" w:rsidP="003D336B">
            <w:pPr>
              <w:spacing w:before="100" w:after="0"/>
              <w:rPr>
                <w:color w:val="000000"/>
              </w:rPr>
            </w:pPr>
            <w:r w:rsidRPr="006A2F63">
              <w:rPr>
                <w:color w:val="000000"/>
              </w:rPr>
              <w:t>See Unique Appendices.</w:t>
            </w:r>
          </w:p>
        </w:tc>
      </w:tr>
      <w:tr w:rsidR="003D336B" w14:paraId="110C6383" w14:textId="77777777" w:rsidTr="787E070B">
        <w:trPr>
          <w:cantSplit/>
        </w:trPr>
        <w:tc>
          <w:tcPr>
            <w:tcW w:w="0" w:type="auto"/>
            <w:vMerge/>
          </w:tcPr>
          <w:p w14:paraId="4AAFD970" w14:textId="77777777" w:rsidR="003D336B" w:rsidRDefault="003D336B" w:rsidP="003D336B"/>
        </w:tc>
        <w:tc>
          <w:tcPr>
            <w:tcW w:w="0" w:type="auto"/>
          </w:tcPr>
          <w:p w14:paraId="5735719B" w14:textId="04D0659D" w:rsidR="003D336B" w:rsidRDefault="003D336B" w:rsidP="003D336B">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w:t>
            </w:r>
            <w:proofErr w:type="gramStart"/>
            <w:r>
              <w:rPr>
                <w:rFonts w:asciiTheme="minorHAnsi" w:eastAsia="Times New Roman" w:hAnsiTheme="minorHAnsi"/>
                <w:b/>
                <w:sz w:val="24"/>
                <w:szCs w:val="24"/>
              </w:rPr>
              <w:t>all of</w:t>
            </w:r>
            <w:proofErr w:type="gramEnd"/>
            <w:r>
              <w:rPr>
                <w:rFonts w:asciiTheme="minorHAnsi" w:eastAsia="Times New Roman" w:hAnsiTheme="minorHAnsi"/>
                <w:b/>
                <w:sz w:val="24"/>
                <w:szCs w:val="24"/>
              </w:rPr>
              <w:t xml:space="preserve"> the criteria that will be used to select applications and the relative importance of these criteria. </w:t>
            </w:r>
          </w:p>
        </w:tc>
        <w:tc>
          <w:tcPr>
            <w:tcW w:w="0" w:type="auto"/>
          </w:tcPr>
          <w:p w14:paraId="385431EF" w14:textId="236E38B9" w:rsidR="003D336B" w:rsidRPr="006A2F63" w:rsidRDefault="003D336B" w:rsidP="003D336B">
            <w:pPr>
              <w:spacing w:before="100" w:after="0"/>
              <w:rPr>
                <w:color w:val="000000"/>
              </w:rPr>
            </w:pPr>
            <w:r w:rsidRPr="006A2F63">
              <w:rPr>
                <w:color w:val="000000"/>
              </w:rPr>
              <w:t>See Unique Appendices.</w:t>
            </w:r>
          </w:p>
        </w:tc>
      </w:tr>
      <w:tr w:rsidR="003D336B" w14:paraId="486AC009" w14:textId="77777777" w:rsidTr="787E070B">
        <w:trPr>
          <w:cantSplit/>
        </w:trPr>
        <w:tc>
          <w:tcPr>
            <w:tcW w:w="0" w:type="auto"/>
            <w:vMerge/>
          </w:tcPr>
          <w:p w14:paraId="52E5183A" w14:textId="77777777" w:rsidR="003D336B" w:rsidRDefault="003D336B" w:rsidP="003D336B"/>
        </w:tc>
        <w:tc>
          <w:tcPr>
            <w:tcW w:w="0" w:type="auto"/>
          </w:tcPr>
          <w:p w14:paraId="49D6EBF6" w14:textId="77777777" w:rsidR="003D336B" w:rsidRDefault="003D336B" w:rsidP="003D336B">
            <w:pPr>
              <w:keepNext/>
              <w:widowControl w:val="0"/>
              <w:spacing w:before="100" w:after="0"/>
              <w:rPr>
                <w:rFonts w:asciiTheme="minorHAnsi" w:hAnsiTheme="minorHAnsi"/>
                <w:b/>
                <w:sz w:val="24"/>
                <w:szCs w:val="24"/>
              </w:rPr>
            </w:pPr>
            <w:r>
              <w:rPr>
                <w:rFonts w:asciiTheme="minorHAnsi" w:hAnsiTheme="minorHAnsi"/>
                <w:b/>
                <w:sz w:val="24"/>
                <w:szCs w:val="24"/>
              </w:rPr>
              <w:t>If only summary criteria were described, how can potential applicants access application manuals or other</w:t>
            </w:r>
          </w:p>
          <w:p w14:paraId="39DF478E" w14:textId="5527117C" w:rsidR="003D336B" w:rsidRDefault="003D336B" w:rsidP="003D336B">
            <w:pPr>
              <w:keepNext/>
              <w:spacing w:before="100" w:after="0"/>
              <w:rPr>
                <w:rFonts w:asciiTheme="minorHAnsi" w:eastAsia="Times New Roman" w:hAnsiTheme="minorHAnsi"/>
                <w:b/>
                <w:sz w:val="24"/>
                <w:szCs w:val="24"/>
              </w:rPr>
            </w:pPr>
            <w:r>
              <w:rPr>
                <w:rFonts w:asciiTheme="minorHAnsi" w:hAnsiTheme="minorHAnsi"/>
                <w:b/>
                <w:sz w:val="24"/>
                <w:szCs w:val="24"/>
              </w:rPr>
              <w:t xml:space="preserve">state publications describing the application </w:t>
            </w:r>
            <w:proofErr w:type="gramStart"/>
            <w:r>
              <w:rPr>
                <w:rFonts w:asciiTheme="minorHAnsi" w:hAnsiTheme="minorHAnsi"/>
                <w:b/>
                <w:sz w:val="24"/>
                <w:szCs w:val="24"/>
              </w:rPr>
              <w:t>criteria?</w:t>
            </w:r>
            <w:proofErr w:type="gramEnd"/>
            <w:r>
              <w:rPr>
                <w:rFonts w:asciiTheme="minorHAnsi" w:hAnsiTheme="minorHAnsi"/>
                <w:b/>
                <w:sz w:val="24"/>
                <w:szCs w:val="24"/>
              </w:rPr>
              <w:t xml:space="preserve"> (CDBG only)</w:t>
            </w:r>
          </w:p>
        </w:tc>
        <w:tc>
          <w:tcPr>
            <w:tcW w:w="0" w:type="auto"/>
          </w:tcPr>
          <w:p w14:paraId="45C8EE4C" w14:textId="5682D35E" w:rsidR="003D336B" w:rsidRPr="006A2F63" w:rsidRDefault="003D336B" w:rsidP="003D336B">
            <w:pPr>
              <w:spacing w:before="100" w:after="0"/>
              <w:rPr>
                <w:color w:val="000000"/>
              </w:rPr>
            </w:pPr>
            <w:r w:rsidRPr="006A2F63">
              <w:rPr>
                <w:color w:val="000000"/>
              </w:rPr>
              <w:t>See Unique Appendices.</w:t>
            </w:r>
          </w:p>
        </w:tc>
      </w:tr>
      <w:tr w:rsidR="003D336B" w14:paraId="1EE09DBD" w14:textId="77777777" w:rsidTr="787E070B">
        <w:trPr>
          <w:cantSplit/>
        </w:trPr>
        <w:tc>
          <w:tcPr>
            <w:tcW w:w="0" w:type="auto"/>
            <w:vMerge/>
          </w:tcPr>
          <w:p w14:paraId="77116A93" w14:textId="77777777" w:rsidR="003D336B" w:rsidRDefault="003D336B" w:rsidP="003D336B"/>
        </w:tc>
        <w:tc>
          <w:tcPr>
            <w:tcW w:w="0" w:type="auto"/>
          </w:tcPr>
          <w:p w14:paraId="56D6A912" w14:textId="77777777" w:rsidR="003D336B" w:rsidRDefault="003D336B" w:rsidP="003D336B">
            <w:pPr>
              <w:keepNext/>
              <w:widowControl w:val="0"/>
              <w:spacing w:before="100" w:after="0"/>
              <w:rPr>
                <w:rFonts w:asciiTheme="minorHAnsi" w:hAnsiTheme="minorHAnsi"/>
                <w:b/>
                <w:sz w:val="24"/>
                <w:szCs w:val="24"/>
              </w:rPr>
            </w:pPr>
            <w:r>
              <w:rPr>
                <w:rFonts w:asciiTheme="minorHAnsi" w:hAnsiTheme="minorHAnsi"/>
                <w:b/>
                <w:sz w:val="24"/>
                <w:szCs w:val="24"/>
              </w:rPr>
              <w:t>Describe the process for awarding funds to state recipients and how the state will make its allocation available</w:t>
            </w:r>
          </w:p>
          <w:p w14:paraId="04210E61" w14:textId="77777777" w:rsidR="003D336B" w:rsidRDefault="003D336B" w:rsidP="003D336B">
            <w:pPr>
              <w:keepNext/>
              <w:widowControl w:val="0"/>
              <w:spacing w:before="100" w:after="0"/>
              <w:rPr>
                <w:rFonts w:asciiTheme="minorHAnsi" w:hAnsiTheme="minorHAnsi"/>
                <w:b/>
                <w:sz w:val="24"/>
                <w:szCs w:val="24"/>
              </w:rPr>
            </w:pPr>
            <w:r>
              <w:rPr>
                <w:rFonts w:asciiTheme="minorHAnsi" w:hAnsiTheme="minorHAnsi"/>
                <w:b/>
                <w:sz w:val="24"/>
                <w:szCs w:val="24"/>
              </w:rPr>
              <w:t>to units of general local government, and non-profit organizations, including community and faith-based</w:t>
            </w:r>
          </w:p>
          <w:p w14:paraId="723272C0" w14:textId="033155DD" w:rsidR="003D336B" w:rsidRDefault="003D336B" w:rsidP="003D336B">
            <w:pPr>
              <w:keepNext/>
              <w:spacing w:before="100" w:after="0"/>
              <w:rPr>
                <w:rFonts w:asciiTheme="minorHAnsi" w:eastAsia="Times New Roman" w:hAnsiTheme="minorHAnsi"/>
                <w:b/>
                <w:sz w:val="24"/>
                <w:szCs w:val="24"/>
              </w:rPr>
            </w:pPr>
            <w:r>
              <w:rPr>
                <w:rFonts w:asciiTheme="minorHAnsi" w:hAnsiTheme="minorHAnsi"/>
                <w:b/>
                <w:sz w:val="24"/>
                <w:szCs w:val="24"/>
              </w:rPr>
              <w:t>organizations. (ESG only)</w:t>
            </w:r>
          </w:p>
        </w:tc>
        <w:tc>
          <w:tcPr>
            <w:tcW w:w="0" w:type="auto"/>
          </w:tcPr>
          <w:p w14:paraId="14691894" w14:textId="73F3A5E5" w:rsidR="003D336B" w:rsidRPr="006A2F63" w:rsidRDefault="003D336B" w:rsidP="003D336B">
            <w:pPr>
              <w:spacing w:before="100" w:after="0"/>
              <w:rPr>
                <w:color w:val="000000"/>
              </w:rPr>
            </w:pPr>
            <w:r w:rsidRPr="006A2F63">
              <w:rPr>
                <w:color w:val="000000"/>
              </w:rPr>
              <w:t>See Unique Appendices.</w:t>
            </w:r>
          </w:p>
        </w:tc>
      </w:tr>
      <w:tr w:rsidR="003D336B" w14:paraId="565368E0" w14:textId="77777777" w:rsidTr="787E070B">
        <w:trPr>
          <w:cantSplit/>
        </w:trPr>
        <w:tc>
          <w:tcPr>
            <w:tcW w:w="0" w:type="auto"/>
            <w:vMerge/>
          </w:tcPr>
          <w:p w14:paraId="57CBD674" w14:textId="77777777" w:rsidR="003D336B" w:rsidRDefault="003D336B" w:rsidP="003D336B"/>
        </w:tc>
        <w:tc>
          <w:tcPr>
            <w:tcW w:w="0" w:type="auto"/>
          </w:tcPr>
          <w:p w14:paraId="16B7C2B9" w14:textId="77777777" w:rsidR="003D336B" w:rsidRDefault="003D336B" w:rsidP="003D336B">
            <w:pPr>
              <w:keepNext/>
              <w:widowControl w:val="0"/>
              <w:spacing w:before="100" w:after="0"/>
              <w:rPr>
                <w:rFonts w:asciiTheme="minorHAnsi" w:hAnsiTheme="minorHAnsi"/>
                <w:b/>
                <w:sz w:val="24"/>
                <w:szCs w:val="24"/>
              </w:rPr>
            </w:pPr>
            <w:r>
              <w:rPr>
                <w:rFonts w:asciiTheme="minorHAnsi" w:hAnsiTheme="minorHAnsi"/>
                <w:b/>
                <w:sz w:val="24"/>
                <w:szCs w:val="24"/>
              </w:rPr>
              <w:t>Identify the method of selecting project sponsors (including providing full access to grassroots faith-based and other</w:t>
            </w:r>
          </w:p>
          <w:p w14:paraId="41EF09CA" w14:textId="22B5F8F8" w:rsidR="003D336B" w:rsidRDefault="003D336B" w:rsidP="003D336B">
            <w:pPr>
              <w:keepNext/>
              <w:spacing w:before="100" w:after="0"/>
              <w:rPr>
                <w:rFonts w:asciiTheme="minorHAnsi" w:eastAsia="Times New Roman" w:hAnsiTheme="minorHAnsi"/>
                <w:b/>
                <w:sz w:val="24"/>
                <w:szCs w:val="24"/>
              </w:rPr>
            </w:pPr>
            <w:r>
              <w:rPr>
                <w:rFonts w:asciiTheme="minorHAnsi" w:hAnsiTheme="minorHAnsi"/>
                <w:b/>
                <w:sz w:val="24"/>
                <w:szCs w:val="24"/>
              </w:rPr>
              <w:t>community-based organizations). (HOPWA only)</w:t>
            </w:r>
          </w:p>
        </w:tc>
        <w:tc>
          <w:tcPr>
            <w:tcW w:w="0" w:type="auto"/>
          </w:tcPr>
          <w:p w14:paraId="0A576892" w14:textId="65303FD8" w:rsidR="003D336B" w:rsidRPr="006A2F63" w:rsidRDefault="003D336B" w:rsidP="003D336B">
            <w:pPr>
              <w:spacing w:before="100" w:after="0"/>
              <w:rPr>
                <w:color w:val="000000"/>
              </w:rPr>
            </w:pPr>
            <w:r w:rsidRPr="006A2F63">
              <w:rPr>
                <w:color w:val="000000"/>
              </w:rPr>
              <w:t xml:space="preserve"> N/A</w:t>
            </w:r>
          </w:p>
        </w:tc>
      </w:tr>
      <w:tr w:rsidR="003D336B" w14:paraId="6F6DF48B" w14:textId="77777777" w:rsidTr="787E070B">
        <w:trPr>
          <w:cantSplit/>
        </w:trPr>
        <w:tc>
          <w:tcPr>
            <w:tcW w:w="0" w:type="auto"/>
            <w:vMerge/>
          </w:tcPr>
          <w:p w14:paraId="1CC6C25A" w14:textId="77777777" w:rsidR="003D336B" w:rsidRDefault="003D336B" w:rsidP="003D336B"/>
        </w:tc>
        <w:tc>
          <w:tcPr>
            <w:tcW w:w="0" w:type="auto"/>
          </w:tcPr>
          <w:p w14:paraId="3A1D10B2" w14:textId="77777777" w:rsidR="003D336B" w:rsidRDefault="003D336B" w:rsidP="003D336B">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how resources will be allocated among funding categories. </w:t>
            </w:r>
          </w:p>
          <w:p w14:paraId="081644E6" w14:textId="77777777" w:rsidR="003D336B" w:rsidRDefault="003D336B" w:rsidP="003D336B">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101AAAC6" w14:textId="77777777" w:rsidR="003D336B" w:rsidRDefault="003D336B" w:rsidP="003D336B">
            <w:pPr>
              <w:keepNext/>
              <w:spacing w:before="100" w:after="0"/>
              <w:rPr>
                <w:rFonts w:asciiTheme="minorHAnsi" w:eastAsia="Times New Roman" w:hAnsiTheme="minorHAnsi"/>
                <w:b/>
                <w:sz w:val="24"/>
                <w:szCs w:val="24"/>
              </w:rPr>
            </w:pPr>
          </w:p>
        </w:tc>
        <w:tc>
          <w:tcPr>
            <w:tcW w:w="0" w:type="auto"/>
          </w:tcPr>
          <w:p w14:paraId="6A162A9F" w14:textId="070E32D7" w:rsidR="003D336B" w:rsidRPr="006A2F63" w:rsidRDefault="003D336B" w:rsidP="003D336B">
            <w:pPr>
              <w:spacing w:before="100" w:after="0"/>
              <w:rPr>
                <w:color w:val="000000"/>
              </w:rPr>
            </w:pPr>
            <w:r w:rsidRPr="006A2F63">
              <w:rPr>
                <w:color w:val="000000"/>
              </w:rPr>
              <w:t>See Unique Appendices.</w:t>
            </w:r>
          </w:p>
        </w:tc>
      </w:tr>
      <w:tr w:rsidR="003D336B" w14:paraId="2A3659DB" w14:textId="77777777" w:rsidTr="787E070B">
        <w:trPr>
          <w:cantSplit/>
        </w:trPr>
        <w:tc>
          <w:tcPr>
            <w:tcW w:w="0" w:type="auto"/>
            <w:vMerge/>
          </w:tcPr>
          <w:p w14:paraId="3A3367C7" w14:textId="77777777" w:rsidR="003D336B" w:rsidRDefault="003D336B" w:rsidP="003D336B"/>
        </w:tc>
        <w:tc>
          <w:tcPr>
            <w:tcW w:w="0" w:type="auto"/>
          </w:tcPr>
          <w:p w14:paraId="595DE2ED" w14:textId="77777777" w:rsidR="003D336B" w:rsidRDefault="003D336B" w:rsidP="003D336B">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Describe threshold factors and grant size limits. </w:t>
            </w:r>
          </w:p>
          <w:p w14:paraId="01D780DB" w14:textId="77777777" w:rsidR="003D336B" w:rsidRDefault="003D336B" w:rsidP="003D336B">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61211E79" w14:textId="77777777" w:rsidR="003D336B" w:rsidRDefault="003D336B" w:rsidP="003D336B">
            <w:pPr>
              <w:keepNext/>
              <w:spacing w:before="100" w:after="0"/>
              <w:rPr>
                <w:rFonts w:asciiTheme="minorHAnsi" w:eastAsia="Times New Roman" w:hAnsiTheme="minorHAnsi"/>
                <w:b/>
                <w:sz w:val="24"/>
                <w:szCs w:val="24"/>
              </w:rPr>
            </w:pPr>
          </w:p>
        </w:tc>
        <w:tc>
          <w:tcPr>
            <w:tcW w:w="0" w:type="auto"/>
          </w:tcPr>
          <w:p w14:paraId="4E9AF859" w14:textId="46C10EC3" w:rsidR="003D336B" w:rsidRPr="006A2F63" w:rsidRDefault="003D336B" w:rsidP="003D336B">
            <w:pPr>
              <w:spacing w:before="100" w:after="0"/>
              <w:rPr>
                <w:color w:val="000000"/>
              </w:rPr>
            </w:pPr>
            <w:r w:rsidRPr="006A2F63">
              <w:rPr>
                <w:color w:val="000000"/>
              </w:rPr>
              <w:t>See Unique Appendices.</w:t>
            </w:r>
          </w:p>
        </w:tc>
      </w:tr>
      <w:tr w:rsidR="003D336B" w14:paraId="5CED9551" w14:textId="77777777" w:rsidTr="787E070B">
        <w:trPr>
          <w:cantSplit/>
        </w:trPr>
        <w:tc>
          <w:tcPr>
            <w:tcW w:w="0" w:type="auto"/>
            <w:vMerge/>
          </w:tcPr>
          <w:p w14:paraId="457590C8" w14:textId="77777777" w:rsidR="003D336B" w:rsidRDefault="003D336B" w:rsidP="003D336B"/>
        </w:tc>
        <w:tc>
          <w:tcPr>
            <w:tcW w:w="0" w:type="auto"/>
          </w:tcPr>
          <w:p w14:paraId="43771478" w14:textId="77777777" w:rsidR="003D336B" w:rsidRDefault="003D336B" w:rsidP="003D336B">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 xml:space="preserve">What are the outcome measures expected </w:t>
            </w:r>
            <w:proofErr w:type="gramStart"/>
            <w:r>
              <w:rPr>
                <w:rFonts w:asciiTheme="minorHAnsi" w:eastAsia="Times New Roman" w:hAnsiTheme="minorHAnsi"/>
                <w:b/>
                <w:sz w:val="24"/>
                <w:szCs w:val="24"/>
              </w:rPr>
              <w:t>as a result of</w:t>
            </w:r>
            <w:proofErr w:type="gramEnd"/>
            <w:r>
              <w:rPr>
                <w:rFonts w:asciiTheme="minorHAnsi" w:eastAsia="Times New Roman" w:hAnsiTheme="minorHAnsi"/>
                <w:b/>
                <w:sz w:val="24"/>
                <w:szCs w:val="24"/>
              </w:rPr>
              <w:t xml:space="preserve"> the method of distribution? </w:t>
            </w:r>
          </w:p>
          <w:p w14:paraId="4A59214D" w14:textId="77777777" w:rsidR="003D336B" w:rsidRDefault="003D336B" w:rsidP="003D336B">
            <w:pPr>
              <w:keepNext/>
              <w:spacing w:before="100" w:after="0"/>
              <w:rPr>
                <w:rFonts w:asciiTheme="minorHAnsi" w:eastAsia="Times New Roman" w:hAnsiTheme="minorHAnsi"/>
                <w:b/>
                <w:sz w:val="24"/>
                <w:szCs w:val="24"/>
              </w:rPr>
            </w:pP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r>
              <w:rPr>
                <w:rFonts w:asciiTheme="minorHAnsi" w:eastAsia="Times New Roman" w:hAnsiTheme="minorHAnsi"/>
                <w:b/>
                <w:sz w:val="24"/>
                <w:szCs w:val="24"/>
              </w:rPr>
              <w:tab/>
            </w:r>
          </w:p>
          <w:p w14:paraId="585F726B" w14:textId="77777777" w:rsidR="003D336B" w:rsidRDefault="003D336B" w:rsidP="003D336B">
            <w:pPr>
              <w:keepNext/>
              <w:spacing w:before="100" w:after="0"/>
              <w:rPr>
                <w:rFonts w:asciiTheme="minorHAnsi" w:eastAsia="Times New Roman" w:hAnsiTheme="minorHAnsi"/>
                <w:b/>
                <w:sz w:val="24"/>
                <w:szCs w:val="24"/>
              </w:rPr>
            </w:pPr>
          </w:p>
          <w:p w14:paraId="4A401BD4" w14:textId="77777777" w:rsidR="003D336B" w:rsidRDefault="003D336B" w:rsidP="003D336B">
            <w:pPr>
              <w:keepNext/>
              <w:spacing w:before="100" w:after="0"/>
              <w:rPr>
                <w:rFonts w:asciiTheme="minorHAnsi" w:eastAsia="Times New Roman" w:hAnsiTheme="minorHAnsi"/>
                <w:b/>
                <w:sz w:val="24"/>
                <w:szCs w:val="24"/>
              </w:rPr>
            </w:pPr>
          </w:p>
        </w:tc>
        <w:tc>
          <w:tcPr>
            <w:tcW w:w="0" w:type="auto"/>
          </w:tcPr>
          <w:p w14:paraId="18785F52" w14:textId="77603291" w:rsidR="003D336B" w:rsidRPr="006A2F63" w:rsidRDefault="003D336B" w:rsidP="003D336B">
            <w:pPr>
              <w:spacing w:before="100" w:after="0"/>
              <w:rPr>
                <w:color w:val="000000"/>
              </w:rPr>
            </w:pPr>
            <w:r w:rsidRPr="006A2F63">
              <w:rPr>
                <w:color w:val="000000"/>
              </w:rPr>
              <w:t>See Unique Appendices.</w:t>
            </w:r>
          </w:p>
        </w:tc>
      </w:tr>
    </w:tbl>
    <w:p w14:paraId="49C6BF61" w14:textId="77777777" w:rsidR="009A2C2E" w:rsidRDefault="009A2C2E" w:rsidP="009A2C2E">
      <w:pPr>
        <w:spacing w:after="0" w:line="240" w:lineRule="auto"/>
        <w:rPr>
          <w:rFonts w:asciiTheme="minorHAnsi" w:hAnsiTheme="minorHAnsi"/>
          <w:b/>
          <w:sz w:val="24"/>
          <w:szCs w:val="24"/>
        </w:rPr>
        <w:sectPr w:rsidR="009A2C2E" w:rsidSect="009A2C2E">
          <w:pgSz w:w="15840" w:h="12240" w:orient="landscape" w:code="1"/>
          <w:pgMar w:top="1440" w:right="1440" w:bottom="1440" w:left="1440" w:header="720" w:footer="720" w:gutter="0"/>
          <w:cols w:space="720"/>
          <w:docGrid w:linePitch="360"/>
        </w:sectPr>
      </w:pPr>
    </w:p>
    <w:p w14:paraId="68A8D3C9" w14:textId="77777777" w:rsidR="009A2C2E" w:rsidRDefault="009A2C2E" w:rsidP="009A2C2E">
      <w:pPr>
        <w:spacing w:after="0" w:line="240" w:lineRule="auto"/>
        <w:rPr>
          <w:b/>
          <w:sz w:val="24"/>
          <w:szCs w:val="24"/>
        </w:rPr>
      </w:pPr>
    </w:p>
    <w:p w14:paraId="2FD1C746" w14:textId="77777777" w:rsidR="009A2C2E" w:rsidRDefault="009A2C2E" w:rsidP="009A2C2E">
      <w:pPr>
        <w:keepNext/>
        <w:widowControl w:val="0"/>
        <w:spacing w:line="204" w:lineRule="auto"/>
        <w:rPr>
          <w:b/>
          <w:sz w:val="24"/>
          <w:szCs w:val="24"/>
        </w:rPr>
      </w:pPr>
      <w:r>
        <w:rPr>
          <w:b/>
          <w:sz w:val="24"/>
          <w:szCs w:val="24"/>
        </w:rPr>
        <w:t xml:space="preserve">Discussion: </w:t>
      </w:r>
    </w:p>
    <w:p w14:paraId="1DD68892" w14:textId="6A4804F9" w:rsidR="009A2C2E" w:rsidRDefault="006A2F63" w:rsidP="009A2C2E">
      <w:pPr>
        <w:keepNext/>
        <w:widowControl w:val="0"/>
        <w:spacing w:beforeAutospacing="1" w:afterAutospacing="1"/>
        <w:rPr>
          <w:b/>
          <w:sz w:val="24"/>
          <w:szCs w:val="24"/>
        </w:rPr>
      </w:pPr>
      <w:r>
        <w:rPr>
          <w:rFonts w:cs="Arial"/>
        </w:rPr>
        <w:t xml:space="preserve">None. </w:t>
      </w:r>
    </w:p>
    <w:p w14:paraId="4A420F19" w14:textId="77777777" w:rsidR="009A2C2E" w:rsidRDefault="009A2C2E" w:rsidP="009A2C2E">
      <w:pPr>
        <w:pStyle w:val="Heading2"/>
        <w:jc w:val="center"/>
        <w:rPr>
          <w:rFonts w:ascii="Calibri" w:hAnsi="Calibri"/>
          <w:i/>
        </w:rPr>
        <w:sectPr w:rsidR="009A2C2E" w:rsidSect="009A2C2E">
          <w:pgSz w:w="12240" w:h="15840" w:code="1"/>
          <w:pgMar w:top="1440" w:right="1440" w:bottom="1440" w:left="1440" w:header="720" w:footer="720" w:gutter="0"/>
          <w:cols w:space="720"/>
          <w:docGrid w:linePitch="360"/>
        </w:sectPr>
      </w:pPr>
    </w:p>
    <w:p w14:paraId="634A058D" w14:textId="77777777" w:rsidR="009A2C2E" w:rsidRDefault="009A2C2E" w:rsidP="009A2C2E">
      <w:pPr>
        <w:pStyle w:val="Heading2"/>
        <w:pageBreakBefore/>
        <w:rPr>
          <w:rFonts w:ascii="Calibri" w:hAnsi="Calibri"/>
          <w:i/>
        </w:rPr>
      </w:pPr>
      <w:bookmarkStart w:id="119" w:name="_Toc191358753"/>
      <w:bookmarkStart w:id="120" w:name="_Toc194673877"/>
      <w:bookmarkStart w:id="121" w:name="_Toc309810475"/>
      <w:r>
        <w:rPr>
          <w:rFonts w:ascii="Calibri" w:hAnsi="Calibri"/>
        </w:rPr>
        <w:lastRenderedPageBreak/>
        <w:t>AP-35 Projects – (Optional)</w:t>
      </w:r>
      <w:bookmarkEnd w:id="119"/>
      <w:bookmarkEnd w:id="120"/>
    </w:p>
    <w:p w14:paraId="29C3D967" w14:textId="6A5F1332" w:rsidR="009A2C2E" w:rsidRDefault="009A2C2E" w:rsidP="009A2C2E">
      <w:pPr>
        <w:keepNext/>
        <w:widowControl w:val="0"/>
        <w:spacing w:line="204" w:lineRule="auto"/>
        <w:rPr>
          <w:b/>
          <w:sz w:val="24"/>
          <w:szCs w:val="24"/>
        </w:rPr>
      </w:pPr>
      <w:r>
        <w:rPr>
          <w:b/>
          <w:sz w:val="24"/>
          <w:szCs w:val="24"/>
        </w:rPr>
        <w:t xml:space="preserve">Introduction: </w:t>
      </w:r>
    </w:p>
    <w:p w14:paraId="6084C302" w14:textId="5E5022F7" w:rsidR="00E46B10" w:rsidRPr="0017433B" w:rsidRDefault="00E46B10" w:rsidP="00E46B10">
      <w:pPr>
        <w:spacing w:before="100" w:beforeAutospacing="1" w:after="100" w:afterAutospacing="1"/>
        <w:jc w:val="both"/>
        <w:rPr>
          <w:rFonts w:cs="Calibri"/>
          <w:sz w:val="24"/>
          <w:szCs w:val="24"/>
        </w:rPr>
      </w:pPr>
      <w:r w:rsidRPr="0017433B">
        <w:rPr>
          <w:rFonts w:cs="Calibri"/>
          <w:sz w:val="24"/>
          <w:szCs w:val="24"/>
        </w:rPr>
        <w:t xml:space="preserve">The </w:t>
      </w:r>
      <w:r>
        <w:rPr>
          <w:rFonts w:cs="Calibri"/>
          <w:sz w:val="24"/>
          <w:szCs w:val="24"/>
        </w:rPr>
        <w:t xml:space="preserve">projects </w:t>
      </w:r>
      <w:r w:rsidRPr="0017433B">
        <w:rPr>
          <w:rFonts w:cs="Calibri"/>
          <w:sz w:val="24"/>
          <w:szCs w:val="24"/>
        </w:rPr>
        <w:t xml:space="preserve">below outline </w:t>
      </w:r>
      <w:r>
        <w:rPr>
          <w:rFonts w:cs="Calibri"/>
          <w:sz w:val="24"/>
          <w:szCs w:val="24"/>
        </w:rPr>
        <w:t xml:space="preserve">the program funds </w:t>
      </w:r>
      <w:r w:rsidRPr="0017433B">
        <w:rPr>
          <w:rFonts w:cs="Calibri"/>
          <w:sz w:val="24"/>
          <w:szCs w:val="24"/>
        </w:rPr>
        <w:t xml:space="preserve">expected </w:t>
      </w:r>
      <w:r>
        <w:rPr>
          <w:rFonts w:cs="Calibri"/>
          <w:sz w:val="24"/>
          <w:szCs w:val="24"/>
        </w:rPr>
        <w:t xml:space="preserve">to be </w:t>
      </w:r>
      <w:r w:rsidRPr="0017433B">
        <w:rPr>
          <w:rFonts w:cs="Calibri"/>
          <w:sz w:val="24"/>
          <w:szCs w:val="24"/>
        </w:rPr>
        <w:t xml:space="preserve">available in </w:t>
      </w:r>
      <w:r>
        <w:rPr>
          <w:rFonts w:cs="Calibri"/>
          <w:sz w:val="24"/>
          <w:szCs w:val="24"/>
        </w:rPr>
        <w:t xml:space="preserve">the 2025 program year </w:t>
      </w:r>
      <w:r w:rsidRPr="0017433B">
        <w:rPr>
          <w:rFonts w:cs="Calibri"/>
          <w:sz w:val="24"/>
          <w:szCs w:val="24"/>
        </w:rPr>
        <w:t>Estimates are based on 2024 allocation amounts. If the total grant</w:t>
      </w:r>
      <w:r>
        <w:rPr>
          <w:rFonts w:cs="Calibri"/>
          <w:sz w:val="24"/>
          <w:szCs w:val="24"/>
        </w:rPr>
        <w:t>s</w:t>
      </w:r>
      <w:r w:rsidRPr="0017433B">
        <w:rPr>
          <w:rFonts w:cs="Calibri"/>
          <w:sz w:val="24"/>
          <w:szCs w:val="24"/>
        </w:rPr>
        <w:t xml:space="preserve"> received by the State </w:t>
      </w:r>
      <w:r>
        <w:rPr>
          <w:rFonts w:cs="Calibri"/>
          <w:sz w:val="24"/>
          <w:szCs w:val="24"/>
        </w:rPr>
        <w:t xml:space="preserve">for 2025 are </w:t>
      </w:r>
      <w:r w:rsidRPr="0017433B">
        <w:rPr>
          <w:rFonts w:cs="Calibri"/>
          <w:sz w:val="24"/>
          <w:szCs w:val="24"/>
        </w:rPr>
        <w:t xml:space="preserve">lower or higher than the funds allocated to </w:t>
      </w:r>
      <w:r>
        <w:rPr>
          <w:rFonts w:cs="Calibri"/>
          <w:sz w:val="24"/>
          <w:szCs w:val="24"/>
        </w:rPr>
        <w:t>the projects below</w:t>
      </w:r>
      <w:r w:rsidRPr="0017433B">
        <w:rPr>
          <w:rFonts w:cs="Calibri"/>
          <w:sz w:val="24"/>
          <w:szCs w:val="24"/>
        </w:rPr>
        <w:t xml:space="preserve">, then each </w:t>
      </w:r>
      <w:r>
        <w:rPr>
          <w:rFonts w:cs="Calibri"/>
          <w:sz w:val="24"/>
          <w:szCs w:val="24"/>
        </w:rPr>
        <w:t xml:space="preserve">project </w:t>
      </w:r>
      <w:r w:rsidRPr="0017433B">
        <w:rPr>
          <w:rFonts w:cs="Calibri"/>
          <w:sz w:val="24"/>
          <w:szCs w:val="24"/>
        </w:rPr>
        <w:t xml:space="preserve">amount will be reduced or increased in the same proportion as the percentage difference between the estimated total grant </w:t>
      </w:r>
      <w:r>
        <w:rPr>
          <w:rFonts w:cs="Calibri"/>
          <w:sz w:val="24"/>
          <w:szCs w:val="24"/>
        </w:rPr>
        <w:t xml:space="preserve">set out in AP-15 </w:t>
      </w:r>
      <w:r w:rsidRPr="0017433B">
        <w:rPr>
          <w:rFonts w:cs="Calibri"/>
          <w:sz w:val="24"/>
          <w:szCs w:val="24"/>
        </w:rPr>
        <w:t>and the actual total grant.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6988"/>
      </w:tblGrid>
      <w:tr w:rsidR="009A2C2E" w14:paraId="261E1798" w14:textId="77777777" w:rsidTr="00E53512">
        <w:trPr>
          <w:cantSplit/>
          <w:tblHeader/>
        </w:trPr>
        <w:tc>
          <w:tcPr>
            <w:tcW w:w="0" w:type="auto"/>
          </w:tcPr>
          <w:p w14:paraId="6B1D35F9" w14:textId="77777777" w:rsidR="009A2C2E" w:rsidRDefault="009A2C2E" w:rsidP="00E53512">
            <w:pPr>
              <w:keepNext/>
              <w:widowControl w:val="0"/>
              <w:spacing w:after="0" w:line="240" w:lineRule="auto"/>
              <w:jc w:val="center"/>
              <w:rPr>
                <w:b/>
              </w:rPr>
            </w:pPr>
            <w:r>
              <w:rPr>
                <w:b/>
              </w:rPr>
              <w:t>#</w:t>
            </w:r>
          </w:p>
        </w:tc>
        <w:tc>
          <w:tcPr>
            <w:tcW w:w="0" w:type="auto"/>
          </w:tcPr>
          <w:p w14:paraId="5AAC7C01" w14:textId="77777777" w:rsidR="009A2C2E" w:rsidRDefault="009A2C2E" w:rsidP="00E53512">
            <w:pPr>
              <w:keepNext/>
              <w:widowControl w:val="0"/>
              <w:spacing w:after="0" w:line="240" w:lineRule="auto"/>
              <w:jc w:val="center"/>
              <w:rPr>
                <w:b/>
                <w:szCs w:val="24"/>
              </w:rPr>
            </w:pPr>
            <w:r>
              <w:rPr>
                <w:b/>
              </w:rPr>
              <w:t>Project Name</w:t>
            </w:r>
          </w:p>
        </w:tc>
      </w:tr>
      <w:tr w:rsidR="009A2C2E" w14:paraId="0277B784" w14:textId="77777777" w:rsidTr="00E53512">
        <w:trPr>
          <w:cantSplit/>
        </w:trPr>
        <w:tc>
          <w:tcPr>
            <w:tcW w:w="0" w:type="auto"/>
            <w:vAlign w:val="bottom"/>
          </w:tcPr>
          <w:p w14:paraId="6B7BE4E7" w14:textId="77777777" w:rsidR="009A2C2E" w:rsidRDefault="009A2C2E" w:rsidP="00E53512">
            <w:pPr>
              <w:spacing w:beforeAutospacing="1" w:afterAutospacing="1"/>
              <w:jc w:val="right"/>
            </w:pPr>
            <w:r>
              <w:rPr>
                <w:color w:val="000000"/>
              </w:rPr>
              <w:t>1</w:t>
            </w:r>
          </w:p>
        </w:tc>
        <w:tc>
          <w:tcPr>
            <w:tcW w:w="0" w:type="auto"/>
            <w:vAlign w:val="bottom"/>
          </w:tcPr>
          <w:p w14:paraId="0B096516" w14:textId="77777777" w:rsidR="009A2C2E" w:rsidRDefault="009A2C2E" w:rsidP="00E53512">
            <w:pPr>
              <w:spacing w:beforeAutospacing="1" w:afterAutospacing="1"/>
            </w:pPr>
            <w:r>
              <w:rPr>
                <w:color w:val="000000"/>
              </w:rPr>
              <w:t>CDBG-Public Facilities/Infrastructure-Compliance</w:t>
            </w:r>
          </w:p>
        </w:tc>
      </w:tr>
      <w:tr w:rsidR="009A2C2E" w14:paraId="2D4EF802" w14:textId="77777777" w:rsidTr="00E53512">
        <w:trPr>
          <w:cantSplit/>
        </w:trPr>
        <w:tc>
          <w:tcPr>
            <w:tcW w:w="0" w:type="auto"/>
            <w:vAlign w:val="bottom"/>
          </w:tcPr>
          <w:p w14:paraId="45C7F11C" w14:textId="77777777" w:rsidR="009A2C2E" w:rsidRDefault="009A2C2E" w:rsidP="00E53512">
            <w:pPr>
              <w:spacing w:beforeAutospacing="1" w:afterAutospacing="1"/>
              <w:jc w:val="right"/>
            </w:pPr>
            <w:r>
              <w:rPr>
                <w:color w:val="000000"/>
              </w:rPr>
              <w:t>2</w:t>
            </w:r>
          </w:p>
        </w:tc>
        <w:tc>
          <w:tcPr>
            <w:tcW w:w="0" w:type="auto"/>
            <w:vAlign w:val="bottom"/>
          </w:tcPr>
          <w:p w14:paraId="227994D2" w14:textId="77777777" w:rsidR="009A2C2E" w:rsidRDefault="009A2C2E" w:rsidP="00E53512">
            <w:pPr>
              <w:spacing w:beforeAutospacing="1" w:afterAutospacing="1"/>
            </w:pPr>
            <w:r>
              <w:rPr>
                <w:color w:val="000000"/>
              </w:rPr>
              <w:t>CDBG-Public Facilities/Infrastructure-Rehabilitation</w:t>
            </w:r>
          </w:p>
        </w:tc>
      </w:tr>
      <w:tr w:rsidR="009A2C2E" w14:paraId="1D5F80BC" w14:textId="77777777" w:rsidTr="00E53512">
        <w:trPr>
          <w:cantSplit/>
        </w:trPr>
        <w:tc>
          <w:tcPr>
            <w:tcW w:w="0" w:type="auto"/>
            <w:vAlign w:val="bottom"/>
          </w:tcPr>
          <w:p w14:paraId="498D35A6" w14:textId="77777777" w:rsidR="009A2C2E" w:rsidRDefault="009A2C2E" w:rsidP="00E53512">
            <w:pPr>
              <w:spacing w:beforeAutospacing="1" w:afterAutospacing="1"/>
              <w:jc w:val="right"/>
            </w:pPr>
            <w:r>
              <w:rPr>
                <w:color w:val="000000"/>
              </w:rPr>
              <w:t>3</w:t>
            </w:r>
          </w:p>
        </w:tc>
        <w:tc>
          <w:tcPr>
            <w:tcW w:w="0" w:type="auto"/>
            <w:vAlign w:val="bottom"/>
          </w:tcPr>
          <w:p w14:paraId="495001BD" w14:textId="0F2610B0" w:rsidR="009A2C2E" w:rsidRDefault="00C84914" w:rsidP="00E53512">
            <w:pPr>
              <w:spacing w:beforeAutospacing="1" w:afterAutospacing="1"/>
            </w:pPr>
            <w:r w:rsidRPr="00C84914">
              <w:rPr>
                <w:color w:val="000000"/>
              </w:rPr>
              <w:t>CDBG-Public Facilities/Infrastructure/Service-New Construction or Purchase</w:t>
            </w:r>
          </w:p>
        </w:tc>
      </w:tr>
      <w:tr w:rsidR="009A2C2E" w14:paraId="5F164360" w14:textId="77777777" w:rsidTr="00E53512">
        <w:trPr>
          <w:cantSplit/>
        </w:trPr>
        <w:tc>
          <w:tcPr>
            <w:tcW w:w="0" w:type="auto"/>
            <w:vAlign w:val="bottom"/>
          </w:tcPr>
          <w:p w14:paraId="73DA744D" w14:textId="77777777" w:rsidR="009A2C2E" w:rsidRDefault="009A2C2E" w:rsidP="00E53512">
            <w:pPr>
              <w:spacing w:beforeAutospacing="1" w:afterAutospacing="1"/>
              <w:jc w:val="right"/>
            </w:pPr>
            <w:r>
              <w:rPr>
                <w:color w:val="000000"/>
              </w:rPr>
              <w:t>4</w:t>
            </w:r>
          </w:p>
        </w:tc>
        <w:tc>
          <w:tcPr>
            <w:tcW w:w="0" w:type="auto"/>
            <w:vAlign w:val="bottom"/>
          </w:tcPr>
          <w:p w14:paraId="1EAC9D2B" w14:textId="77777777" w:rsidR="009A2C2E" w:rsidRDefault="009A2C2E" w:rsidP="00E53512">
            <w:pPr>
              <w:spacing w:beforeAutospacing="1" w:afterAutospacing="1"/>
            </w:pPr>
            <w:r>
              <w:rPr>
                <w:color w:val="000000"/>
              </w:rPr>
              <w:t>CDBG-Economic Development-Job Creation</w:t>
            </w:r>
          </w:p>
        </w:tc>
      </w:tr>
      <w:tr w:rsidR="009A2C2E" w14:paraId="58E3A3BF" w14:textId="77777777" w:rsidTr="00E53512">
        <w:trPr>
          <w:cantSplit/>
        </w:trPr>
        <w:tc>
          <w:tcPr>
            <w:tcW w:w="0" w:type="auto"/>
            <w:vAlign w:val="bottom"/>
          </w:tcPr>
          <w:p w14:paraId="7423A206" w14:textId="77777777" w:rsidR="009A2C2E" w:rsidRDefault="009A2C2E" w:rsidP="00E53512">
            <w:pPr>
              <w:spacing w:beforeAutospacing="1" w:afterAutospacing="1"/>
              <w:jc w:val="right"/>
            </w:pPr>
            <w:r>
              <w:rPr>
                <w:color w:val="000000"/>
              </w:rPr>
              <w:t>5</w:t>
            </w:r>
          </w:p>
        </w:tc>
        <w:tc>
          <w:tcPr>
            <w:tcW w:w="0" w:type="auto"/>
            <w:vAlign w:val="bottom"/>
          </w:tcPr>
          <w:p w14:paraId="160BAC74" w14:textId="77777777" w:rsidR="009A2C2E" w:rsidRDefault="009A2C2E" w:rsidP="00E53512">
            <w:pPr>
              <w:spacing w:beforeAutospacing="1" w:afterAutospacing="1"/>
            </w:pPr>
            <w:r>
              <w:rPr>
                <w:color w:val="000000"/>
              </w:rPr>
              <w:t>CDBG-Economic Development-Downtown Revitalization</w:t>
            </w:r>
          </w:p>
        </w:tc>
      </w:tr>
      <w:tr w:rsidR="009A2C2E" w14:paraId="67C054C1" w14:textId="77777777" w:rsidTr="00E53512">
        <w:trPr>
          <w:cantSplit/>
        </w:trPr>
        <w:tc>
          <w:tcPr>
            <w:tcW w:w="0" w:type="auto"/>
            <w:vAlign w:val="bottom"/>
          </w:tcPr>
          <w:p w14:paraId="300DCCC6" w14:textId="77777777" w:rsidR="009A2C2E" w:rsidRDefault="009A2C2E" w:rsidP="00E53512">
            <w:pPr>
              <w:spacing w:beforeAutospacing="1" w:afterAutospacing="1"/>
              <w:jc w:val="right"/>
            </w:pPr>
            <w:r>
              <w:rPr>
                <w:color w:val="000000"/>
              </w:rPr>
              <w:t>6</w:t>
            </w:r>
          </w:p>
        </w:tc>
        <w:tc>
          <w:tcPr>
            <w:tcW w:w="0" w:type="auto"/>
            <w:vAlign w:val="bottom"/>
          </w:tcPr>
          <w:p w14:paraId="1C75A179" w14:textId="77777777" w:rsidR="009A2C2E" w:rsidRDefault="009A2C2E" w:rsidP="00E53512">
            <w:pPr>
              <w:spacing w:beforeAutospacing="1" w:afterAutospacing="1"/>
            </w:pPr>
            <w:r>
              <w:rPr>
                <w:color w:val="000000"/>
              </w:rPr>
              <w:t>CDBG State Administration</w:t>
            </w:r>
          </w:p>
        </w:tc>
      </w:tr>
      <w:tr w:rsidR="009A2C2E" w14:paraId="2910460E" w14:textId="77777777" w:rsidTr="00E53512">
        <w:trPr>
          <w:cantSplit/>
        </w:trPr>
        <w:tc>
          <w:tcPr>
            <w:tcW w:w="0" w:type="auto"/>
            <w:vAlign w:val="bottom"/>
          </w:tcPr>
          <w:p w14:paraId="588059FC" w14:textId="77777777" w:rsidR="009A2C2E" w:rsidRDefault="009A2C2E" w:rsidP="00E53512">
            <w:pPr>
              <w:spacing w:beforeAutospacing="1" w:afterAutospacing="1"/>
              <w:jc w:val="right"/>
            </w:pPr>
            <w:r>
              <w:rPr>
                <w:color w:val="000000"/>
              </w:rPr>
              <w:t>7</w:t>
            </w:r>
          </w:p>
        </w:tc>
        <w:tc>
          <w:tcPr>
            <w:tcW w:w="0" w:type="auto"/>
            <w:vAlign w:val="bottom"/>
          </w:tcPr>
          <w:p w14:paraId="4F090BA3" w14:textId="77777777" w:rsidR="009A2C2E" w:rsidRDefault="009A2C2E" w:rsidP="00E53512">
            <w:pPr>
              <w:spacing w:beforeAutospacing="1" w:afterAutospacing="1"/>
            </w:pPr>
            <w:r>
              <w:rPr>
                <w:color w:val="000000"/>
              </w:rPr>
              <w:t>CDBG-Technical Assistance</w:t>
            </w:r>
          </w:p>
        </w:tc>
      </w:tr>
      <w:tr w:rsidR="009A2C2E" w14:paraId="3FC389F3" w14:textId="77777777" w:rsidTr="00E53512">
        <w:trPr>
          <w:cantSplit/>
        </w:trPr>
        <w:tc>
          <w:tcPr>
            <w:tcW w:w="0" w:type="auto"/>
            <w:vAlign w:val="bottom"/>
          </w:tcPr>
          <w:p w14:paraId="705C58C1" w14:textId="77777777" w:rsidR="009A2C2E" w:rsidRDefault="009A2C2E" w:rsidP="00E53512">
            <w:pPr>
              <w:spacing w:beforeAutospacing="1" w:afterAutospacing="1"/>
              <w:jc w:val="right"/>
            </w:pPr>
            <w:r>
              <w:rPr>
                <w:color w:val="000000"/>
              </w:rPr>
              <w:t>8</w:t>
            </w:r>
          </w:p>
        </w:tc>
        <w:tc>
          <w:tcPr>
            <w:tcW w:w="0" w:type="auto"/>
            <w:vAlign w:val="bottom"/>
          </w:tcPr>
          <w:p w14:paraId="21C5E3DE" w14:textId="77777777" w:rsidR="009A2C2E" w:rsidRDefault="009A2C2E" w:rsidP="00E53512">
            <w:pPr>
              <w:spacing w:beforeAutospacing="1" w:afterAutospacing="1"/>
            </w:pPr>
            <w:r>
              <w:rPr>
                <w:color w:val="000000"/>
              </w:rPr>
              <w:t>State of Idaho ESG</w:t>
            </w:r>
          </w:p>
        </w:tc>
      </w:tr>
      <w:tr w:rsidR="009A2C2E" w14:paraId="77E78FD0" w14:textId="77777777" w:rsidTr="00E53512">
        <w:trPr>
          <w:cantSplit/>
        </w:trPr>
        <w:tc>
          <w:tcPr>
            <w:tcW w:w="0" w:type="auto"/>
            <w:vAlign w:val="bottom"/>
          </w:tcPr>
          <w:p w14:paraId="4B9001FF" w14:textId="77777777" w:rsidR="009A2C2E" w:rsidRDefault="009A2C2E" w:rsidP="00E53512">
            <w:pPr>
              <w:spacing w:beforeAutospacing="1" w:afterAutospacing="1"/>
              <w:jc w:val="right"/>
            </w:pPr>
            <w:r>
              <w:rPr>
                <w:color w:val="000000"/>
              </w:rPr>
              <w:t>9</w:t>
            </w:r>
          </w:p>
        </w:tc>
        <w:tc>
          <w:tcPr>
            <w:tcW w:w="0" w:type="auto"/>
            <w:vAlign w:val="bottom"/>
          </w:tcPr>
          <w:p w14:paraId="6EA981DB" w14:textId="02E5FCC9" w:rsidR="009A2C2E" w:rsidRDefault="009A2C2E" w:rsidP="00E53512">
            <w:pPr>
              <w:spacing w:beforeAutospacing="1" w:afterAutospacing="1"/>
            </w:pPr>
            <w:r>
              <w:rPr>
                <w:color w:val="000000"/>
              </w:rPr>
              <w:t>202</w:t>
            </w:r>
            <w:r w:rsidR="003D336B">
              <w:rPr>
                <w:color w:val="000000"/>
              </w:rPr>
              <w:t>5</w:t>
            </w:r>
            <w:r>
              <w:rPr>
                <w:color w:val="000000"/>
              </w:rPr>
              <w:t xml:space="preserve"> HOME Administration</w:t>
            </w:r>
          </w:p>
        </w:tc>
      </w:tr>
      <w:tr w:rsidR="009A2C2E" w14:paraId="67674D51" w14:textId="77777777" w:rsidTr="00E53512">
        <w:trPr>
          <w:cantSplit/>
        </w:trPr>
        <w:tc>
          <w:tcPr>
            <w:tcW w:w="0" w:type="auto"/>
            <w:vAlign w:val="bottom"/>
          </w:tcPr>
          <w:p w14:paraId="09851614" w14:textId="77777777" w:rsidR="009A2C2E" w:rsidRDefault="009A2C2E" w:rsidP="00E53512">
            <w:pPr>
              <w:spacing w:beforeAutospacing="1" w:afterAutospacing="1"/>
              <w:jc w:val="right"/>
            </w:pPr>
            <w:r>
              <w:rPr>
                <w:color w:val="000000"/>
              </w:rPr>
              <w:t>10</w:t>
            </w:r>
          </w:p>
        </w:tc>
        <w:tc>
          <w:tcPr>
            <w:tcW w:w="0" w:type="auto"/>
            <w:vAlign w:val="bottom"/>
          </w:tcPr>
          <w:p w14:paraId="51ACA5F3" w14:textId="6CAAE7C5" w:rsidR="009A2C2E" w:rsidRDefault="009A2C2E" w:rsidP="00E53512">
            <w:pPr>
              <w:spacing w:beforeAutospacing="1" w:afterAutospacing="1"/>
            </w:pPr>
            <w:r>
              <w:rPr>
                <w:color w:val="000000"/>
              </w:rPr>
              <w:t>202</w:t>
            </w:r>
            <w:r w:rsidR="003D336B">
              <w:rPr>
                <w:color w:val="000000"/>
              </w:rPr>
              <w:t xml:space="preserve">5 </w:t>
            </w:r>
            <w:r>
              <w:rPr>
                <w:color w:val="000000"/>
              </w:rPr>
              <w:t>Multifamily Rental -New Construction</w:t>
            </w:r>
          </w:p>
        </w:tc>
      </w:tr>
      <w:tr w:rsidR="00AA74B5" w14:paraId="60DE2963" w14:textId="77777777" w:rsidTr="00E53512">
        <w:trPr>
          <w:cantSplit/>
        </w:trPr>
        <w:tc>
          <w:tcPr>
            <w:tcW w:w="0" w:type="auto"/>
            <w:vAlign w:val="bottom"/>
          </w:tcPr>
          <w:p w14:paraId="00E8193C" w14:textId="3CBBD3EB" w:rsidR="00AA74B5" w:rsidRDefault="00AA74B5" w:rsidP="00E53512">
            <w:pPr>
              <w:spacing w:beforeAutospacing="1" w:afterAutospacing="1"/>
              <w:jc w:val="right"/>
              <w:rPr>
                <w:color w:val="000000"/>
              </w:rPr>
            </w:pPr>
            <w:r>
              <w:rPr>
                <w:color w:val="000000"/>
              </w:rPr>
              <w:t>11</w:t>
            </w:r>
          </w:p>
        </w:tc>
        <w:tc>
          <w:tcPr>
            <w:tcW w:w="0" w:type="auto"/>
            <w:vAlign w:val="bottom"/>
          </w:tcPr>
          <w:p w14:paraId="631CBF27" w14:textId="60F08706" w:rsidR="00AA74B5" w:rsidRDefault="00AA74B5" w:rsidP="00E53512">
            <w:pPr>
              <w:spacing w:beforeAutospacing="1" w:afterAutospacing="1"/>
              <w:rPr>
                <w:color w:val="000000"/>
              </w:rPr>
            </w:pPr>
            <w:r>
              <w:rPr>
                <w:color w:val="000000"/>
              </w:rPr>
              <w:t xml:space="preserve">HOME TBRA </w:t>
            </w:r>
            <w:r w:rsidRPr="00AA74B5">
              <w:rPr>
                <w:i/>
                <w:iCs/>
                <w:color w:val="000000"/>
              </w:rPr>
              <w:t>[Not funded in 2025]</w:t>
            </w:r>
          </w:p>
        </w:tc>
      </w:tr>
      <w:tr w:rsidR="009A2C2E" w14:paraId="52712E3A" w14:textId="77777777" w:rsidTr="00E53512">
        <w:trPr>
          <w:cantSplit/>
        </w:trPr>
        <w:tc>
          <w:tcPr>
            <w:tcW w:w="0" w:type="auto"/>
            <w:vAlign w:val="bottom"/>
          </w:tcPr>
          <w:p w14:paraId="43B1DB49" w14:textId="49C72179" w:rsidR="009A2C2E" w:rsidRDefault="00BE2A39" w:rsidP="00E53512">
            <w:pPr>
              <w:spacing w:beforeAutospacing="1" w:afterAutospacing="1"/>
              <w:jc w:val="right"/>
            </w:pPr>
            <w:r>
              <w:rPr>
                <w:color w:val="000000"/>
              </w:rPr>
              <w:t>12</w:t>
            </w:r>
          </w:p>
        </w:tc>
        <w:tc>
          <w:tcPr>
            <w:tcW w:w="0" w:type="auto"/>
            <w:vAlign w:val="bottom"/>
          </w:tcPr>
          <w:p w14:paraId="193647E7" w14:textId="7788A425" w:rsidR="009A2C2E" w:rsidRDefault="009A2C2E" w:rsidP="00E53512">
            <w:pPr>
              <w:spacing w:beforeAutospacing="1" w:afterAutospacing="1"/>
            </w:pPr>
            <w:r>
              <w:rPr>
                <w:color w:val="000000"/>
              </w:rPr>
              <w:t>202</w:t>
            </w:r>
            <w:r w:rsidR="003D336B">
              <w:rPr>
                <w:color w:val="000000"/>
              </w:rPr>
              <w:t>5</w:t>
            </w:r>
            <w:r>
              <w:rPr>
                <w:color w:val="000000"/>
              </w:rPr>
              <w:t xml:space="preserve"> Single Family - Homebuyer - DPCC</w:t>
            </w:r>
          </w:p>
        </w:tc>
      </w:tr>
      <w:tr w:rsidR="009A2C2E" w14:paraId="49B482DF" w14:textId="77777777" w:rsidTr="00E53512">
        <w:trPr>
          <w:cantSplit/>
        </w:trPr>
        <w:tc>
          <w:tcPr>
            <w:tcW w:w="0" w:type="auto"/>
            <w:vAlign w:val="bottom"/>
          </w:tcPr>
          <w:p w14:paraId="51C159FA" w14:textId="775BFB1E" w:rsidR="009A2C2E" w:rsidRDefault="009A2C2E" w:rsidP="00E53512">
            <w:pPr>
              <w:spacing w:beforeAutospacing="1" w:afterAutospacing="1"/>
              <w:jc w:val="right"/>
            </w:pPr>
            <w:r>
              <w:rPr>
                <w:color w:val="000000"/>
              </w:rPr>
              <w:t>1</w:t>
            </w:r>
            <w:r w:rsidR="00BE2A39">
              <w:rPr>
                <w:color w:val="000000"/>
              </w:rPr>
              <w:t>3</w:t>
            </w:r>
          </w:p>
        </w:tc>
        <w:tc>
          <w:tcPr>
            <w:tcW w:w="0" w:type="auto"/>
            <w:vAlign w:val="bottom"/>
          </w:tcPr>
          <w:p w14:paraId="01A59E3F" w14:textId="32B52527" w:rsidR="009A2C2E" w:rsidRDefault="009A2C2E" w:rsidP="00E53512">
            <w:pPr>
              <w:spacing w:beforeAutospacing="1" w:afterAutospacing="1"/>
            </w:pPr>
            <w:r>
              <w:rPr>
                <w:color w:val="000000"/>
              </w:rPr>
              <w:t>202</w:t>
            </w:r>
            <w:r w:rsidR="003D336B">
              <w:rPr>
                <w:color w:val="000000"/>
              </w:rPr>
              <w:t>5</w:t>
            </w:r>
            <w:r>
              <w:rPr>
                <w:color w:val="000000"/>
              </w:rPr>
              <w:t xml:space="preserve"> HTF Administration</w:t>
            </w:r>
          </w:p>
        </w:tc>
      </w:tr>
    </w:tbl>
    <w:p w14:paraId="2D0D7064" w14:textId="77777777" w:rsidR="009A2C2E" w:rsidRDefault="009A2C2E" w:rsidP="009A2C2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Project Information</w:t>
      </w:r>
    </w:p>
    <w:p w14:paraId="779D874A" w14:textId="77777777" w:rsidR="009A2C2E" w:rsidRDefault="009A2C2E" w:rsidP="009A2C2E">
      <w:pPr>
        <w:spacing w:after="0" w:line="240" w:lineRule="auto"/>
        <w:rPr>
          <w:b/>
          <w:sz w:val="24"/>
          <w:szCs w:val="24"/>
        </w:rPr>
      </w:pPr>
    </w:p>
    <w:p w14:paraId="715C0F5A" w14:textId="77777777" w:rsidR="009A2C2E" w:rsidRDefault="009A2C2E" w:rsidP="00E46B10">
      <w:pPr>
        <w:widowControl w:val="0"/>
        <w:jc w:val="both"/>
        <w:rPr>
          <w:b/>
          <w:bCs/>
          <w:sz w:val="24"/>
          <w:szCs w:val="24"/>
        </w:rPr>
      </w:pPr>
      <w:r w:rsidRPr="787E070B">
        <w:rPr>
          <w:b/>
          <w:bCs/>
          <w:sz w:val="24"/>
          <w:szCs w:val="24"/>
        </w:rPr>
        <w:t>Describe the reasons for allocation priorities and any obstacles to addressing underserved needs</w:t>
      </w:r>
    </w:p>
    <w:p w14:paraId="73C5D811" w14:textId="4053DE55" w:rsidR="009A2C2E" w:rsidRPr="003A497B" w:rsidRDefault="00AA74B5" w:rsidP="00E46B10">
      <w:pPr>
        <w:keepNext/>
        <w:widowControl w:val="0"/>
        <w:spacing w:beforeAutospacing="1" w:afterAutospacing="1"/>
        <w:jc w:val="both"/>
        <w:rPr>
          <w:rFonts w:cs="Arial"/>
          <w:sz w:val="24"/>
          <w:szCs w:val="24"/>
        </w:rPr>
      </w:pPr>
      <w:r>
        <w:rPr>
          <w:rFonts w:cs="Arial"/>
          <w:b/>
          <w:sz w:val="24"/>
          <w:szCs w:val="24"/>
        </w:rPr>
        <w:t>Community Development Block Grant (</w:t>
      </w:r>
      <w:r w:rsidR="009A2C2E" w:rsidRPr="003A497B">
        <w:rPr>
          <w:rFonts w:cs="Arial"/>
          <w:b/>
          <w:sz w:val="24"/>
          <w:szCs w:val="24"/>
        </w:rPr>
        <w:t>CDBG</w:t>
      </w:r>
      <w:r>
        <w:rPr>
          <w:rFonts w:cs="Arial"/>
          <w:b/>
          <w:sz w:val="24"/>
          <w:szCs w:val="24"/>
        </w:rPr>
        <w:t>)</w:t>
      </w:r>
      <w:r w:rsidR="009A2C2E" w:rsidRPr="003A497B">
        <w:rPr>
          <w:rFonts w:cs="Arial"/>
          <w:sz w:val="24"/>
          <w:szCs w:val="24"/>
        </w:rPr>
        <w:t xml:space="preserve"> – Allocation priorities were establish based on local government services and activities that serve the public that are under constant challenge to meet demand and regulatory requirements; and have consistently been the highest demand for CDBG funding.   The priorities were also established on what realistically could be effectively managed and ensuring the CDBG funds benefit at least 70% low-to-moderate income persons.   The obstacles to addressing the needs </w:t>
      </w:r>
      <w:proofErr w:type="gramStart"/>
      <w:r w:rsidR="009A2C2E" w:rsidRPr="003A497B">
        <w:rPr>
          <w:rFonts w:cs="Arial"/>
          <w:sz w:val="24"/>
          <w:szCs w:val="24"/>
        </w:rPr>
        <w:t>include:</w:t>
      </w:r>
      <w:proofErr w:type="gramEnd"/>
      <w:r w:rsidR="009A2C2E" w:rsidRPr="003A497B">
        <w:rPr>
          <w:rFonts w:cs="Arial"/>
          <w:sz w:val="24"/>
          <w:szCs w:val="24"/>
        </w:rPr>
        <w:t xml:space="preserve">  decreasing funding, increasing activity cost, the size and the rural nature of a high number of communities, and the local government’s ability to communicate and implement some of the complex requirements with limited staff and resources.  The state has set-up the CDBG program to assist the elderly and frail elderly special needs population by continuing to keep in-place the senior center set-aside.  Having this set-aside allows for senior center facilities to compete for CDBG funding within a limited number of </w:t>
      </w:r>
      <w:r w:rsidR="009A2C2E" w:rsidRPr="003A497B">
        <w:rPr>
          <w:rFonts w:cs="Arial"/>
          <w:sz w:val="24"/>
          <w:szCs w:val="24"/>
        </w:rPr>
        <w:lastRenderedPageBreak/>
        <w:t>applications, thereby, improving opportunities to receive funding.  Senior centers are more than a socializing location but also prepare and cook for meals on-site and the delivery of meals to seniors who are unable to commute or are home bound.</w:t>
      </w:r>
    </w:p>
    <w:p w14:paraId="17AB010D" w14:textId="75BC5ED4" w:rsidR="009A2C2E" w:rsidRPr="003A497B" w:rsidRDefault="009A2C2E" w:rsidP="00E46B10">
      <w:pPr>
        <w:keepNext/>
        <w:widowControl w:val="0"/>
        <w:spacing w:beforeAutospacing="1" w:afterAutospacing="1"/>
        <w:jc w:val="both"/>
        <w:rPr>
          <w:rFonts w:cs="Arial"/>
          <w:sz w:val="24"/>
          <w:szCs w:val="24"/>
        </w:rPr>
      </w:pPr>
      <w:r w:rsidRPr="003A497B">
        <w:rPr>
          <w:rFonts w:cs="Arial"/>
          <w:b/>
          <w:sz w:val="24"/>
          <w:szCs w:val="24"/>
        </w:rPr>
        <w:t xml:space="preserve">HOME and </w:t>
      </w:r>
      <w:r w:rsidR="00AA74B5">
        <w:rPr>
          <w:rFonts w:cs="Arial"/>
          <w:b/>
          <w:sz w:val="24"/>
          <w:szCs w:val="24"/>
        </w:rPr>
        <w:t>Housing Trust Fund (</w:t>
      </w:r>
      <w:r w:rsidRPr="003A497B">
        <w:rPr>
          <w:rFonts w:cs="Arial"/>
          <w:b/>
          <w:sz w:val="24"/>
          <w:szCs w:val="24"/>
        </w:rPr>
        <w:t>HTF</w:t>
      </w:r>
      <w:r w:rsidR="00AA74B5">
        <w:rPr>
          <w:rFonts w:cs="Arial"/>
          <w:b/>
          <w:sz w:val="24"/>
          <w:szCs w:val="24"/>
        </w:rPr>
        <w:t>)</w:t>
      </w:r>
      <w:r w:rsidRPr="003A497B">
        <w:rPr>
          <w:rFonts w:cs="Arial"/>
          <w:sz w:val="24"/>
          <w:szCs w:val="24"/>
        </w:rPr>
        <w:t xml:space="preserve">- To help address Idaho's affordable housing needs, IHFA allocates funds to permanent rental and homebuyer housing activities to address the following underserved housing needs: (1) Create and preserve affordable rental housing (HOME and HTF); (2) Provide low interest loans to nonprofit developers and units of local government to acquire and construct or rehabilitate single-family units to be sold or rented to qualified low-income homebuyers (HOME and/or HTF); </w:t>
      </w:r>
      <w:r w:rsidR="00FB1FA9" w:rsidRPr="003A497B">
        <w:rPr>
          <w:rFonts w:cs="Arial"/>
          <w:sz w:val="24"/>
          <w:szCs w:val="24"/>
        </w:rPr>
        <w:t>(3) Provide downpayment/closing cost assistance for income eligible households to purchase a single-family housing unit</w:t>
      </w:r>
      <w:r w:rsidR="0061429D" w:rsidRPr="003A497B">
        <w:rPr>
          <w:rFonts w:cs="Arial"/>
          <w:sz w:val="24"/>
          <w:szCs w:val="24"/>
        </w:rPr>
        <w:t>.</w:t>
      </w:r>
    </w:p>
    <w:p w14:paraId="46C73591" w14:textId="77777777" w:rsidR="0061429D" w:rsidRPr="00980D53" w:rsidRDefault="0061429D" w:rsidP="00E46B10">
      <w:pPr>
        <w:widowControl w:val="0"/>
        <w:spacing w:beforeAutospacing="1" w:afterAutospacing="1"/>
        <w:jc w:val="both"/>
        <w:rPr>
          <w:rFonts w:cs="Arial"/>
          <w:sz w:val="24"/>
          <w:szCs w:val="24"/>
        </w:rPr>
      </w:pPr>
      <w:r>
        <w:rPr>
          <w:rFonts w:cs="Arial"/>
          <w:b/>
          <w:sz w:val="24"/>
          <w:szCs w:val="24"/>
        </w:rPr>
        <w:t>Emergency Solutions Grant (</w:t>
      </w:r>
      <w:r w:rsidRPr="00980D53">
        <w:rPr>
          <w:rFonts w:cs="Arial"/>
          <w:b/>
          <w:sz w:val="24"/>
          <w:szCs w:val="24"/>
        </w:rPr>
        <w:t>ESG</w:t>
      </w:r>
      <w:r>
        <w:rPr>
          <w:rFonts w:cs="Arial"/>
          <w:b/>
          <w:sz w:val="24"/>
          <w:szCs w:val="24"/>
        </w:rPr>
        <w:t>)</w:t>
      </w:r>
      <w:r w:rsidRPr="00980D53">
        <w:rPr>
          <w:rFonts w:cs="Arial"/>
          <w:b/>
          <w:sz w:val="24"/>
          <w:szCs w:val="24"/>
        </w:rPr>
        <w:t xml:space="preserve"> -</w:t>
      </w:r>
      <w:r w:rsidRPr="00980D53">
        <w:rPr>
          <w:rFonts w:cs="Arial"/>
          <w:sz w:val="24"/>
          <w:szCs w:val="24"/>
        </w:rPr>
        <w:t xml:space="preserve"> Other than funding from faith-based organizations and Federal programs, Idaho’s homeless housing and service programs receive little financial support.  In the absence of essential emergency shelter funding, many individuals and families are unable to receive reprieve from homelessness through temporary assistance or access to rapid re-housing.  For this reason, Idaho has directed a substantial portion of ESG funds (45%) towards emergency shelter activities.  The remaining 55% is used for homelessness prevention and rapid re-housing activities, generally with an emphasis placed on rapid re-housing.  The additional emphasis is imposed due to IHFA’s alignment with HUD objectives, and HUD precedence within the Homelessness Prevention and Rapid Re-Housing Program, which was born out of the American Recovery and Reinvestment Act of 2009, to divert individuals out of homelessness and shorten shelter stays.  Further descriptions are included in section AP-20.  IHFA coordinates with the Boise CoC and incorporate their priorities and recommendations into allocation decisions for ESG funding.  </w:t>
      </w:r>
    </w:p>
    <w:p w14:paraId="6CD28E16" w14:textId="77777777" w:rsidR="0061429D" w:rsidRDefault="0061429D" w:rsidP="0061429D">
      <w:pPr>
        <w:keepNext/>
        <w:widowControl w:val="0"/>
        <w:spacing w:beforeAutospacing="1" w:afterAutospacing="1"/>
        <w:rPr>
          <w:rFonts w:cs="Arial"/>
        </w:rPr>
      </w:pPr>
    </w:p>
    <w:p w14:paraId="1721C444" w14:textId="77777777" w:rsidR="0061429D" w:rsidRDefault="0061429D" w:rsidP="0061429D">
      <w:pPr>
        <w:keepNext/>
        <w:widowControl w:val="0"/>
        <w:spacing w:beforeAutospacing="1" w:afterAutospacing="1"/>
        <w:rPr>
          <w:rFonts w:cs="Arial"/>
        </w:rPr>
      </w:pPr>
    </w:p>
    <w:p w14:paraId="5D800D2C" w14:textId="21C68C07" w:rsidR="0061429D" w:rsidRPr="0061429D" w:rsidRDefault="0061429D" w:rsidP="0061429D">
      <w:pPr>
        <w:keepNext/>
        <w:widowControl w:val="0"/>
        <w:spacing w:beforeAutospacing="1" w:afterAutospacing="1"/>
        <w:rPr>
          <w:rFonts w:cs="Arial"/>
          <w:szCs w:val="24"/>
        </w:rPr>
        <w:sectPr w:rsidR="0061429D" w:rsidRPr="0061429D" w:rsidSect="009A2C2E">
          <w:pgSz w:w="12240" w:h="15840" w:code="1"/>
          <w:pgMar w:top="1440" w:right="1440" w:bottom="1440" w:left="1440" w:header="720" w:footer="720" w:gutter="0"/>
          <w:cols w:space="720"/>
          <w:docGrid w:linePitch="360"/>
        </w:sectPr>
      </w:pPr>
    </w:p>
    <w:p w14:paraId="14864460" w14:textId="77777777" w:rsidR="009A2C2E" w:rsidRDefault="009A2C2E" w:rsidP="009A2C2E">
      <w:pPr>
        <w:pStyle w:val="Heading2"/>
        <w:rPr>
          <w:rFonts w:ascii="Calibri" w:hAnsi="Calibri"/>
          <w:i/>
        </w:rPr>
      </w:pPr>
      <w:bookmarkStart w:id="122" w:name="_Toc191358754"/>
      <w:bookmarkStart w:id="123" w:name="_Toc194673878"/>
      <w:r>
        <w:rPr>
          <w:rFonts w:ascii="Calibri" w:hAnsi="Calibri"/>
        </w:rPr>
        <w:lastRenderedPageBreak/>
        <w:t>AP-38 Project Summary</w:t>
      </w:r>
      <w:bookmarkEnd w:id="122"/>
      <w:bookmarkEnd w:id="123"/>
    </w:p>
    <w:p w14:paraId="7DF9E638" w14:textId="77777777" w:rsidR="009A2C2E" w:rsidRDefault="009A2C2E" w:rsidP="009A2C2E">
      <w:pPr>
        <w:keepNext/>
        <w:widowControl w:val="0"/>
        <w:rPr>
          <w:b/>
          <w:sz w:val="24"/>
          <w:szCs w:val="24"/>
        </w:rPr>
      </w:pPr>
      <w:r>
        <w:rPr>
          <w:b/>
          <w:sz w:val="24"/>
          <w:szCs w:val="24"/>
        </w:rPr>
        <w:t>Project Summary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488"/>
        <w:gridCol w:w="6534"/>
      </w:tblGrid>
      <w:tr w:rsidR="009A2C2E" w14:paraId="7ADAA5D0" w14:textId="77777777" w:rsidTr="007B7B72">
        <w:trPr>
          <w:cantSplit/>
        </w:trPr>
        <w:tc>
          <w:tcPr>
            <w:tcW w:w="0" w:type="auto"/>
            <w:vMerge w:val="restart"/>
          </w:tcPr>
          <w:p w14:paraId="22D0BF04" w14:textId="77777777" w:rsidR="009A2C2E" w:rsidRDefault="009A2C2E" w:rsidP="00E53512">
            <w:r>
              <w:rPr>
                <w:b/>
              </w:rPr>
              <w:t>1</w:t>
            </w:r>
          </w:p>
        </w:tc>
        <w:tc>
          <w:tcPr>
            <w:tcW w:w="0" w:type="auto"/>
            <w:shd w:val="clear" w:color="auto" w:fill="D9E2F3" w:themeFill="accent1" w:themeFillTint="33"/>
          </w:tcPr>
          <w:p w14:paraId="3D3CCA9B" w14:textId="77777777" w:rsidR="009A2C2E" w:rsidRDefault="009A2C2E" w:rsidP="00E53512">
            <w:pPr>
              <w:keepNext/>
              <w:spacing w:before="100" w:after="0"/>
              <w:rPr>
                <w:b/>
              </w:rPr>
            </w:pPr>
            <w:r>
              <w:rPr>
                <w:b/>
              </w:rPr>
              <w:t>Project Name</w:t>
            </w:r>
          </w:p>
        </w:tc>
        <w:tc>
          <w:tcPr>
            <w:tcW w:w="0" w:type="auto"/>
            <w:shd w:val="clear" w:color="auto" w:fill="D9E2F3" w:themeFill="accent1" w:themeFillTint="33"/>
          </w:tcPr>
          <w:p w14:paraId="60356117" w14:textId="77777777" w:rsidR="009A2C2E" w:rsidRPr="00BE2A39" w:rsidRDefault="009A2C2E" w:rsidP="00E53512">
            <w:pPr>
              <w:spacing w:before="100" w:after="0"/>
              <w:rPr>
                <w:b/>
                <w:bCs/>
              </w:rPr>
            </w:pPr>
            <w:r w:rsidRPr="00BE2A39">
              <w:rPr>
                <w:b/>
                <w:bCs/>
                <w:color w:val="000000"/>
              </w:rPr>
              <w:t>CDBG-Public Facilities/Infrastructure-Compliance</w:t>
            </w:r>
          </w:p>
        </w:tc>
      </w:tr>
      <w:tr w:rsidR="009A2C2E" w14:paraId="2D32CD7A" w14:textId="77777777" w:rsidTr="00E53512">
        <w:trPr>
          <w:cantSplit/>
        </w:trPr>
        <w:tc>
          <w:tcPr>
            <w:tcW w:w="0" w:type="auto"/>
            <w:vMerge/>
          </w:tcPr>
          <w:p w14:paraId="3118236F" w14:textId="77777777" w:rsidR="009A2C2E" w:rsidRDefault="009A2C2E" w:rsidP="00E53512"/>
        </w:tc>
        <w:tc>
          <w:tcPr>
            <w:tcW w:w="0" w:type="auto"/>
          </w:tcPr>
          <w:p w14:paraId="0614315E" w14:textId="77777777" w:rsidR="009A2C2E" w:rsidRDefault="009A2C2E" w:rsidP="00E53512">
            <w:pPr>
              <w:keepNext/>
              <w:spacing w:before="100" w:after="0"/>
              <w:rPr>
                <w:b/>
              </w:rPr>
            </w:pPr>
            <w:r>
              <w:rPr>
                <w:b/>
              </w:rPr>
              <w:t>Target Area</w:t>
            </w:r>
          </w:p>
        </w:tc>
        <w:tc>
          <w:tcPr>
            <w:tcW w:w="0" w:type="auto"/>
          </w:tcPr>
          <w:p w14:paraId="4FB6A708" w14:textId="136D70E1" w:rsidR="009A2C2E" w:rsidRDefault="009A2C2E" w:rsidP="00E53512">
            <w:pPr>
              <w:spacing w:before="100" w:after="0"/>
            </w:pPr>
            <w:r>
              <w:rPr>
                <w:color w:val="000000"/>
              </w:rPr>
              <w:t xml:space="preserve"> </w:t>
            </w:r>
            <w:r w:rsidR="008C0647">
              <w:rPr>
                <w:color w:val="000000"/>
              </w:rPr>
              <w:t>N/A</w:t>
            </w:r>
          </w:p>
        </w:tc>
      </w:tr>
      <w:tr w:rsidR="009A2C2E" w14:paraId="303E23A5" w14:textId="77777777" w:rsidTr="00BE2A39">
        <w:trPr>
          <w:cantSplit/>
        </w:trPr>
        <w:tc>
          <w:tcPr>
            <w:tcW w:w="0" w:type="auto"/>
            <w:vMerge/>
          </w:tcPr>
          <w:p w14:paraId="1101868F" w14:textId="77777777" w:rsidR="009A2C2E" w:rsidRDefault="009A2C2E" w:rsidP="00E53512"/>
        </w:tc>
        <w:tc>
          <w:tcPr>
            <w:tcW w:w="0" w:type="auto"/>
          </w:tcPr>
          <w:p w14:paraId="0293C923" w14:textId="77777777" w:rsidR="009A2C2E" w:rsidRDefault="009A2C2E" w:rsidP="00E53512">
            <w:pPr>
              <w:keepNext/>
              <w:spacing w:before="100" w:after="0"/>
              <w:rPr>
                <w:b/>
              </w:rPr>
            </w:pPr>
            <w:r>
              <w:rPr>
                <w:b/>
              </w:rPr>
              <w:t>Goals Supported</w:t>
            </w:r>
          </w:p>
        </w:tc>
        <w:tc>
          <w:tcPr>
            <w:tcW w:w="0" w:type="auto"/>
            <w:shd w:val="clear" w:color="auto" w:fill="FFFFFF" w:themeFill="background1"/>
          </w:tcPr>
          <w:p w14:paraId="7A97E521" w14:textId="77777777" w:rsidR="009A2C2E" w:rsidRPr="00BE2A39" w:rsidRDefault="009A2C2E" w:rsidP="00E53512">
            <w:pPr>
              <w:spacing w:before="100" w:after="0"/>
            </w:pPr>
            <w:r w:rsidRPr="00BE2A39">
              <w:rPr>
                <w:color w:val="000000"/>
              </w:rPr>
              <w:t>Public Facilities/Infrastructure-Compliance</w:t>
            </w:r>
          </w:p>
        </w:tc>
      </w:tr>
      <w:tr w:rsidR="009A2C2E" w14:paraId="3620FB2A" w14:textId="77777777" w:rsidTr="00BE2A39">
        <w:trPr>
          <w:cantSplit/>
        </w:trPr>
        <w:tc>
          <w:tcPr>
            <w:tcW w:w="0" w:type="auto"/>
            <w:vMerge/>
          </w:tcPr>
          <w:p w14:paraId="5AEA36B3" w14:textId="77777777" w:rsidR="009A2C2E" w:rsidRDefault="009A2C2E" w:rsidP="00E53512"/>
        </w:tc>
        <w:tc>
          <w:tcPr>
            <w:tcW w:w="0" w:type="auto"/>
          </w:tcPr>
          <w:p w14:paraId="66414EFC" w14:textId="77777777" w:rsidR="009A2C2E" w:rsidRDefault="009A2C2E" w:rsidP="00E53512">
            <w:pPr>
              <w:keepNext/>
              <w:spacing w:before="100" w:after="0"/>
              <w:rPr>
                <w:b/>
              </w:rPr>
            </w:pPr>
            <w:r>
              <w:rPr>
                <w:b/>
              </w:rPr>
              <w:t>Needs Addressed</w:t>
            </w:r>
          </w:p>
        </w:tc>
        <w:tc>
          <w:tcPr>
            <w:tcW w:w="0" w:type="auto"/>
            <w:shd w:val="clear" w:color="auto" w:fill="FFFFFF" w:themeFill="background1"/>
          </w:tcPr>
          <w:p w14:paraId="72801134" w14:textId="77777777" w:rsidR="009A2C2E" w:rsidRPr="00BE2A39" w:rsidRDefault="009A2C2E" w:rsidP="00E53512">
            <w:pPr>
              <w:spacing w:before="100" w:after="0"/>
            </w:pPr>
            <w:r w:rsidRPr="00BE2A39">
              <w:rPr>
                <w:color w:val="000000"/>
              </w:rPr>
              <w:t>Public Facilities</w:t>
            </w:r>
            <w:r w:rsidRPr="00BE2A39">
              <w:rPr>
                <w:color w:val="000000"/>
              </w:rPr>
              <w:br/>
              <w:t>Public Infrastructure</w:t>
            </w:r>
          </w:p>
        </w:tc>
      </w:tr>
      <w:tr w:rsidR="009A2C2E" w14:paraId="73D3006B" w14:textId="77777777" w:rsidTr="00BE2A39">
        <w:trPr>
          <w:cantSplit/>
        </w:trPr>
        <w:tc>
          <w:tcPr>
            <w:tcW w:w="0" w:type="auto"/>
            <w:vMerge/>
          </w:tcPr>
          <w:p w14:paraId="2A505D17" w14:textId="77777777" w:rsidR="009A2C2E" w:rsidRDefault="009A2C2E" w:rsidP="00E53512"/>
        </w:tc>
        <w:tc>
          <w:tcPr>
            <w:tcW w:w="0" w:type="auto"/>
          </w:tcPr>
          <w:p w14:paraId="6810053C" w14:textId="77777777" w:rsidR="009A2C2E" w:rsidRDefault="009A2C2E" w:rsidP="00E53512">
            <w:pPr>
              <w:keepNext/>
              <w:spacing w:before="100" w:after="0"/>
              <w:rPr>
                <w:b/>
              </w:rPr>
            </w:pPr>
            <w:r>
              <w:rPr>
                <w:b/>
              </w:rPr>
              <w:t>Funding</w:t>
            </w:r>
          </w:p>
        </w:tc>
        <w:tc>
          <w:tcPr>
            <w:tcW w:w="0" w:type="auto"/>
            <w:shd w:val="clear" w:color="auto" w:fill="FFFFFF" w:themeFill="background1"/>
          </w:tcPr>
          <w:p w14:paraId="49A5AC62" w14:textId="0BBD0DBF" w:rsidR="009A2C2E" w:rsidRPr="00BE2A39" w:rsidRDefault="009A2C2E" w:rsidP="00E53512">
            <w:pPr>
              <w:spacing w:before="100" w:after="0"/>
            </w:pPr>
            <w:r w:rsidRPr="00BE2A39">
              <w:rPr>
                <w:color w:val="000000"/>
              </w:rPr>
              <w:t>CDBG: $</w:t>
            </w:r>
            <w:r w:rsidR="00BE2A39">
              <w:rPr>
                <w:color w:val="000000"/>
              </w:rPr>
              <w:t>3,056,060</w:t>
            </w:r>
          </w:p>
        </w:tc>
      </w:tr>
      <w:tr w:rsidR="009A2C2E" w14:paraId="479A4EA9" w14:textId="77777777" w:rsidTr="00BE2A39">
        <w:trPr>
          <w:cantSplit/>
        </w:trPr>
        <w:tc>
          <w:tcPr>
            <w:tcW w:w="0" w:type="auto"/>
            <w:vMerge/>
          </w:tcPr>
          <w:p w14:paraId="00C3FA64" w14:textId="77777777" w:rsidR="009A2C2E" w:rsidRDefault="009A2C2E" w:rsidP="00E53512"/>
        </w:tc>
        <w:tc>
          <w:tcPr>
            <w:tcW w:w="0" w:type="auto"/>
          </w:tcPr>
          <w:p w14:paraId="796988FE" w14:textId="77777777" w:rsidR="009A2C2E" w:rsidRDefault="009A2C2E" w:rsidP="00E53512">
            <w:pPr>
              <w:keepNext/>
              <w:spacing w:before="100" w:after="0"/>
              <w:rPr>
                <w:b/>
              </w:rPr>
            </w:pPr>
            <w:r>
              <w:rPr>
                <w:b/>
              </w:rPr>
              <w:t>Description</w:t>
            </w:r>
          </w:p>
        </w:tc>
        <w:tc>
          <w:tcPr>
            <w:tcW w:w="0" w:type="auto"/>
            <w:shd w:val="clear" w:color="auto" w:fill="FFFFFF" w:themeFill="background1"/>
          </w:tcPr>
          <w:p w14:paraId="60B98118" w14:textId="77777777" w:rsidR="009A2C2E" w:rsidRPr="00BE2A39" w:rsidRDefault="009A2C2E" w:rsidP="00E53512">
            <w:pPr>
              <w:spacing w:before="100" w:after="0"/>
            </w:pPr>
            <w:r w:rsidRPr="00BE2A39">
              <w:rPr>
                <w:color w:val="000000"/>
              </w:rPr>
              <w:t>Activities that bring facility systems (infrastructure, community facilities, public utilities) into compliance with environmental laws, federal and state standards, building codes and best management practices.</w:t>
            </w:r>
          </w:p>
        </w:tc>
      </w:tr>
      <w:tr w:rsidR="009A2C2E" w14:paraId="7D27B303" w14:textId="77777777" w:rsidTr="00BE2A39">
        <w:trPr>
          <w:cantSplit/>
        </w:trPr>
        <w:tc>
          <w:tcPr>
            <w:tcW w:w="0" w:type="auto"/>
            <w:vMerge/>
          </w:tcPr>
          <w:p w14:paraId="05C8742D" w14:textId="77777777" w:rsidR="009A2C2E" w:rsidRDefault="009A2C2E" w:rsidP="00E53512"/>
        </w:tc>
        <w:tc>
          <w:tcPr>
            <w:tcW w:w="0" w:type="auto"/>
          </w:tcPr>
          <w:p w14:paraId="761DA076" w14:textId="77777777" w:rsidR="009A2C2E" w:rsidRDefault="009A2C2E" w:rsidP="00E53512">
            <w:pPr>
              <w:keepNext/>
              <w:spacing w:before="100" w:after="0"/>
              <w:rPr>
                <w:b/>
              </w:rPr>
            </w:pPr>
            <w:r>
              <w:rPr>
                <w:b/>
              </w:rPr>
              <w:t>Target Date</w:t>
            </w:r>
          </w:p>
        </w:tc>
        <w:tc>
          <w:tcPr>
            <w:tcW w:w="0" w:type="auto"/>
            <w:shd w:val="clear" w:color="auto" w:fill="FFFFFF" w:themeFill="background1"/>
          </w:tcPr>
          <w:p w14:paraId="69A1BEF5" w14:textId="1C168DAA" w:rsidR="009A2C2E" w:rsidRPr="00BE2A39" w:rsidRDefault="009A2C2E" w:rsidP="00E53512">
            <w:pPr>
              <w:spacing w:before="100" w:after="0"/>
            </w:pPr>
            <w:r w:rsidRPr="00BE2A39">
              <w:rPr>
                <w:color w:val="000000"/>
              </w:rPr>
              <w:t xml:space="preserve"> </w:t>
            </w:r>
            <w:r w:rsidR="003C13C4">
              <w:rPr>
                <w:color w:val="000000"/>
              </w:rPr>
              <w:t>3/31/2029</w:t>
            </w:r>
          </w:p>
        </w:tc>
      </w:tr>
      <w:tr w:rsidR="009A2C2E" w14:paraId="5B23636F" w14:textId="77777777" w:rsidTr="00BE2A39">
        <w:trPr>
          <w:cantSplit/>
        </w:trPr>
        <w:tc>
          <w:tcPr>
            <w:tcW w:w="0" w:type="auto"/>
            <w:vMerge/>
          </w:tcPr>
          <w:p w14:paraId="770B7D83" w14:textId="77777777" w:rsidR="009A2C2E" w:rsidRDefault="009A2C2E" w:rsidP="00E53512"/>
        </w:tc>
        <w:tc>
          <w:tcPr>
            <w:tcW w:w="0" w:type="auto"/>
          </w:tcPr>
          <w:p w14:paraId="0EDAFB83"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shd w:val="clear" w:color="auto" w:fill="FFFFFF" w:themeFill="background1"/>
          </w:tcPr>
          <w:p w14:paraId="01EF79E1" w14:textId="27CD4555" w:rsidR="009A2C2E" w:rsidRPr="00BE2A39" w:rsidRDefault="009A2C2E" w:rsidP="00E53512">
            <w:pPr>
              <w:spacing w:before="100" w:after="0"/>
            </w:pPr>
            <w:r w:rsidRPr="00BE2A39">
              <w:rPr>
                <w:color w:val="000000"/>
              </w:rPr>
              <w:t>State of Idaho estimates 12</w:t>
            </w:r>
            <w:r w:rsidR="003D336B" w:rsidRPr="00BE2A39">
              <w:rPr>
                <w:color w:val="000000"/>
              </w:rPr>
              <w:t>,</w:t>
            </w:r>
            <w:r w:rsidRPr="00BE2A39">
              <w:rPr>
                <w:color w:val="000000"/>
              </w:rPr>
              <w:t>000 persons will benefit from the proposed activities in other than housing benefit activities and 12 households in housing benefit activities. </w:t>
            </w:r>
          </w:p>
        </w:tc>
      </w:tr>
      <w:tr w:rsidR="009A2C2E" w14:paraId="69C405C5" w14:textId="77777777" w:rsidTr="00BE2A39">
        <w:trPr>
          <w:cantSplit/>
        </w:trPr>
        <w:tc>
          <w:tcPr>
            <w:tcW w:w="0" w:type="auto"/>
            <w:vMerge/>
          </w:tcPr>
          <w:p w14:paraId="77AA8A17" w14:textId="77777777" w:rsidR="009A2C2E" w:rsidRDefault="009A2C2E" w:rsidP="00E53512"/>
        </w:tc>
        <w:tc>
          <w:tcPr>
            <w:tcW w:w="0" w:type="auto"/>
          </w:tcPr>
          <w:p w14:paraId="6480935B"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shd w:val="clear" w:color="auto" w:fill="FFFFFF" w:themeFill="background1"/>
          </w:tcPr>
          <w:p w14:paraId="33A205C4" w14:textId="77777777" w:rsidR="009A2C2E" w:rsidRPr="00BE2A39" w:rsidRDefault="009A2C2E" w:rsidP="00E53512">
            <w:pPr>
              <w:spacing w:before="100" w:after="0"/>
            </w:pPr>
            <w:r w:rsidRPr="00BE2A39">
              <w:rPr>
                <w:color w:val="000000"/>
              </w:rPr>
              <w:t xml:space="preserve">Cities and counties throughout Idaho </w:t>
            </w:r>
            <w:proofErr w:type="gramStart"/>
            <w:r w:rsidRPr="00BE2A39">
              <w:rPr>
                <w:color w:val="000000"/>
              </w:rPr>
              <w:t>with the exception of</w:t>
            </w:r>
            <w:proofErr w:type="gramEnd"/>
            <w:r w:rsidRPr="00BE2A39">
              <w:rPr>
                <w:color w:val="000000"/>
              </w:rPr>
              <w:t xml:space="preserve"> nine </w:t>
            </w:r>
            <w:proofErr w:type="gramStart"/>
            <w:r w:rsidRPr="00BE2A39">
              <w:rPr>
                <w:color w:val="000000"/>
              </w:rPr>
              <w:t>entitlement</w:t>
            </w:r>
            <w:proofErr w:type="gramEnd"/>
            <w:r w:rsidRPr="00BE2A39">
              <w:rPr>
                <w:color w:val="000000"/>
              </w:rPr>
              <w:t>: Coeur D Alene, Lewiston, Caldwell, Nampa, Meridian, Boise, Pocatello, Idaho Falls and Twin Falls.</w:t>
            </w:r>
          </w:p>
        </w:tc>
      </w:tr>
      <w:tr w:rsidR="009A2C2E" w14:paraId="2E7AFAA6" w14:textId="77777777" w:rsidTr="00BE2A39">
        <w:trPr>
          <w:cantSplit/>
        </w:trPr>
        <w:tc>
          <w:tcPr>
            <w:tcW w:w="0" w:type="auto"/>
            <w:vMerge/>
          </w:tcPr>
          <w:p w14:paraId="201E410B" w14:textId="77777777" w:rsidR="009A2C2E" w:rsidRDefault="009A2C2E" w:rsidP="00E53512"/>
        </w:tc>
        <w:tc>
          <w:tcPr>
            <w:tcW w:w="0" w:type="auto"/>
          </w:tcPr>
          <w:p w14:paraId="43B1FABE"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shd w:val="clear" w:color="auto" w:fill="FFFFFF" w:themeFill="background1"/>
          </w:tcPr>
          <w:p w14:paraId="1DED2A42" w14:textId="77777777" w:rsidR="009A2C2E" w:rsidRPr="00BE2A39" w:rsidRDefault="009A2C2E" w:rsidP="00E53512">
            <w:pPr>
              <w:spacing w:before="100" w:after="0"/>
            </w:pPr>
            <w:r w:rsidRPr="00BE2A39">
              <w:rPr>
                <w:color w:val="000000"/>
              </w:rPr>
              <w:t>Project administration costs, design services, land acquisition, public facilities/infrastructure new construction, rehabilitation and compliance.</w:t>
            </w:r>
          </w:p>
        </w:tc>
      </w:tr>
      <w:tr w:rsidR="009A2C2E" w14:paraId="40F232DE" w14:textId="77777777" w:rsidTr="007B7B72">
        <w:trPr>
          <w:cantSplit/>
        </w:trPr>
        <w:tc>
          <w:tcPr>
            <w:tcW w:w="0" w:type="auto"/>
            <w:vMerge w:val="restart"/>
          </w:tcPr>
          <w:p w14:paraId="3EEE6F86" w14:textId="77777777" w:rsidR="009A2C2E" w:rsidRDefault="009A2C2E" w:rsidP="00E53512">
            <w:r>
              <w:rPr>
                <w:b/>
              </w:rPr>
              <w:t>2</w:t>
            </w:r>
          </w:p>
        </w:tc>
        <w:tc>
          <w:tcPr>
            <w:tcW w:w="0" w:type="auto"/>
            <w:shd w:val="clear" w:color="auto" w:fill="D9E2F3" w:themeFill="accent1" w:themeFillTint="33"/>
          </w:tcPr>
          <w:p w14:paraId="5C392A84" w14:textId="77777777" w:rsidR="009A2C2E" w:rsidRDefault="009A2C2E" w:rsidP="00E53512">
            <w:pPr>
              <w:keepNext/>
              <w:spacing w:before="100" w:after="0"/>
              <w:rPr>
                <w:b/>
              </w:rPr>
            </w:pPr>
            <w:r>
              <w:rPr>
                <w:b/>
              </w:rPr>
              <w:t>Project Name</w:t>
            </w:r>
          </w:p>
        </w:tc>
        <w:tc>
          <w:tcPr>
            <w:tcW w:w="0" w:type="auto"/>
            <w:shd w:val="clear" w:color="auto" w:fill="D9E2F3" w:themeFill="accent1" w:themeFillTint="33"/>
          </w:tcPr>
          <w:p w14:paraId="1820E4B2" w14:textId="77777777" w:rsidR="009A2C2E" w:rsidRPr="00BE2A39" w:rsidRDefault="009A2C2E" w:rsidP="00E53512">
            <w:pPr>
              <w:spacing w:before="100" w:after="0"/>
              <w:rPr>
                <w:b/>
                <w:bCs/>
              </w:rPr>
            </w:pPr>
            <w:r w:rsidRPr="00BE2A39">
              <w:rPr>
                <w:b/>
                <w:bCs/>
                <w:color w:val="000000"/>
              </w:rPr>
              <w:t>CDBG-Public Facilities/Infrastructure-Rehabilitation</w:t>
            </w:r>
          </w:p>
        </w:tc>
      </w:tr>
      <w:tr w:rsidR="009A2C2E" w14:paraId="1EDD0EE5" w14:textId="77777777" w:rsidTr="00BE2A39">
        <w:trPr>
          <w:cantSplit/>
        </w:trPr>
        <w:tc>
          <w:tcPr>
            <w:tcW w:w="0" w:type="auto"/>
            <w:vMerge/>
          </w:tcPr>
          <w:p w14:paraId="26963CF3" w14:textId="77777777" w:rsidR="009A2C2E" w:rsidRDefault="009A2C2E" w:rsidP="00E53512"/>
        </w:tc>
        <w:tc>
          <w:tcPr>
            <w:tcW w:w="0" w:type="auto"/>
          </w:tcPr>
          <w:p w14:paraId="6CAD08FF" w14:textId="77777777" w:rsidR="009A2C2E" w:rsidRDefault="009A2C2E" w:rsidP="00E53512">
            <w:pPr>
              <w:keepNext/>
              <w:spacing w:before="100" w:after="0"/>
              <w:rPr>
                <w:b/>
              </w:rPr>
            </w:pPr>
            <w:r>
              <w:rPr>
                <w:b/>
              </w:rPr>
              <w:t>Target Area</w:t>
            </w:r>
          </w:p>
        </w:tc>
        <w:tc>
          <w:tcPr>
            <w:tcW w:w="0" w:type="auto"/>
            <w:shd w:val="clear" w:color="auto" w:fill="FFFFFF" w:themeFill="background1"/>
          </w:tcPr>
          <w:p w14:paraId="453F0CDB" w14:textId="7B797E43" w:rsidR="009A2C2E" w:rsidRPr="00BE2A39" w:rsidRDefault="009A2C2E" w:rsidP="00E53512">
            <w:pPr>
              <w:spacing w:before="100" w:after="0"/>
            </w:pPr>
            <w:r w:rsidRPr="00BE2A39">
              <w:rPr>
                <w:color w:val="000000"/>
              </w:rPr>
              <w:t xml:space="preserve"> </w:t>
            </w:r>
            <w:r w:rsidR="008C0647">
              <w:rPr>
                <w:color w:val="000000"/>
              </w:rPr>
              <w:t>N/A</w:t>
            </w:r>
          </w:p>
        </w:tc>
      </w:tr>
      <w:tr w:rsidR="009A2C2E" w14:paraId="075583E0" w14:textId="77777777" w:rsidTr="00BE2A39">
        <w:trPr>
          <w:cantSplit/>
        </w:trPr>
        <w:tc>
          <w:tcPr>
            <w:tcW w:w="0" w:type="auto"/>
            <w:vMerge/>
          </w:tcPr>
          <w:p w14:paraId="219118CC" w14:textId="77777777" w:rsidR="009A2C2E" w:rsidRDefault="009A2C2E" w:rsidP="00E53512"/>
        </w:tc>
        <w:tc>
          <w:tcPr>
            <w:tcW w:w="0" w:type="auto"/>
          </w:tcPr>
          <w:p w14:paraId="56710706" w14:textId="77777777" w:rsidR="009A2C2E" w:rsidRDefault="009A2C2E" w:rsidP="00E53512">
            <w:pPr>
              <w:keepNext/>
              <w:spacing w:before="100" w:after="0"/>
              <w:rPr>
                <w:b/>
              </w:rPr>
            </w:pPr>
            <w:r>
              <w:rPr>
                <w:b/>
              </w:rPr>
              <w:t>Goals Supported</w:t>
            </w:r>
          </w:p>
        </w:tc>
        <w:tc>
          <w:tcPr>
            <w:tcW w:w="0" w:type="auto"/>
            <w:shd w:val="clear" w:color="auto" w:fill="FFFFFF" w:themeFill="background1"/>
          </w:tcPr>
          <w:p w14:paraId="492764DE" w14:textId="77777777" w:rsidR="009A2C2E" w:rsidRPr="00BE2A39" w:rsidRDefault="009A2C2E" w:rsidP="00E53512">
            <w:pPr>
              <w:spacing w:before="100" w:after="0"/>
            </w:pPr>
            <w:r w:rsidRPr="00BE2A39">
              <w:rPr>
                <w:color w:val="000000"/>
              </w:rPr>
              <w:t>Public Facilities/Infrastructure-Rehabilitation</w:t>
            </w:r>
          </w:p>
        </w:tc>
      </w:tr>
      <w:tr w:rsidR="009A2C2E" w14:paraId="460D1F4D" w14:textId="77777777" w:rsidTr="00BE2A39">
        <w:trPr>
          <w:cantSplit/>
        </w:trPr>
        <w:tc>
          <w:tcPr>
            <w:tcW w:w="0" w:type="auto"/>
            <w:vMerge/>
          </w:tcPr>
          <w:p w14:paraId="76B0D913" w14:textId="77777777" w:rsidR="009A2C2E" w:rsidRDefault="009A2C2E" w:rsidP="00E53512"/>
        </w:tc>
        <w:tc>
          <w:tcPr>
            <w:tcW w:w="0" w:type="auto"/>
          </w:tcPr>
          <w:p w14:paraId="7984B0A6" w14:textId="77777777" w:rsidR="009A2C2E" w:rsidRDefault="009A2C2E" w:rsidP="00E53512">
            <w:pPr>
              <w:keepNext/>
              <w:spacing w:before="100" w:after="0"/>
              <w:rPr>
                <w:b/>
              </w:rPr>
            </w:pPr>
            <w:r>
              <w:rPr>
                <w:b/>
              </w:rPr>
              <w:t>Needs Addressed</w:t>
            </w:r>
          </w:p>
        </w:tc>
        <w:tc>
          <w:tcPr>
            <w:tcW w:w="0" w:type="auto"/>
            <w:shd w:val="clear" w:color="auto" w:fill="FFFFFF" w:themeFill="background1"/>
          </w:tcPr>
          <w:p w14:paraId="7279CF28" w14:textId="77777777" w:rsidR="009A2C2E" w:rsidRPr="00BE2A39" w:rsidRDefault="009A2C2E" w:rsidP="00E53512">
            <w:pPr>
              <w:spacing w:before="100" w:after="0"/>
            </w:pPr>
            <w:r w:rsidRPr="00BE2A39">
              <w:rPr>
                <w:color w:val="000000"/>
              </w:rPr>
              <w:t>Public Facilities</w:t>
            </w:r>
            <w:r w:rsidRPr="00BE2A39">
              <w:rPr>
                <w:color w:val="000000"/>
              </w:rPr>
              <w:br/>
              <w:t>Public Infrastructure</w:t>
            </w:r>
            <w:r w:rsidRPr="00BE2A39">
              <w:rPr>
                <w:color w:val="000000"/>
              </w:rPr>
              <w:br/>
              <w:t>Housing related activities</w:t>
            </w:r>
          </w:p>
        </w:tc>
      </w:tr>
      <w:tr w:rsidR="009A2C2E" w14:paraId="7A59F413" w14:textId="77777777" w:rsidTr="00BE2A39">
        <w:trPr>
          <w:cantSplit/>
        </w:trPr>
        <w:tc>
          <w:tcPr>
            <w:tcW w:w="0" w:type="auto"/>
            <w:vMerge/>
          </w:tcPr>
          <w:p w14:paraId="0076AADD" w14:textId="77777777" w:rsidR="009A2C2E" w:rsidRDefault="009A2C2E" w:rsidP="00E53512"/>
        </w:tc>
        <w:tc>
          <w:tcPr>
            <w:tcW w:w="0" w:type="auto"/>
          </w:tcPr>
          <w:p w14:paraId="63858440" w14:textId="77777777" w:rsidR="009A2C2E" w:rsidRDefault="009A2C2E" w:rsidP="00E53512">
            <w:pPr>
              <w:keepNext/>
              <w:spacing w:before="100" w:after="0"/>
              <w:rPr>
                <w:b/>
              </w:rPr>
            </w:pPr>
            <w:r>
              <w:rPr>
                <w:b/>
              </w:rPr>
              <w:t>Funding</w:t>
            </w:r>
          </w:p>
        </w:tc>
        <w:tc>
          <w:tcPr>
            <w:tcW w:w="0" w:type="auto"/>
            <w:shd w:val="clear" w:color="auto" w:fill="FFFFFF" w:themeFill="background1"/>
          </w:tcPr>
          <w:p w14:paraId="142F6C49" w14:textId="6EC4FF92" w:rsidR="009A2C2E" w:rsidRPr="00BE2A39" w:rsidRDefault="009A2C2E" w:rsidP="00E53512">
            <w:pPr>
              <w:spacing w:before="100" w:after="0"/>
            </w:pPr>
            <w:r w:rsidRPr="00BE2A39">
              <w:rPr>
                <w:color w:val="000000"/>
              </w:rPr>
              <w:t>CDBG: $</w:t>
            </w:r>
            <w:r w:rsidR="00BE2A39">
              <w:rPr>
                <w:color w:val="000000"/>
              </w:rPr>
              <w:t>3,667,271</w:t>
            </w:r>
          </w:p>
        </w:tc>
      </w:tr>
      <w:tr w:rsidR="009A2C2E" w14:paraId="6122118D" w14:textId="77777777" w:rsidTr="00BE2A39">
        <w:trPr>
          <w:cantSplit/>
        </w:trPr>
        <w:tc>
          <w:tcPr>
            <w:tcW w:w="0" w:type="auto"/>
            <w:vMerge/>
          </w:tcPr>
          <w:p w14:paraId="67F568A6" w14:textId="77777777" w:rsidR="009A2C2E" w:rsidRDefault="009A2C2E" w:rsidP="00E53512"/>
        </w:tc>
        <w:tc>
          <w:tcPr>
            <w:tcW w:w="0" w:type="auto"/>
          </w:tcPr>
          <w:p w14:paraId="4CBC89F0" w14:textId="77777777" w:rsidR="009A2C2E" w:rsidRDefault="009A2C2E" w:rsidP="00E53512">
            <w:pPr>
              <w:keepNext/>
              <w:spacing w:before="100" w:after="0"/>
              <w:rPr>
                <w:b/>
              </w:rPr>
            </w:pPr>
            <w:r>
              <w:rPr>
                <w:b/>
              </w:rPr>
              <w:t>Description</w:t>
            </w:r>
          </w:p>
        </w:tc>
        <w:tc>
          <w:tcPr>
            <w:tcW w:w="0" w:type="auto"/>
            <w:shd w:val="clear" w:color="auto" w:fill="FFFFFF" w:themeFill="background1"/>
          </w:tcPr>
          <w:p w14:paraId="780489A9" w14:textId="77777777" w:rsidR="009A2C2E" w:rsidRPr="00BE2A39" w:rsidRDefault="009A2C2E" w:rsidP="00E53512">
            <w:pPr>
              <w:spacing w:before="100" w:after="0"/>
            </w:pPr>
            <w:r w:rsidRPr="00BE2A39">
              <w:rPr>
                <w:color w:val="000000"/>
              </w:rPr>
              <w:t>Activities that include the rehabilitation, replacement, and/or remodeling of public facilities (infrastructure, community facilities, public utilities and affordable housing) systems</w:t>
            </w:r>
          </w:p>
        </w:tc>
      </w:tr>
      <w:tr w:rsidR="009A2C2E" w14:paraId="70ED2E1F" w14:textId="77777777" w:rsidTr="00BE2A39">
        <w:trPr>
          <w:cantSplit/>
        </w:trPr>
        <w:tc>
          <w:tcPr>
            <w:tcW w:w="0" w:type="auto"/>
            <w:vMerge/>
          </w:tcPr>
          <w:p w14:paraId="7308437C" w14:textId="77777777" w:rsidR="009A2C2E" w:rsidRDefault="009A2C2E" w:rsidP="00E53512"/>
        </w:tc>
        <w:tc>
          <w:tcPr>
            <w:tcW w:w="0" w:type="auto"/>
          </w:tcPr>
          <w:p w14:paraId="1F11D027" w14:textId="77777777" w:rsidR="009A2C2E" w:rsidRDefault="009A2C2E" w:rsidP="00E53512">
            <w:pPr>
              <w:keepNext/>
              <w:spacing w:before="100" w:after="0"/>
              <w:rPr>
                <w:b/>
              </w:rPr>
            </w:pPr>
            <w:r>
              <w:rPr>
                <w:b/>
              </w:rPr>
              <w:t>Target Date</w:t>
            </w:r>
          </w:p>
        </w:tc>
        <w:tc>
          <w:tcPr>
            <w:tcW w:w="0" w:type="auto"/>
            <w:shd w:val="clear" w:color="auto" w:fill="FFFFFF" w:themeFill="background1"/>
          </w:tcPr>
          <w:p w14:paraId="096B356C" w14:textId="7195923F" w:rsidR="009A2C2E" w:rsidRPr="00BE2A39" w:rsidRDefault="009A2C2E" w:rsidP="00E53512">
            <w:pPr>
              <w:spacing w:before="100" w:after="0"/>
            </w:pPr>
            <w:r w:rsidRPr="00BE2A39">
              <w:rPr>
                <w:color w:val="000000"/>
              </w:rPr>
              <w:t xml:space="preserve"> </w:t>
            </w:r>
            <w:r w:rsidR="003C13C4">
              <w:rPr>
                <w:color w:val="000000"/>
              </w:rPr>
              <w:t>3/31/2029</w:t>
            </w:r>
          </w:p>
        </w:tc>
      </w:tr>
      <w:tr w:rsidR="009A2C2E" w14:paraId="24A80A78" w14:textId="77777777" w:rsidTr="00BE2A39">
        <w:trPr>
          <w:cantSplit/>
        </w:trPr>
        <w:tc>
          <w:tcPr>
            <w:tcW w:w="0" w:type="auto"/>
            <w:vMerge/>
          </w:tcPr>
          <w:p w14:paraId="560F5CD0" w14:textId="77777777" w:rsidR="009A2C2E" w:rsidRDefault="009A2C2E" w:rsidP="00E53512"/>
        </w:tc>
        <w:tc>
          <w:tcPr>
            <w:tcW w:w="0" w:type="auto"/>
          </w:tcPr>
          <w:p w14:paraId="266873A7"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shd w:val="clear" w:color="auto" w:fill="FFFFFF" w:themeFill="background1"/>
          </w:tcPr>
          <w:p w14:paraId="10298A37" w14:textId="77777777" w:rsidR="009A2C2E" w:rsidRPr="00BE2A39" w:rsidRDefault="009A2C2E" w:rsidP="00E53512">
            <w:pPr>
              <w:spacing w:before="100" w:after="0"/>
            </w:pPr>
            <w:r w:rsidRPr="00BE2A39">
              <w:rPr>
                <w:color w:val="000000"/>
              </w:rPr>
              <w:t>State of Idaho estimates 17000 persons will benefit from the proposed activities in other than housing benefit activities and 24 households in housing benefit activities. </w:t>
            </w:r>
          </w:p>
        </w:tc>
      </w:tr>
      <w:tr w:rsidR="009A2C2E" w14:paraId="331B4FF0" w14:textId="77777777" w:rsidTr="00BE2A39">
        <w:trPr>
          <w:cantSplit/>
        </w:trPr>
        <w:tc>
          <w:tcPr>
            <w:tcW w:w="0" w:type="auto"/>
            <w:vMerge/>
          </w:tcPr>
          <w:p w14:paraId="5DA650B2" w14:textId="77777777" w:rsidR="009A2C2E" w:rsidRDefault="009A2C2E" w:rsidP="00E53512"/>
        </w:tc>
        <w:tc>
          <w:tcPr>
            <w:tcW w:w="0" w:type="auto"/>
          </w:tcPr>
          <w:p w14:paraId="507291DB"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shd w:val="clear" w:color="auto" w:fill="FFFFFF" w:themeFill="background1"/>
          </w:tcPr>
          <w:p w14:paraId="56526C8D" w14:textId="77777777" w:rsidR="009A2C2E" w:rsidRPr="00BE2A39" w:rsidRDefault="009A2C2E" w:rsidP="00E53512">
            <w:pPr>
              <w:spacing w:before="100" w:after="0"/>
            </w:pPr>
            <w:r w:rsidRPr="00BE2A39">
              <w:rPr>
                <w:color w:val="000000"/>
              </w:rPr>
              <w:t xml:space="preserve">Cities and counties throughout Idaho </w:t>
            </w:r>
            <w:proofErr w:type="gramStart"/>
            <w:r w:rsidRPr="00BE2A39">
              <w:rPr>
                <w:color w:val="000000"/>
              </w:rPr>
              <w:t>with the exception of</w:t>
            </w:r>
            <w:proofErr w:type="gramEnd"/>
            <w:r w:rsidRPr="00BE2A39">
              <w:rPr>
                <w:color w:val="000000"/>
              </w:rPr>
              <w:t xml:space="preserve"> nine entitlement cities: Coeur D Alene, Lewiston, Caldwell, Nampa, Meridian, Boise, Pocatello, Idaho Falls and Twin Falls.</w:t>
            </w:r>
          </w:p>
        </w:tc>
      </w:tr>
      <w:tr w:rsidR="009A2C2E" w14:paraId="4F4B0144" w14:textId="77777777" w:rsidTr="00BE2A39">
        <w:trPr>
          <w:cantSplit/>
        </w:trPr>
        <w:tc>
          <w:tcPr>
            <w:tcW w:w="0" w:type="auto"/>
            <w:vMerge/>
          </w:tcPr>
          <w:p w14:paraId="39D6878D" w14:textId="77777777" w:rsidR="009A2C2E" w:rsidRDefault="009A2C2E" w:rsidP="00E53512"/>
        </w:tc>
        <w:tc>
          <w:tcPr>
            <w:tcW w:w="0" w:type="auto"/>
          </w:tcPr>
          <w:p w14:paraId="761AEC22"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shd w:val="clear" w:color="auto" w:fill="FFFFFF" w:themeFill="background1"/>
          </w:tcPr>
          <w:p w14:paraId="01E1D23C" w14:textId="77777777" w:rsidR="009A2C2E" w:rsidRPr="00BE2A39" w:rsidRDefault="009A2C2E" w:rsidP="00E53512">
            <w:pPr>
              <w:spacing w:before="100" w:after="0"/>
            </w:pPr>
            <w:r w:rsidRPr="00BE2A39">
              <w:rPr>
                <w:color w:val="000000"/>
              </w:rPr>
              <w:t>Activities that include the rehabilitation, replacement, and/or remodeling of public facilities (infrastructure, community facilities, public utilities and affordable housing) systems.</w:t>
            </w:r>
          </w:p>
        </w:tc>
      </w:tr>
      <w:tr w:rsidR="009A2C2E" w14:paraId="7418E6CC" w14:textId="77777777" w:rsidTr="007B7B72">
        <w:trPr>
          <w:cantSplit/>
        </w:trPr>
        <w:tc>
          <w:tcPr>
            <w:tcW w:w="0" w:type="auto"/>
            <w:vMerge w:val="restart"/>
          </w:tcPr>
          <w:p w14:paraId="0B7C73C3" w14:textId="77777777" w:rsidR="009A2C2E" w:rsidRDefault="009A2C2E" w:rsidP="00E53512">
            <w:r>
              <w:rPr>
                <w:b/>
              </w:rPr>
              <w:t>3</w:t>
            </w:r>
          </w:p>
        </w:tc>
        <w:tc>
          <w:tcPr>
            <w:tcW w:w="0" w:type="auto"/>
            <w:shd w:val="clear" w:color="auto" w:fill="D9E2F3" w:themeFill="accent1" w:themeFillTint="33"/>
          </w:tcPr>
          <w:p w14:paraId="4071B317" w14:textId="77777777" w:rsidR="009A2C2E" w:rsidRDefault="009A2C2E" w:rsidP="00E53512">
            <w:pPr>
              <w:keepNext/>
              <w:spacing w:before="100" w:after="0"/>
              <w:rPr>
                <w:b/>
              </w:rPr>
            </w:pPr>
            <w:r>
              <w:rPr>
                <w:b/>
              </w:rPr>
              <w:t>Project Name</w:t>
            </w:r>
          </w:p>
        </w:tc>
        <w:tc>
          <w:tcPr>
            <w:tcW w:w="0" w:type="auto"/>
            <w:shd w:val="clear" w:color="auto" w:fill="D9E2F3" w:themeFill="accent1" w:themeFillTint="33"/>
          </w:tcPr>
          <w:p w14:paraId="64F05C7C" w14:textId="4AA42062" w:rsidR="009A2C2E" w:rsidRPr="00BE2A39" w:rsidRDefault="00C84914" w:rsidP="008972B1">
            <w:pPr>
              <w:spacing w:before="100" w:after="0"/>
              <w:rPr>
                <w:b/>
                <w:bCs/>
              </w:rPr>
            </w:pPr>
            <w:r w:rsidRPr="00C84914">
              <w:rPr>
                <w:b/>
                <w:bCs/>
                <w:color w:val="000000"/>
              </w:rPr>
              <w:t>CDBG-Public Facilities/Infrastructure/Service-New Construction or Purchase</w:t>
            </w:r>
          </w:p>
        </w:tc>
      </w:tr>
      <w:tr w:rsidR="009A2C2E" w14:paraId="0ABF6475" w14:textId="77777777" w:rsidTr="00BE2A39">
        <w:trPr>
          <w:cantSplit/>
        </w:trPr>
        <w:tc>
          <w:tcPr>
            <w:tcW w:w="0" w:type="auto"/>
            <w:vMerge/>
          </w:tcPr>
          <w:p w14:paraId="7A5B1392" w14:textId="77777777" w:rsidR="009A2C2E" w:rsidRDefault="009A2C2E" w:rsidP="00E53512"/>
        </w:tc>
        <w:tc>
          <w:tcPr>
            <w:tcW w:w="0" w:type="auto"/>
          </w:tcPr>
          <w:p w14:paraId="130AC4CC" w14:textId="77777777" w:rsidR="009A2C2E" w:rsidRDefault="009A2C2E" w:rsidP="00E53512">
            <w:pPr>
              <w:keepNext/>
              <w:spacing w:before="100" w:after="0"/>
              <w:rPr>
                <w:b/>
              </w:rPr>
            </w:pPr>
            <w:r>
              <w:rPr>
                <w:b/>
              </w:rPr>
              <w:t>Target Area</w:t>
            </w:r>
          </w:p>
        </w:tc>
        <w:tc>
          <w:tcPr>
            <w:tcW w:w="0" w:type="auto"/>
            <w:shd w:val="clear" w:color="auto" w:fill="FFFFFF" w:themeFill="background1"/>
          </w:tcPr>
          <w:p w14:paraId="1F2C8A39" w14:textId="13AD2133" w:rsidR="009A2C2E" w:rsidRPr="00BE2A39" w:rsidRDefault="009A2C2E" w:rsidP="00E53512">
            <w:pPr>
              <w:spacing w:before="100" w:after="0"/>
            </w:pPr>
            <w:r w:rsidRPr="00BE2A39">
              <w:rPr>
                <w:color w:val="000000"/>
              </w:rPr>
              <w:t xml:space="preserve"> </w:t>
            </w:r>
            <w:r w:rsidR="008C0647">
              <w:rPr>
                <w:color w:val="000000"/>
              </w:rPr>
              <w:t>N/A</w:t>
            </w:r>
          </w:p>
        </w:tc>
      </w:tr>
      <w:tr w:rsidR="009A2C2E" w14:paraId="657A71D7" w14:textId="77777777" w:rsidTr="00BE2A39">
        <w:trPr>
          <w:cantSplit/>
        </w:trPr>
        <w:tc>
          <w:tcPr>
            <w:tcW w:w="0" w:type="auto"/>
            <w:vMerge/>
          </w:tcPr>
          <w:p w14:paraId="6B7D955F" w14:textId="77777777" w:rsidR="009A2C2E" w:rsidRDefault="009A2C2E" w:rsidP="00E53512"/>
        </w:tc>
        <w:tc>
          <w:tcPr>
            <w:tcW w:w="0" w:type="auto"/>
          </w:tcPr>
          <w:p w14:paraId="4BD8588B" w14:textId="77777777" w:rsidR="009A2C2E" w:rsidRDefault="009A2C2E" w:rsidP="00E53512">
            <w:pPr>
              <w:keepNext/>
              <w:spacing w:before="100" w:after="0"/>
              <w:rPr>
                <w:b/>
              </w:rPr>
            </w:pPr>
            <w:r>
              <w:rPr>
                <w:b/>
              </w:rPr>
              <w:t>Goals Supported</w:t>
            </w:r>
          </w:p>
        </w:tc>
        <w:tc>
          <w:tcPr>
            <w:tcW w:w="0" w:type="auto"/>
            <w:shd w:val="clear" w:color="auto" w:fill="FFFFFF" w:themeFill="background1"/>
          </w:tcPr>
          <w:p w14:paraId="7664B015" w14:textId="77777777" w:rsidR="008972B1" w:rsidRPr="008972B1" w:rsidRDefault="008972B1" w:rsidP="008972B1">
            <w:pPr>
              <w:spacing w:before="100" w:after="0"/>
              <w:rPr>
                <w:color w:val="000000"/>
              </w:rPr>
            </w:pPr>
            <w:r w:rsidRPr="008972B1">
              <w:rPr>
                <w:color w:val="000000"/>
              </w:rPr>
              <w:t xml:space="preserve">Public Facilities/Infrastructure/Public Service New Construction or </w:t>
            </w:r>
          </w:p>
          <w:p w14:paraId="45C9B03A" w14:textId="0FC40E57" w:rsidR="009A2C2E" w:rsidRPr="00BE2A39" w:rsidRDefault="008972B1" w:rsidP="008972B1">
            <w:pPr>
              <w:spacing w:before="100" w:after="0"/>
            </w:pPr>
            <w:r w:rsidRPr="008972B1">
              <w:rPr>
                <w:color w:val="000000"/>
              </w:rPr>
              <w:t>Purchasing</w:t>
            </w:r>
          </w:p>
        </w:tc>
      </w:tr>
      <w:tr w:rsidR="009A2C2E" w14:paraId="48609A46" w14:textId="77777777" w:rsidTr="00BE2A39">
        <w:trPr>
          <w:cantSplit/>
        </w:trPr>
        <w:tc>
          <w:tcPr>
            <w:tcW w:w="0" w:type="auto"/>
            <w:vMerge/>
          </w:tcPr>
          <w:p w14:paraId="256E3DF7" w14:textId="77777777" w:rsidR="009A2C2E" w:rsidRDefault="009A2C2E" w:rsidP="00E53512"/>
        </w:tc>
        <w:tc>
          <w:tcPr>
            <w:tcW w:w="0" w:type="auto"/>
          </w:tcPr>
          <w:p w14:paraId="114C060C" w14:textId="77777777" w:rsidR="009A2C2E" w:rsidRDefault="009A2C2E" w:rsidP="00E53512">
            <w:pPr>
              <w:keepNext/>
              <w:spacing w:before="100" w:after="0"/>
              <w:rPr>
                <w:b/>
              </w:rPr>
            </w:pPr>
            <w:r>
              <w:rPr>
                <w:b/>
              </w:rPr>
              <w:t>Needs Addressed</w:t>
            </w:r>
          </w:p>
        </w:tc>
        <w:tc>
          <w:tcPr>
            <w:tcW w:w="0" w:type="auto"/>
            <w:shd w:val="clear" w:color="auto" w:fill="FFFFFF" w:themeFill="background1"/>
          </w:tcPr>
          <w:p w14:paraId="2C90C19E" w14:textId="77777777" w:rsidR="009A2C2E" w:rsidRPr="00BE2A39" w:rsidRDefault="009A2C2E" w:rsidP="00E53512">
            <w:pPr>
              <w:spacing w:before="100" w:after="0"/>
            </w:pPr>
            <w:r w:rsidRPr="00BE2A39">
              <w:rPr>
                <w:color w:val="000000"/>
              </w:rPr>
              <w:t>Public Facilities</w:t>
            </w:r>
            <w:r w:rsidRPr="00BE2A39">
              <w:rPr>
                <w:color w:val="000000"/>
              </w:rPr>
              <w:br/>
              <w:t>Public Infrastructure</w:t>
            </w:r>
          </w:p>
        </w:tc>
      </w:tr>
      <w:tr w:rsidR="009A2C2E" w14:paraId="05DF0B80" w14:textId="77777777" w:rsidTr="00BE2A39">
        <w:trPr>
          <w:cantSplit/>
        </w:trPr>
        <w:tc>
          <w:tcPr>
            <w:tcW w:w="0" w:type="auto"/>
            <w:vMerge/>
          </w:tcPr>
          <w:p w14:paraId="3D0B3B08" w14:textId="77777777" w:rsidR="009A2C2E" w:rsidRDefault="009A2C2E" w:rsidP="00E53512"/>
        </w:tc>
        <w:tc>
          <w:tcPr>
            <w:tcW w:w="0" w:type="auto"/>
          </w:tcPr>
          <w:p w14:paraId="72E4864F" w14:textId="77777777" w:rsidR="009A2C2E" w:rsidRDefault="009A2C2E" w:rsidP="00E53512">
            <w:pPr>
              <w:keepNext/>
              <w:spacing w:before="100" w:after="0"/>
              <w:rPr>
                <w:b/>
              </w:rPr>
            </w:pPr>
            <w:r>
              <w:rPr>
                <w:b/>
              </w:rPr>
              <w:t>Funding</w:t>
            </w:r>
          </w:p>
        </w:tc>
        <w:tc>
          <w:tcPr>
            <w:tcW w:w="0" w:type="auto"/>
            <w:shd w:val="clear" w:color="auto" w:fill="FFFFFF" w:themeFill="background1"/>
          </w:tcPr>
          <w:p w14:paraId="44016DD3" w14:textId="168D842B" w:rsidR="009A2C2E" w:rsidRPr="00BE2A39" w:rsidRDefault="009A2C2E" w:rsidP="00E53512">
            <w:pPr>
              <w:spacing w:before="100" w:after="0"/>
            </w:pPr>
            <w:r w:rsidRPr="00BE2A39">
              <w:rPr>
                <w:color w:val="000000"/>
              </w:rPr>
              <w:t>CDBG: $</w:t>
            </w:r>
            <w:r w:rsidR="00BE2A39">
              <w:rPr>
                <w:color w:val="000000"/>
              </w:rPr>
              <w:t>3,056,060</w:t>
            </w:r>
          </w:p>
        </w:tc>
      </w:tr>
      <w:tr w:rsidR="009A2C2E" w14:paraId="57F7FB0B" w14:textId="77777777" w:rsidTr="00BE2A39">
        <w:trPr>
          <w:cantSplit/>
        </w:trPr>
        <w:tc>
          <w:tcPr>
            <w:tcW w:w="0" w:type="auto"/>
            <w:vMerge/>
          </w:tcPr>
          <w:p w14:paraId="58C8EACA" w14:textId="77777777" w:rsidR="009A2C2E" w:rsidRDefault="009A2C2E" w:rsidP="00E53512"/>
        </w:tc>
        <w:tc>
          <w:tcPr>
            <w:tcW w:w="0" w:type="auto"/>
          </w:tcPr>
          <w:p w14:paraId="2EE4378D" w14:textId="77777777" w:rsidR="009A2C2E" w:rsidRDefault="009A2C2E" w:rsidP="00E53512">
            <w:pPr>
              <w:keepNext/>
              <w:spacing w:before="100" w:after="0"/>
              <w:rPr>
                <w:b/>
              </w:rPr>
            </w:pPr>
            <w:r>
              <w:rPr>
                <w:b/>
              </w:rPr>
              <w:t>Description</w:t>
            </w:r>
          </w:p>
        </w:tc>
        <w:tc>
          <w:tcPr>
            <w:tcW w:w="0" w:type="auto"/>
            <w:shd w:val="clear" w:color="auto" w:fill="FFFFFF" w:themeFill="background1"/>
          </w:tcPr>
          <w:p w14:paraId="0433F2D8" w14:textId="77777777" w:rsidR="009A2C2E" w:rsidRPr="00BE2A39" w:rsidRDefault="009A2C2E" w:rsidP="00E53512">
            <w:pPr>
              <w:spacing w:before="100" w:after="0"/>
            </w:pPr>
            <w:r w:rsidRPr="00BE2A39">
              <w:rPr>
                <w:color w:val="000000"/>
              </w:rPr>
              <w:t>New construction of a public facility (infrastructure, community facilities and public utilities) or extension of public facilities to an eligible service area.  This includes new infrastructure to support affordable housing and housing related activities.</w:t>
            </w:r>
          </w:p>
        </w:tc>
      </w:tr>
      <w:tr w:rsidR="009A2C2E" w14:paraId="0FDD44D8" w14:textId="77777777" w:rsidTr="00BE2A39">
        <w:trPr>
          <w:cantSplit/>
        </w:trPr>
        <w:tc>
          <w:tcPr>
            <w:tcW w:w="0" w:type="auto"/>
            <w:vMerge/>
          </w:tcPr>
          <w:p w14:paraId="5F66C623" w14:textId="77777777" w:rsidR="009A2C2E" w:rsidRDefault="009A2C2E" w:rsidP="00E53512"/>
        </w:tc>
        <w:tc>
          <w:tcPr>
            <w:tcW w:w="0" w:type="auto"/>
          </w:tcPr>
          <w:p w14:paraId="04CC1133" w14:textId="77777777" w:rsidR="009A2C2E" w:rsidRDefault="009A2C2E" w:rsidP="00E53512">
            <w:pPr>
              <w:keepNext/>
              <w:spacing w:before="100" w:after="0"/>
              <w:rPr>
                <w:b/>
              </w:rPr>
            </w:pPr>
            <w:r>
              <w:rPr>
                <w:b/>
              </w:rPr>
              <w:t>Target Date</w:t>
            </w:r>
          </w:p>
        </w:tc>
        <w:tc>
          <w:tcPr>
            <w:tcW w:w="0" w:type="auto"/>
            <w:shd w:val="clear" w:color="auto" w:fill="FFFFFF" w:themeFill="background1"/>
          </w:tcPr>
          <w:p w14:paraId="23BC74E5" w14:textId="3C45B1AC" w:rsidR="009A2C2E" w:rsidRPr="00BE2A39" w:rsidRDefault="009A2C2E" w:rsidP="00E53512">
            <w:pPr>
              <w:spacing w:before="100" w:after="0"/>
            </w:pPr>
            <w:r w:rsidRPr="00BE2A39">
              <w:rPr>
                <w:color w:val="000000"/>
              </w:rPr>
              <w:t xml:space="preserve"> </w:t>
            </w:r>
            <w:r w:rsidR="00E46B10">
              <w:rPr>
                <w:color w:val="000000"/>
              </w:rPr>
              <w:t>3/31/2029</w:t>
            </w:r>
          </w:p>
        </w:tc>
      </w:tr>
      <w:tr w:rsidR="009A2C2E" w14:paraId="3E5BA20C" w14:textId="77777777" w:rsidTr="00BE2A39">
        <w:trPr>
          <w:cantSplit/>
        </w:trPr>
        <w:tc>
          <w:tcPr>
            <w:tcW w:w="0" w:type="auto"/>
            <w:vMerge/>
          </w:tcPr>
          <w:p w14:paraId="36A6C92B" w14:textId="77777777" w:rsidR="009A2C2E" w:rsidRDefault="009A2C2E" w:rsidP="00E53512"/>
        </w:tc>
        <w:tc>
          <w:tcPr>
            <w:tcW w:w="0" w:type="auto"/>
          </w:tcPr>
          <w:p w14:paraId="37804107"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shd w:val="clear" w:color="auto" w:fill="FFFFFF" w:themeFill="background1"/>
          </w:tcPr>
          <w:p w14:paraId="4E4B6B2E" w14:textId="77777777" w:rsidR="009A2C2E" w:rsidRPr="00BE2A39" w:rsidRDefault="009A2C2E" w:rsidP="00E53512">
            <w:pPr>
              <w:spacing w:before="100" w:after="0"/>
            </w:pPr>
            <w:r w:rsidRPr="00BE2A39">
              <w:rPr>
                <w:color w:val="000000"/>
              </w:rPr>
              <w:t>State of Idaho estimates 12000 persons will benefit from the proposed activities in other than housing benefit activities and 12 households in housing benefit activities. </w:t>
            </w:r>
          </w:p>
        </w:tc>
      </w:tr>
      <w:tr w:rsidR="009A2C2E" w14:paraId="235623F4" w14:textId="77777777" w:rsidTr="00BE2A39">
        <w:trPr>
          <w:cantSplit/>
        </w:trPr>
        <w:tc>
          <w:tcPr>
            <w:tcW w:w="0" w:type="auto"/>
            <w:vMerge/>
          </w:tcPr>
          <w:p w14:paraId="5C647422" w14:textId="77777777" w:rsidR="009A2C2E" w:rsidRDefault="009A2C2E" w:rsidP="00E53512"/>
        </w:tc>
        <w:tc>
          <w:tcPr>
            <w:tcW w:w="0" w:type="auto"/>
          </w:tcPr>
          <w:p w14:paraId="14C82B06"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shd w:val="clear" w:color="auto" w:fill="FFFFFF" w:themeFill="background1"/>
          </w:tcPr>
          <w:p w14:paraId="5E274385" w14:textId="77777777" w:rsidR="009A2C2E" w:rsidRPr="00BE2A39" w:rsidRDefault="009A2C2E" w:rsidP="00E53512">
            <w:pPr>
              <w:spacing w:before="100" w:after="0"/>
            </w:pPr>
            <w:r w:rsidRPr="00BE2A39">
              <w:rPr>
                <w:color w:val="000000"/>
              </w:rPr>
              <w:t xml:space="preserve">Cities and counties throughout Idaho </w:t>
            </w:r>
            <w:proofErr w:type="gramStart"/>
            <w:r w:rsidRPr="00BE2A39">
              <w:rPr>
                <w:color w:val="000000"/>
              </w:rPr>
              <w:t>with the exception of</w:t>
            </w:r>
            <w:proofErr w:type="gramEnd"/>
            <w:r w:rsidRPr="00BE2A39">
              <w:rPr>
                <w:color w:val="000000"/>
              </w:rPr>
              <w:t xml:space="preserve"> nine entitlement cities: Coeur D Alene, Lewiston, Caldwell, Nampa, Meridian, Boise, Pocatello, Idaho Falls and Twin Falls.</w:t>
            </w:r>
          </w:p>
        </w:tc>
      </w:tr>
      <w:tr w:rsidR="009A2C2E" w14:paraId="0162ADF9" w14:textId="77777777" w:rsidTr="00BE2A39">
        <w:trPr>
          <w:cantSplit/>
        </w:trPr>
        <w:tc>
          <w:tcPr>
            <w:tcW w:w="0" w:type="auto"/>
            <w:vMerge/>
          </w:tcPr>
          <w:p w14:paraId="3AAE0AED" w14:textId="77777777" w:rsidR="009A2C2E" w:rsidRDefault="009A2C2E" w:rsidP="00E53512"/>
        </w:tc>
        <w:tc>
          <w:tcPr>
            <w:tcW w:w="0" w:type="auto"/>
          </w:tcPr>
          <w:p w14:paraId="41E60448"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shd w:val="clear" w:color="auto" w:fill="FFFFFF" w:themeFill="background1"/>
          </w:tcPr>
          <w:p w14:paraId="303F245C" w14:textId="77777777" w:rsidR="009A2C2E" w:rsidRPr="00BE2A39" w:rsidRDefault="009A2C2E" w:rsidP="00E53512">
            <w:pPr>
              <w:spacing w:before="100" w:after="0"/>
            </w:pPr>
            <w:r w:rsidRPr="00BE2A39">
              <w:rPr>
                <w:color w:val="000000"/>
              </w:rPr>
              <w:t>Project administration costs, design services, land acquisition, public facilities/infrastructure new construction, rehabilitation and compliance.</w:t>
            </w:r>
          </w:p>
        </w:tc>
      </w:tr>
    </w:tbl>
    <w:p w14:paraId="1C872980" w14:textId="77777777" w:rsidR="00BE2A39" w:rsidRDefault="00BE2A3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425"/>
        <w:gridCol w:w="6597"/>
      </w:tblGrid>
      <w:tr w:rsidR="009A2C2E" w14:paraId="17575BEF" w14:textId="77777777" w:rsidTr="787E070B">
        <w:trPr>
          <w:cantSplit/>
        </w:trPr>
        <w:tc>
          <w:tcPr>
            <w:tcW w:w="0" w:type="auto"/>
            <w:vMerge w:val="restart"/>
          </w:tcPr>
          <w:p w14:paraId="41B8E70C" w14:textId="7016249A" w:rsidR="009A2C2E" w:rsidRDefault="009A2C2E" w:rsidP="00E53512">
            <w:r>
              <w:rPr>
                <w:b/>
              </w:rPr>
              <w:lastRenderedPageBreak/>
              <w:t>4</w:t>
            </w:r>
          </w:p>
        </w:tc>
        <w:tc>
          <w:tcPr>
            <w:tcW w:w="0" w:type="auto"/>
            <w:shd w:val="clear" w:color="auto" w:fill="D9E2F3" w:themeFill="accent1" w:themeFillTint="33"/>
          </w:tcPr>
          <w:p w14:paraId="6D849D09" w14:textId="77777777" w:rsidR="009A2C2E" w:rsidRDefault="009A2C2E" w:rsidP="00E53512">
            <w:pPr>
              <w:keepNext/>
              <w:spacing w:before="100" w:after="0"/>
              <w:rPr>
                <w:b/>
              </w:rPr>
            </w:pPr>
            <w:r>
              <w:rPr>
                <w:b/>
              </w:rPr>
              <w:t>Project Name</w:t>
            </w:r>
          </w:p>
        </w:tc>
        <w:tc>
          <w:tcPr>
            <w:tcW w:w="0" w:type="auto"/>
            <w:shd w:val="clear" w:color="auto" w:fill="D9E2F3" w:themeFill="accent1" w:themeFillTint="33"/>
          </w:tcPr>
          <w:p w14:paraId="13895A3C" w14:textId="77777777" w:rsidR="009A2C2E" w:rsidRPr="00BE2A39" w:rsidRDefault="009A2C2E" w:rsidP="00E53512">
            <w:pPr>
              <w:spacing w:before="100" w:after="0"/>
              <w:rPr>
                <w:b/>
                <w:bCs/>
              </w:rPr>
            </w:pPr>
            <w:r w:rsidRPr="00BE2A39">
              <w:rPr>
                <w:b/>
                <w:bCs/>
                <w:color w:val="000000"/>
              </w:rPr>
              <w:t>CDBG-Economic Development-Job Creation</w:t>
            </w:r>
          </w:p>
        </w:tc>
      </w:tr>
      <w:tr w:rsidR="009A2C2E" w14:paraId="69CB12AF" w14:textId="77777777" w:rsidTr="787E070B">
        <w:trPr>
          <w:cantSplit/>
        </w:trPr>
        <w:tc>
          <w:tcPr>
            <w:tcW w:w="0" w:type="auto"/>
            <w:vMerge/>
          </w:tcPr>
          <w:p w14:paraId="0D6E92C7" w14:textId="77777777" w:rsidR="009A2C2E" w:rsidRDefault="009A2C2E" w:rsidP="00E53512"/>
        </w:tc>
        <w:tc>
          <w:tcPr>
            <w:tcW w:w="0" w:type="auto"/>
          </w:tcPr>
          <w:p w14:paraId="6601A38C" w14:textId="77777777" w:rsidR="009A2C2E" w:rsidRDefault="009A2C2E" w:rsidP="00E53512">
            <w:pPr>
              <w:keepNext/>
              <w:spacing w:before="100" w:after="0"/>
              <w:rPr>
                <w:b/>
              </w:rPr>
            </w:pPr>
            <w:r>
              <w:rPr>
                <w:b/>
              </w:rPr>
              <w:t>Target Area</w:t>
            </w:r>
          </w:p>
        </w:tc>
        <w:tc>
          <w:tcPr>
            <w:tcW w:w="0" w:type="auto"/>
            <w:shd w:val="clear" w:color="auto" w:fill="FFFFFF" w:themeFill="background1"/>
          </w:tcPr>
          <w:p w14:paraId="67EC2818" w14:textId="78AF965D" w:rsidR="009A2C2E" w:rsidRPr="00BE2A39" w:rsidRDefault="009A2C2E" w:rsidP="00E53512">
            <w:pPr>
              <w:spacing w:before="100" w:after="0"/>
            </w:pPr>
            <w:r w:rsidRPr="00BE2A39">
              <w:rPr>
                <w:color w:val="000000"/>
              </w:rPr>
              <w:t xml:space="preserve"> </w:t>
            </w:r>
            <w:r w:rsidR="008C0647">
              <w:rPr>
                <w:color w:val="000000"/>
              </w:rPr>
              <w:t>N/A</w:t>
            </w:r>
          </w:p>
        </w:tc>
      </w:tr>
      <w:tr w:rsidR="009A2C2E" w14:paraId="01894B44" w14:textId="77777777" w:rsidTr="787E070B">
        <w:trPr>
          <w:cantSplit/>
        </w:trPr>
        <w:tc>
          <w:tcPr>
            <w:tcW w:w="0" w:type="auto"/>
            <w:vMerge/>
          </w:tcPr>
          <w:p w14:paraId="2E98A7FB" w14:textId="77777777" w:rsidR="009A2C2E" w:rsidRDefault="009A2C2E" w:rsidP="00E53512"/>
        </w:tc>
        <w:tc>
          <w:tcPr>
            <w:tcW w:w="0" w:type="auto"/>
          </w:tcPr>
          <w:p w14:paraId="31710AF2" w14:textId="77777777" w:rsidR="009A2C2E" w:rsidRDefault="009A2C2E" w:rsidP="00E53512">
            <w:pPr>
              <w:keepNext/>
              <w:spacing w:before="100" w:after="0"/>
              <w:rPr>
                <w:b/>
              </w:rPr>
            </w:pPr>
            <w:r>
              <w:rPr>
                <w:b/>
              </w:rPr>
              <w:t>Goals Supported</w:t>
            </w:r>
          </w:p>
        </w:tc>
        <w:tc>
          <w:tcPr>
            <w:tcW w:w="0" w:type="auto"/>
            <w:shd w:val="clear" w:color="auto" w:fill="FFFFFF" w:themeFill="background1"/>
          </w:tcPr>
          <w:p w14:paraId="58BDB9AF" w14:textId="77777777" w:rsidR="009A2C2E" w:rsidRPr="00BE2A39" w:rsidRDefault="009A2C2E" w:rsidP="00E53512">
            <w:pPr>
              <w:spacing w:before="100" w:after="0"/>
            </w:pPr>
            <w:r w:rsidRPr="00BE2A39">
              <w:rPr>
                <w:color w:val="000000"/>
              </w:rPr>
              <w:t>Economic Development-Job Creation</w:t>
            </w:r>
          </w:p>
        </w:tc>
      </w:tr>
      <w:tr w:rsidR="009A2C2E" w14:paraId="4D64475F" w14:textId="77777777" w:rsidTr="787E070B">
        <w:trPr>
          <w:cantSplit/>
        </w:trPr>
        <w:tc>
          <w:tcPr>
            <w:tcW w:w="0" w:type="auto"/>
            <w:vMerge/>
          </w:tcPr>
          <w:p w14:paraId="0B191745" w14:textId="77777777" w:rsidR="009A2C2E" w:rsidRDefault="009A2C2E" w:rsidP="00E53512"/>
        </w:tc>
        <w:tc>
          <w:tcPr>
            <w:tcW w:w="0" w:type="auto"/>
          </w:tcPr>
          <w:p w14:paraId="5C9E61F2" w14:textId="77777777" w:rsidR="009A2C2E" w:rsidRDefault="009A2C2E" w:rsidP="00E53512">
            <w:pPr>
              <w:keepNext/>
              <w:spacing w:before="100" w:after="0"/>
              <w:rPr>
                <w:b/>
              </w:rPr>
            </w:pPr>
            <w:r>
              <w:rPr>
                <w:b/>
              </w:rPr>
              <w:t>Needs Addressed</w:t>
            </w:r>
          </w:p>
        </w:tc>
        <w:tc>
          <w:tcPr>
            <w:tcW w:w="0" w:type="auto"/>
            <w:shd w:val="clear" w:color="auto" w:fill="FFFFFF" w:themeFill="background1"/>
          </w:tcPr>
          <w:p w14:paraId="432068E1" w14:textId="77777777" w:rsidR="009A2C2E" w:rsidRPr="00BE2A39" w:rsidRDefault="009A2C2E" w:rsidP="00E53512">
            <w:pPr>
              <w:spacing w:before="100" w:after="0"/>
            </w:pPr>
            <w:r w:rsidRPr="00BE2A39">
              <w:rPr>
                <w:color w:val="000000"/>
              </w:rPr>
              <w:t>Economic Development</w:t>
            </w:r>
          </w:p>
        </w:tc>
      </w:tr>
      <w:tr w:rsidR="009A2C2E" w14:paraId="411F8DDC" w14:textId="77777777" w:rsidTr="787E070B">
        <w:trPr>
          <w:cantSplit/>
        </w:trPr>
        <w:tc>
          <w:tcPr>
            <w:tcW w:w="0" w:type="auto"/>
            <w:vMerge/>
          </w:tcPr>
          <w:p w14:paraId="1B12D3DE" w14:textId="77777777" w:rsidR="009A2C2E" w:rsidRDefault="009A2C2E" w:rsidP="00E53512"/>
        </w:tc>
        <w:tc>
          <w:tcPr>
            <w:tcW w:w="0" w:type="auto"/>
          </w:tcPr>
          <w:p w14:paraId="3C56A2A5" w14:textId="77777777" w:rsidR="009A2C2E" w:rsidRDefault="009A2C2E" w:rsidP="00E53512">
            <w:pPr>
              <w:keepNext/>
              <w:spacing w:before="100" w:after="0"/>
              <w:rPr>
                <w:b/>
              </w:rPr>
            </w:pPr>
            <w:r>
              <w:rPr>
                <w:b/>
              </w:rPr>
              <w:t>Funding</w:t>
            </w:r>
          </w:p>
        </w:tc>
        <w:tc>
          <w:tcPr>
            <w:tcW w:w="0" w:type="auto"/>
            <w:shd w:val="clear" w:color="auto" w:fill="FFFFFF" w:themeFill="background1"/>
          </w:tcPr>
          <w:p w14:paraId="62AA7A37" w14:textId="4E143079" w:rsidR="009A2C2E" w:rsidRPr="00BE2A39" w:rsidRDefault="009A2C2E" w:rsidP="00E53512">
            <w:pPr>
              <w:spacing w:before="100" w:after="0"/>
            </w:pPr>
            <w:r w:rsidRPr="00BE2A39">
              <w:rPr>
                <w:color w:val="000000"/>
              </w:rPr>
              <w:t>CDBG: $</w:t>
            </w:r>
            <w:r w:rsidR="00BE2A39">
              <w:rPr>
                <w:color w:val="000000"/>
              </w:rPr>
              <w:t>1,222,423</w:t>
            </w:r>
          </w:p>
        </w:tc>
      </w:tr>
      <w:tr w:rsidR="009A2C2E" w14:paraId="3607995F" w14:textId="77777777" w:rsidTr="787E070B">
        <w:trPr>
          <w:cantSplit/>
        </w:trPr>
        <w:tc>
          <w:tcPr>
            <w:tcW w:w="0" w:type="auto"/>
            <w:vMerge/>
          </w:tcPr>
          <w:p w14:paraId="729210C1" w14:textId="77777777" w:rsidR="009A2C2E" w:rsidRDefault="009A2C2E" w:rsidP="00E53512"/>
        </w:tc>
        <w:tc>
          <w:tcPr>
            <w:tcW w:w="0" w:type="auto"/>
          </w:tcPr>
          <w:p w14:paraId="6899A22A" w14:textId="77777777" w:rsidR="009A2C2E" w:rsidRDefault="009A2C2E" w:rsidP="00E53512">
            <w:pPr>
              <w:keepNext/>
              <w:spacing w:before="100" w:after="0"/>
              <w:rPr>
                <w:b/>
              </w:rPr>
            </w:pPr>
            <w:r>
              <w:rPr>
                <w:b/>
              </w:rPr>
              <w:t>Description</w:t>
            </w:r>
          </w:p>
        </w:tc>
        <w:tc>
          <w:tcPr>
            <w:tcW w:w="0" w:type="auto"/>
            <w:shd w:val="clear" w:color="auto" w:fill="FFFFFF" w:themeFill="background1"/>
          </w:tcPr>
          <w:p w14:paraId="68EF0E61" w14:textId="77777777" w:rsidR="009A2C2E" w:rsidRPr="00BE2A39" w:rsidRDefault="009A2C2E" w:rsidP="00E53512">
            <w:pPr>
              <w:spacing w:before="100" w:after="0"/>
            </w:pPr>
            <w:r w:rsidRPr="00BE2A39">
              <w:rPr>
                <w:color w:val="000000"/>
              </w:rPr>
              <w:t>Infrastructure improvements for business expansion and subsequent job creation</w:t>
            </w:r>
          </w:p>
        </w:tc>
      </w:tr>
      <w:tr w:rsidR="009A2C2E" w14:paraId="736FCC0F" w14:textId="77777777" w:rsidTr="787E070B">
        <w:trPr>
          <w:cantSplit/>
        </w:trPr>
        <w:tc>
          <w:tcPr>
            <w:tcW w:w="0" w:type="auto"/>
            <w:vMerge/>
          </w:tcPr>
          <w:p w14:paraId="5C93AE32" w14:textId="77777777" w:rsidR="009A2C2E" w:rsidRDefault="009A2C2E" w:rsidP="00E53512"/>
        </w:tc>
        <w:tc>
          <w:tcPr>
            <w:tcW w:w="0" w:type="auto"/>
          </w:tcPr>
          <w:p w14:paraId="288EA874" w14:textId="77777777" w:rsidR="009A2C2E" w:rsidRDefault="009A2C2E" w:rsidP="00E53512">
            <w:pPr>
              <w:keepNext/>
              <w:spacing w:before="100" w:after="0"/>
              <w:rPr>
                <w:b/>
              </w:rPr>
            </w:pPr>
            <w:r>
              <w:rPr>
                <w:b/>
              </w:rPr>
              <w:t>Target Date</w:t>
            </w:r>
          </w:p>
        </w:tc>
        <w:tc>
          <w:tcPr>
            <w:tcW w:w="0" w:type="auto"/>
            <w:shd w:val="clear" w:color="auto" w:fill="FFFFFF" w:themeFill="background1"/>
          </w:tcPr>
          <w:p w14:paraId="03E14063" w14:textId="094FF58E" w:rsidR="009A2C2E" w:rsidRPr="00BE2A39" w:rsidRDefault="009A2C2E" w:rsidP="00E53512">
            <w:pPr>
              <w:spacing w:before="100" w:after="0"/>
            </w:pPr>
            <w:r w:rsidRPr="00BE2A39">
              <w:rPr>
                <w:color w:val="000000"/>
              </w:rPr>
              <w:t xml:space="preserve"> </w:t>
            </w:r>
            <w:r w:rsidR="003C13C4">
              <w:rPr>
                <w:color w:val="000000"/>
              </w:rPr>
              <w:t>3/31/2029</w:t>
            </w:r>
          </w:p>
        </w:tc>
      </w:tr>
      <w:tr w:rsidR="009A2C2E" w14:paraId="2D8816C2" w14:textId="77777777" w:rsidTr="787E070B">
        <w:trPr>
          <w:cantSplit/>
        </w:trPr>
        <w:tc>
          <w:tcPr>
            <w:tcW w:w="0" w:type="auto"/>
            <w:vMerge/>
          </w:tcPr>
          <w:p w14:paraId="22F46133" w14:textId="77777777" w:rsidR="009A2C2E" w:rsidRDefault="009A2C2E" w:rsidP="00E53512"/>
        </w:tc>
        <w:tc>
          <w:tcPr>
            <w:tcW w:w="0" w:type="auto"/>
          </w:tcPr>
          <w:p w14:paraId="14419DD9"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shd w:val="clear" w:color="auto" w:fill="FFFFFF" w:themeFill="background1"/>
          </w:tcPr>
          <w:p w14:paraId="345149C7" w14:textId="77777777" w:rsidR="009A2C2E" w:rsidRPr="00BE2A39" w:rsidRDefault="009A2C2E" w:rsidP="00E53512">
            <w:pPr>
              <w:spacing w:before="100" w:after="0"/>
            </w:pPr>
            <w:r w:rsidRPr="00BE2A39">
              <w:rPr>
                <w:color w:val="000000"/>
              </w:rPr>
              <w:t>Number of businesses assisted is one and the number of jobs created will be 50.</w:t>
            </w:r>
          </w:p>
        </w:tc>
      </w:tr>
      <w:tr w:rsidR="009A2C2E" w14:paraId="6060F791" w14:textId="77777777" w:rsidTr="787E070B">
        <w:trPr>
          <w:cantSplit/>
        </w:trPr>
        <w:tc>
          <w:tcPr>
            <w:tcW w:w="0" w:type="auto"/>
            <w:vMerge/>
          </w:tcPr>
          <w:p w14:paraId="58DDE48B" w14:textId="77777777" w:rsidR="009A2C2E" w:rsidRDefault="009A2C2E" w:rsidP="00E53512"/>
        </w:tc>
        <w:tc>
          <w:tcPr>
            <w:tcW w:w="0" w:type="auto"/>
          </w:tcPr>
          <w:p w14:paraId="5395A10E"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shd w:val="clear" w:color="auto" w:fill="FFFFFF" w:themeFill="background1"/>
          </w:tcPr>
          <w:p w14:paraId="2E5079E4" w14:textId="77777777" w:rsidR="009A2C2E" w:rsidRPr="00BE2A39" w:rsidRDefault="009A2C2E" w:rsidP="00E53512">
            <w:pPr>
              <w:spacing w:before="100" w:after="0"/>
            </w:pPr>
            <w:r w:rsidRPr="00BE2A39">
              <w:rPr>
                <w:color w:val="000000"/>
              </w:rPr>
              <w:t xml:space="preserve">Cities and counties throughout Idaho </w:t>
            </w:r>
            <w:proofErr w:type="gramStart"/>
            <w:r w:rsidRPr="00BE2A39">
              <w:rPr>
                <w:color w:val="000000"/>
              </w:rPr>
              <w:t>with the exception of</w:t>
            </w:r>
            <w:proofErr w:type="gramEnd"/>
            <w:r w:rsidRPr="00BE2A39">
              <w:rPr>
                <w:color w:val="000000"/>
              </w:rPr>
              <w:t xml:space="preserve"> nine entitlement cities: Coeur D Alene, Lewiston, Caldwell, Nampa, Meridian, Boise, Pocatello, Idaho Falls and Twin Falls.</w:t>
            </w:r>
          </w:p>
        </w:tc>
      </w:tr>
      <w:tr w:rsidR="009A2C2E" w14:paraId="2D3C78FA" w14:textId="77777777" w:rsidTr="787E070B">
        <w:trPr>
          <w:cantSplit/>
        </w:trPr>
        <w:tc>
          <w:tcPr>
            <w:tcW w:w="0" w:type="auto"/>
            <w:vMerge/>
          </w:tcPr>
          <w:p w14:paraId="03066A6B" w14:textId="77777777" w:rsidR="009A2C2E" w:rsidRDefault="009A2C2E" w:rsidP="00E53512"/>
        </w:tc>
        <w:tc>
          <w:tcPr>
            <w:tcW w:w="0" w:type="auto"/>
          </w:tcPr>
          <w:p w14:paraId="282D3E33"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shd w:val="clear" w:color="auto" w:fill="FFFFFF" w:themeFill="background1"/>
          </w:tcPr>
          <w:p w14:paraId="6AB7EE43" w14:textId="77777777" w:rsidR="009A2C2E" w:rsidRPr="00BE2A39" w:rsidRDefault="009A2C2E" w:rsidP="00E53512">
            <w:pPr>
              <w:spacing w:before="100" w:after="0"/>
            </w:pPr>
            <w:r w:rsidRPr="00BE2A39">
              <w:rPr>
                <w:color w:val="000000"/>
              </w:rPr>
              <w:t>Project administration costs, design services, land acquisition, public facilities/infrastructure new construction, rehabilitation and compliance.</w:t>
            </w:r>
          </w:p>
        </w:tc>
      </w:tr>
      <w:tr w:rsidR="009A2C2E" w14:paraId="27DC34E9" w14:textId="77777777" w:rsidTr="787E070B">
        <w:trPr>
          <w:cantSplit/>
        </w:trPr>
        <w:tc>
          <w:tcPr>
            <w:tcW w:w="0" w:type="auto"/>
            <w:vMerge w:val="restart"/>
          </w:tcPr>
          <w:p w14:paraId="03F9D33C" w14:textId="77777777" w:rsidR="009A2C2E" w:rsidRDefault="009A2C2E" w:rsidP="00E53512">
            <w:r>
              <w:rPr>
                <w:b/>
              </w:rPr>
              <w:t>5</w:t>
            </w:r>
          </w:p>
        </w:tc>
        <w:tc>
          <w:tcPr>
            <w:tcW w:w="0" w:type="auto"/>
            <w:shd w:val="clear" w:color="auto" w:fill="D9E2F3" w:themeFill="accent1" w:themeFillTint="33"/>
          </w:tcPr>
          <w:p w14:paraId="2229520E" w14:textId="77777777" w:rsidR="009A2C2E" w:rsidRDefault="009A2C2E" w:rsidP="00E53512">
            <w:pPr>
              <w:keepNext/>
              <w:spacing w:before="100" w:after="0"/>
              <w:rPr>
                <w:b/>
              </w:rPr>
            </w:pPr>
            <w:r>
              <w:rPr>
                <w:b/>
              </w:rPr>
              <w:t>Project Name</w:t>
            </w:r>
          </w:p>
        </w:tc>
        <w:tc>
          <w:tcPr>
            <w:tcW w:w="0" w:type="auto"/>
            <w:shd w:val="clear" w:color="auto" w:fill="D9E2F3" w:themeFill="accent1" w:themeFillTint="33"/>
          </w:tcPr>
          <w:p w14:paraId="263DB1D6" w14:textId="77777777" w:rsidR="009A2C2E" w:rsidRPr="00BE2A39" w:rsidRDefault="009A2C2E" w:rsidP="00E53512">
            <w:pPr>
              <w:spacing w:before="100" w:after="0"/>
              <w:rPr>
                <w:b/>
                <w:bCs/>
              </w:rPr>
            </w:pPr>
            <w:r w:rsidRPr="00BE2A39">
              <w:rPr>
                <w:b/>
                <w:bCs/>
                <w:color w:val="000000"/>
              </w:rPr>
              <w:t>CDBG-Economic Development-Downtown Revitalization</w:t>
            </w:r>
          </w:p>
        </w:tc>
      </w:tr>
      <w:tr w:rsidR="009A2C2E" w14:paraId="56393A43" w14:textId="77777777" w:rsidTr="787E070B">
        <w:trPr>
          <w:cantSplit/>
        </w:trPr>
        <w:tc>
          <w:tcPr>
            <w:tcW w:w="0" w:type="auto"/>
            <w:vMerge/>
          </w:tcPr>
          <w:p w14:paraId="45E6A423" w14:textId="77777777" w:rsidR="009A2C2E" w:rsidRDefault="009A2C2E" w:rsidP="00E53512"/>
        </w:tc>
        <w:tc>
          <w:tcPr>
            <w:tcW w:w="0" w:type="auto"/>
          </w:tcPr>
          <w:p w14:paraId="3C33B638" w14:textId="77777777" w:rsidR="009A2C2E" w:rsidRDefault="009A2C2E" w:rsidP="00E53512">
            <w:pPr>
              <w:keepNext/>
              <w:spacing w:before="100" w:after="0"/>
              <w:rPr>
                <w:b/>
              </w:rPr>
            </w:pPr>
            <w:r>
              <w:rPr>
                <w:b/>
              </w:rPr>
              <w:t>Target Area</w:t>
            </w:r>
          </w:p>
        </w:tc>
        <w:tc>
          <w:tcPr>
            <w:tcW w:w="0" w:type="auto"/>
            <w:shd w:val="clear" w:color="auto" w:fill="FFFFFF" w:themeFill="background1"/>
          </w:tcPr>
          <w:p w14:paraId="26E26494" w14:textId="009EE4EE" w:rsidR="009A2C2E" w:rsidRPr="00BE2A39" w:rsidRDefault="009A2C2E" w:rsidP="00E53512">
            <w:pPr>
              <w:spacing w:before="100" w:after="0"/>
            </w:pPr>
            <w:r w:rsidRPr="00BE2A39">
              <w:rPr>
                <w:color w:val="000000"/>
              </w:rPr>
              <w:t xml:space="preserve"> </w:t>
            </w:r>
            <w:r w:rsidR="008C0647">
              <w:rPr>
                <w:color w:val="000000"/>
              </w:rPr>
              <w:t>N/A</w:t>
            </w:r>
          </w:p>
        </w:tc>
      </w:tr>
      <w:tr w:rsidR="009A2C2E" w14:paraId="5C4D1609" w14:textId="77777777" w:rsidTr="787E070B">
        <w:trPr>
          <w:cantSplit/>
        </w:trPr>
        <w:tc>
          <w:tcPr>
            <w:tcW w:w="0" w:type="auto"/>
            <w:vMerge/>
          </w:tcPr>
          <w:p w14:paraId="6C7CF487" w14:textId="77777777" w:rsidR="009A2C2E" w:rsidRDefault="009A2C2E" w:rsidP="00E53512"/>
        </w:tc>
        <w:tc>
          <w:tcPr>
            <w:tcW w:w="0" w:type="auto"/>
          </w:tcPr>
          <w:p w14:paraId="10BDD73B" w14:textId="77777777" w:rsidR="009A2C2E" w:rsidRDefault="009A2C2E" w:rsidP="00E53512">
            <w:pPr>
              <w:keepNext/>
              <w:spacing w:before="100" w:after="0"/>
              <w:rPr>
                <w:b/>
              </w:rPr>
            </w:pPr>
            <w:r>
              <w:rPr>
                <w:b/>
              </w:rPr>
              <w:t>Goals Supported</w:t>
            </w:r>
          </w:p>
        </w:tc>
        <w:tc>
          <w:tcPr>
            <w:tcW w:w="0" w:type="auto"/>
            <w:shd w:val="clear" w:color="auto" w:fill="FFFFFF" w:themeFill="background1"/>
          </w:tcPr>
          <w:p w14:paraId="5DF6B365" w14:textId="77777777" w:rsidR="009A2C2E" w:rsidRPr="00BE2A39" w:rsidRDefault="009A2C2E" w:rsidP="00E53512">
            <w:pPr>
              <w:spacing w:before="100" w:after="0"/>
            </w:pPr>
            <w:r w:rsidRPr="00BE2A39">
              <w:rPr>
                <w:color w:val="000000"/>
              </w:rPr>
              <w:t>Economic Development-Downtown Revitalization</w:t>
            </w:r>
          </w:p>
        </w:tc>
      </w:tr>
      <w:tr w:rsidR="009A2C2E" w14:paraId="51CFB4DF" w14:textId="77777777" w:rsidTr="787E070B">
        <w:trPr>
          <w:cantSplit/>
        </w:trPr>
        <w:tc>
          <w:tcPr>
            <w:tcW w:w="0" w:type="auto"/>
            <w:vMerge/>
          </w:tcPr>
          <w:p w14:paraId="14534A23" w14:textId="77777777" w:rsidR="009A2C2E" w:rsidRDefault="009A2C2E" w:rsidP="00E53512"/>
        </w:tc>
        <w:tc>
          <w:tcPr>
            <w:tcW w:w="0" w:type="auto"/>
          </w:tcPr>
          <w:p w14:paraId="5A4FE5A6" w14:textId="77777777" w:rsidR="009A2C2E" w:rsidRDefault="009A2C2E" w:rsidP="00E53512">
            <w:pPr>
              <w:keepNext/>
              <w:spacing w:before="100" w:after="0"/>
              <w:rPr>
                <w:b/>
              </w:rPr>
            </w:pPr>
            <w:r>
              <w:rPr>
                <w:b/>
              </w:rPr>
              <w:t>Needs Addressed</w:t>
            </w:r>
          </w:p>
        </w:tc>
        <w:tc>
          <w:tcPr>
            <w:tcW w:w="0" w:type="auto"/>
            <w:shd w:val="clear" w:color="auto" w:fill="FFFFFF" w:themeFill="background1"/>
          </w:tcPr>
          <w:p w14:paraId="4629EF57" w14:textId="77777777" w:rsidR="009A2C2E" w:rsidRPr="00BE2A39" w:rsidRDefault="009A2C2E" w:rsidP="00E53512">
            <w:pPr>
              <w:spacing w:before="100" w:after="0"/>
            </w:pPr>
            <w:r w:rsidRPr="00BE2A39">
              <w:rPr>
                <w:color w:val="000000"/>
              </w:rPr>
              <w:t>Cleanup of blighted properties</w:t>
            </w:r>
          </w:p>
        </w:tc>
      </w:tr>
      <w:tr w:rsidR="009A2C2E" w14:paraId="295E7505" w14:textId="77777777" w:rsidTr="787E070B">
        <w:trPr>
          <w:cantSplit/>
        </w:trPr>
        <w:tc>
          <w:tcPr>
            <w:tcW w:w="0" w:type="auto"/>
            <w:vMerge/>
          </w:tcPr>
          <w:p w14:paraId="285AA7CE" w14:textId="77777777" w:rsidR="009A2C2E" w:rsidRDefault="009A2C2E" w:rsidP="00E53512"/>
        </w:tc>
        <w:tc>
          <w:tcPr>
            <w:tcW w:w="0" w:type="auto"/>
          </w:tcPr>
          <w:p w14:paraId="38E446AE" w14:textId="77777777" w:rsidR="009A2C2E" w:rsidRDefault="009A2C2E" w:rsidP="00E53512">
            <w:pPr>
              <w:keepNext/>
              <w:spacing w:before="100" w:after="0"/>
              <w:rPr>
                <w:b/>
              </w:rPr>
            </w:pPr>
            <w:r>
              <w:rPr>
                <w:b/>
              </w:rPr>
              <w:t>Funding</w:t>
            </w:r>
          </w:p>
        </w:tc>
        <w:tc>
          <w:tcPr>
            <w:tcW w:w="0" w:type="auto"/>
            <w:shd w:val="clear" w:color="auto" w:fill="FFFFFF" w:themeFill="background1"/>
          </w:tcPr>
          <w:p w14:paraId="28784792" w14:textId="77947D67" w:rsidR="009A2C2E" w:rsidRPr="00BE2A39" w:rsidRDefault="009A2C2E" w:rsidP="00E53512">
            <w:pPr>
              <w:spacing w:before="100" w:after="0"/>
            </w:pPr>
            <w:r w:rsidRPr="00BE2A39">
              <w:rPr>
                <w:color w:val="000000"/>
              </w:rPr>
              <w:t>CDBG: $</w:t>
            </w:r>
            <w:r w:rsidR="00BE2A39">
              <w:rPr>
                <w:color w:val="000000"/>
              </w:rPr>
              <w:t>1,222,423</w:t>
            </w:r>
          </w:p>
        </w:tc>
      </w:tr>
      <w:tr w:rsidR="009A2C2E" w14:paraId="5F9FD870" w14:textId="77777777" w:rsidTr="787E070B">
        <w:trPr>
          <w:cantSplit/>
        </w:trPr>
        <w:tc>
          <w:tcPr>
            <w:tcW w:w="0" w:type="auto"/>
            <w:vMerge/>
          </w:tcPr>
          <w:p w14:paraId="27BC1783" w14:textId="77777777" w:rsidR="009A2C2E" w:rsidRDefault="009A2C2E" w:rsidP="00E53512"/>
        </w:tc>
        <w:tc>
          <w:tcPr>
            <w:tcW w:w="0" w:type="auto"/>
          </w:tcPr>
          <w:p w14:paraId="75DEB622" w14:textId="77777777" w:rsidR="009A2C2E" w:rsidRDefault="009A2C2E" w:rsidP="00E53512">
            <w:pPr>
              <w:keepNext/>
              <w:spacing w:before="100" w:after="0"/>
              <w:rPr>
                <w:b/>
              </w:rPr>
            </w:pPr>
            <w:r>
              <w:rPr>
                <w:b/>
              </w:rPr>
              <w:t>Description</w:t>
            </w:r>
          </w:p>
        </w:tc>
        <w:tc>
          <w:tcPr>
            <w:tcW w:w="0" w:type="auto"/>
            <w:shd w:val="clear" w:color="auto" w:fill="FFFFFF" w:themeFill="background1"/>
          </w:tcPr>
          <w:p w14:paraId="7BFE235E" w14:textId="77777777" w:rsidR="009A2C2E" w:rsidRPr="00BE2A39" w:rsidRDefault="009A2C2E" w:rsidP="00E53512">
            <w:pPr>
              <w:spacing w:before="100" w:after="0"/>
            </w:pPr>
            <w:r w:rsidRPr="00BE2A39">
              <w:rPr>
                <w:color w:val="000000"/>
              </w:rPr>
              <w:t>Public Infrastructure improvements to prevent blighted downtown areas.</w:t>
            </w:r>
          </w:p>
        </w:tc>
      </w:tr>
      <w:tr w:rsidR="009A2C2E" w14:paraId="1DF2FDFE" w14:textId="77777777" w:rsidTr="787E070B">
        <w:trPr>
          <w:cantSplit/>
        </w:trPr>
        <w:tc>
          <w:tcPr>
            <w:tcW w:w="0" w:type="auto"/>
            <w:vMerge/>
          </w:tcPr>
          <w:p w14:paraId="123F344E" w14:textId="77777777" w:rsidR="009A2C2E" w:rsidRDefault="009A2C2E" w:rsidP="00E53512"/>
        </w:tc>
        <w:tc>
          <w:tcPr>
            <w:tcW w:w="0" w:type="auto"/>
          </w:tcPr>
          <w:p w14:paraId="1DC6523B" w14:textId="77777777" w:rsidR="009A2C2E" w:rsidRDefault="009A2C2E" w:rsidP="00E53512">
            <w:pPr>
              <w:keepNext/>
              <w:spacing w:before="100" w:after="0"/>
              <w:rPr>
                <w:b/>
              </w:rPr>
            </w:pPr>
            <w:r>
              <w:rPr>
                <w:b/>
              </w:rPr>
              <w:t>Target Date</w:t>
            </w:r>
          </w:p>
        </w:tc>
        <w:tc>
          <w:tcPr>
            <w:tcW w:w="0" w:type="auto"/>
            <w:shd w:val="clear" w:color="auto" w:fill="FFFFFF" w:themeFill="background1"/>
          </w:tcPr>
          <w:p w14:paraId="5C4D5642" w14:textId="3DB38239" w:rsidR="009A2C2E" w:rsidRPr="00BE2A39" w:rsidRDefault="009A2C2E" w:rsidP="00E53512">
            <w:pPr>
              <w:spacing w:before="100" w:after="0"/>
            </w:pPr>
            <w:r w:rsidRPr="00BE2A39">
              <w:rPr>
                <w:color w:val="000000"/>
              </w:rPr>
              <w:t xml:space="preserve"> </w:t>
            </w:r>
            <w:r w:rsidR="003C13C4">
              <w:rPr>
                <w:color w:val="000000"/>
              </w:rPr>
              <w:t>3/3/31/202931/2029</w:t>
            </w:r>
          </w:p>
        </w:tc>
      </w:tr>
      <w:tr w:rsidR="009A2C2E" w14:paraId="11DD6108" w14:textId="77777777" w:rsidTr="787E070B">
        <w:trPr>
          <w:cantSplit/>
        </w:trPr>
        <w:tc>
          <w:tcPr>
            <w:tcW w:w="0" w:type="auto"/>
            <w:vMerge/>
          </w:tcPr>
          <w:p w14:paraId="0E06AEDA" w14:textId="77777777" w:rsidR="009A2C2E" w:rsidRDefault="009A2C2E" w:rsidP="00E53512"/>
        </w:tc>
        <w:tc>
          <w:tcPr>
            <w:tcW w:w="0" w:type="auto"/>
          </w:tcPr>
          <w:p w14:paraId="316E8FCD"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shd w:val="clear" w:color="auto" w:fill="FFFFFF" w:themeFill="background1"/>
          </w:tcPr>
          <w:p w14:paraId="798F848F" w14:textId="77777777" w:rsidR="009A2C2E" w:rsidRPr="00BE2A39" w:rsidRDefault="009A2C2E" w:rsidP="00E53512">
            <w:pPr>
              <w:spacing w:before="100" w:after="0"/>
            </w:pPr>
            <w:r w:rsidRPr="00BE2A39">
              <w:rPr>
                <w:color w:val="000000"/>
              </w:rPr>
              <w:t>State of Idaho estimates two low to moderate income cities will benefit from a downtown revitalization project.</w:t>
            </w:r>
          </w:p>
        </w:tc>
      </w:tr>
      <w:tr w:rsidR="009A2C2E" w14:paraId="658842BE" w14:textId="77777777" w:rsidTr="787E070B">
        <w:trPr>
          <w:cantSplit/>
        </w:trPr>
        <w:tc>
          <w:tcPr>
            <w:tcW w:w="0" w:type="auto"/>
            <w:vMerge/>
          </w:tcPr>
          <w:p w14:paraId="74E025C7" w14:textId="77777777" w:rsidR="009A2C2E" w:rsidRDefault="009A2C2E" w:rsidP="00E53512"/>
        </w:tc>
        <w:tc>
          <w:tcPr>
            <w:tcW w:w="0" w:type="auto"/>
          </w:tcPr>
          <w:p w14:paraId="56163422"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shd w:val="clear" w:color="auto" w:fill="FFFFFF" w:themeFill="background1"/>
          </w:tcPr>
          <w:p w14:paraId="2CDAEB79" w14:textId="77777777" w:rsidR="009A2C2E" w:rsidRPr="00BE2A39" w:rsidRDefault="009A2C2E" w:rsidP="00E53512">
            <w:pPr>
              <w:spacing w:before="100" w:after="0"/>
            </w:pPr>
            <w:r w:rsidRPr="00BE2A39">
              <w:rPr>
                <w:color w:val="000000"/>
              </w:rPr>
              <w:t xml:space="preserve">Cities and counties throughout Idaho </w:t>
            </w:r>
            <w:proofErr w:type="gramStart"/>
            <w:r w:rsidRPr="00BE2A39">
              <w:rPr>
                <w:color w:val="000000"/>
              </w:rPr>
              <w:t>with the exception of</w:t>
            </w:r>
            <w:proofErr w:type="gramEnd"/>
            <w:r w:rsidRPr="00BE2A39">
              <w:rPr>
                <w:color w:val="000000"/>
              </w:rPr>
              <w:t xml:space="preserve"> nine entitlement cities: Coeur D Alene, Lewiston, Caldwell, Nampa, Meridian, Boise, Pocatello, Idaho Falls and Twin Falls.</w:t>
            </w:r>
          </w:p>
        </w:tc>
      </w:tr>
      <w:tr w:rsidR="009A2C2E" w14:paraId="710075CB" w14:textId="77777777" w:rsidTr="787E070B">
        <w:trPr>
          <w:cantSplit/>
        </w:trPr>
        <w:tc>
          <w:tcPr>
            <w:tcW w:w="0" w:type="auto"/>
            <w:vMerge/>
          </w:tcPr>
          <w:p w14:paraId="37755F4C" w14:textId="77777777" w:rsidR="009A2C2E" w:rsidRDefault="009A2C2E" w:rsidP="00E53512"/>
        </w:tc>
        <w:tc>
          <w:tcPr>
            <w:tcW w:w="0" w:type="auto"/>
          </w:tcPr>
          <w:p w14:paraId="2CD5AC25"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shd w:val="clear" w:color="auto" w:fill="FFFFFF" w:themeFill="background1"/>
          </w:tcPr>
          <w:p w14:paraId="1C39D080" w14:textId="77777777" w:rsidR="009A2C2E" w:rsidRPr="00BE2A39" w:rsidRDefault="009A2C2E" w:rsidP="00E53512">
            <w:pPr>
              <w:spacing w:before="100" w:after="0"/>
            </w:pPr>
            <w:r w:rsidRPr="00BE2A39">
              <w:rPr>
                <w:color w:val="000000"/>
              </w:rPr>
              <w:t>Project administration costs, design services, land acquisition, public facilities/infrastructure new construction, rehabilitation and compliance</w:t>
            </w:r>
          </w:p>
        </w:tc>
      </w:tr>
      <w:tr w:rsidR="009A2C2E" w14:paraId="7C1E4381" w14:textId="77777777" w:rsidTr="787E070B">
        <w:trPr>
          <w:cantSplit/>
        </w:trPr>
        <w:tc>
          <w:tcPr>
            <w:tcW w:w="0" w:type="auto"/>
            <w:vMerge w:val="restart"/>
          </w:tcPr>
          <w:p w14:paraId="39B3EEE6" w14:textId="77777777" w:rsidR="009A2C2E" w:rsidRDefault="009A2C2E" w:rsidP="00E53512">
            <w:r>
              <w:rPr>
                <w:b/>
              </w:rPr>
              <w:t>6</w:t>
            </w:r>
          </w:p>
        </w:tc>
        <w:tc>
          <w:tcPr>
            <w:tcW w:w="0" w:type="auto"/>
            <w:shd w:val="clear" w:color="auto" w:fill="D9E2F3" w:themeFill="accent1" w:themeFillTint="33"/>
          </w:tcPr>
          <w:p w14:paraId="46E0B4A9" w14:textId="77777777" w:rsidR="009A2C2E" w:rsidRDefault="009A2C2E" w:rsidP="00E53512">
            <w:pPr>
              <w:keepNext/>
              <w:spacing w:before="100" w:after="0"/>
              <w:rPr>
                <w:b/>
              </w:rPr>
            </w:pPr>
            <w:r>
              <w:rPr>
                <w:b/>
              </w:rPr>
              <w:t>Project Name</w:t>
            </w:r>
          </w:p>
        </w:tc>
        <w:tc>
          <w:tcPr>
            <w:tcW w:w="0" w:type="auto"/>
            <w:shd w:val="clear" w:color="auto" w:fill="D9E2F3" w:themeFill="accent1" w:themeFillTint="33"/>
          </w:tcPr>
          <w:p w14:paraId="357F9FB2" w14:textId="77777777" w:rsidR="009A2C2E" w:rsidRPr="00BE2A39" w:rsidRDefault="009A2C2E" w:rsidP="00E53512">
            <w:pPr>
              <w:spacing w:before="100" w:after="0"/>
              <w:rPr>
                <w:b/>
                <w:bCs/>
              </w:rPr>
            </w:pPr>
            <w:r w:rsidRPr="00BE2A39">
              <w:rPr>
                <w:b/>
                <w:bCs/>
                <w:color w:val="000000"/>
              </w:rPr>
              <w:t>CDBG State Administration</w:t>
            </w:r>
          </w:p>
        </w:tc>
      </w:tr>
      <w:tr w:rsidR="009A2C2E" w14:paraId="778ABE46" w14:textId="77777777" w:rsidTr="787E070B">
        <w:trPr>
          <w:cantSplit/>
        </w:trPr>
        <w:tc>
          <w:tcPr>
            <w:tcW w:w="0" w:type="auto"/>
            <w:vMerge/>
          </w:tcPr>
          <w:p w14:paraId="3010B5E2" w14:textId="77777777" w:rsidR="009A2C2E" w:rsidRDefault="009A2C2E" w:rsidP="00E53512"/>
        </w:tc>
        <w:tc>
          <w:tcPr>
            <w:tcW w:w="0" w:type="auto"/>
          </w:tcPr>
          <w:p w14:paraId="0C1E690F" w14:textId="77777777" w:rsidR="009A2C2E" w:rsidRDefault="009A2C2E" w:rsidP="00E53512">
            <w:pPr>
              <w:keepNext/>
              <w:spacing w:before="100" w:after="0"/>
              <w:rPr>
                <w:b/>
              </w:rPr>
            </w:pPr>
            <w:r>
              <w:rPr>
                <w:b/>
              </w:rPr>
              <w:t>Target Area</w:t>
            </w:r>
          </w:p>
        </w:tc>
        <w:tc>
          <w:tcPr>
            <w:tcW w:w="0" w:type="auto"/>
          </w:tcPr>
          <w:p w14:paraId="05B122A5" w14:textId="5D57C6C6" w:rsidR="009A2C2E" w:rsidRDefault="009A2C2E" w:rsidP="00E53512">
            <w:pPr>
              <w:spacing w:before="100" w:after="0"/>
            </w:pPr>
            <w:r>
              <w:rPr>
                <w:color w:val="000000"/>
              </w:rPr>
              <w:t xml:space="preserve"> </w:t>
            </w:r>
            <w:r w:rsidR="008C0647">
              <w:rPr>
                <w:color w:val="000000"/>
              </w:rPr>
              <w:t>N/A</w:t>
            </w:r>
          </w:p>
        </w:tc>
      </w:tr>
      <w:tr w:rsidR="009A2C2E" w14:paraId="11168730" w14:textId="77777777" w:rsidTr="787E070B">
        <w:trPr>
          <w:cantSplit/>
        </w:trPr>
        <w:tc>
          <w:tcPr>
            <w:tcW w:w="0" w:type="auto"/>
            <w:vMerge/>
          </w:tcPr>
          <w:p w14:paraId="20B27553" w14:textId="77777777" w:rsidR="009A2C2E" w:rsidRDefault="009A2C2E" w:rsidP="00E53512"/>
        </w:tc>
        <w:tc>
          <w:tcPr>
            <w:tcW w:w="0" w:type="auto"/>
          </w:tcPr>
          <w:p w14:paraId="794BA839" w14:textId="77777777" w:rsidR="009A2C2E" w:rsidRDefault="009A2C2E" w:rsidP="00E53512">
            <w:pPr>
              <w:keepNext/>
              <w:spacing w:before="100" w:after="0"/>
              <w:rPr>
                <w:b/>
              </w:rPr>
            </w:pPr>
            <w:r>
              <w:rPr>
                <w:b/>
              </w:rPr>
              <w:t>Goals Supported</w:t>
            </w:r>
          </w:p>
        </w:tc>
        <w:tc>
          <w:tcPr>
            <w:tcW w:w="0" w:type="auto"/>
          </w:tcPr>
          <w:p w14:paraId="66817FF3" w14:textId="467B9988" w:rsidR="009A2C2E" w:rsidRDefault="009A2C2E" w:rsidP="00E53512">
            <w:pPr>
              <w:spacing w:before="100" w:after="0"/>
            </w:pPr>
            <w:r>
              <w:rPr>
                <w:color w:val="000000"/>
              </w:rPr>
              <w:t xml:space="preserve"> </w:t>
            </w:r>
            <w:r w:rsidR="008C0647">
              <w:rPr>
                <w:color w:val="000000"/>
              </w:rPr>
              <w:t>N/A</w:t>
            </w:r>
          </w:p>
        </w:tc>
      </w:tr>
      <w:tr w:rsidR="009A2C2E" w14:paraId="6EC3A21E" w14:textId="77777777" w:rsidTr="787E070B">
        <w:trPr>
          <w:cantSplit/>
        </w:trPr>
        <w:tc>
          <w:tcPr>
            <w:tcW w:w="0" w:type="auto"/>
            <w:vMerge/>
          </w:tcPr>
          <w:p w14:paraId="284D0438" w14:textId="77777777" w:rsidR="009A2C2E" w:rsidRDefault="009A2C2E" w:rsidP="00E53512"/>
        </w:tc>
        <w:tc>
          <w:tcPr>
            <w:tcW w:w="0" w:type="auto"/>
          </w:tcPr>
          <w:p w14:paraId="2DA7B2A2" w14:textId="77777777" w:rsidR="009A2C2E" w:rsidRDefault="009A2C2E" w:rsidP="00E53512">
            <w:pPr>
              <w:keepNext/>
              <w:spacing w:before="100" w:after="0"/>
              <w:rPr>
                <w:b/>
              </w:rPr>
            </w:pPr>
            <w:r>
              <w:rPr>
                <w:b/>
              </w:rPr>
              <w:t>Needs Addressed</w:t>
            </w:r>
          </w:p>
        </w:tc>
        <w:tc>
          <w:tcPr>
            <w:tcW w:w="0" w:type="auto"/>
          </w:tcPr>
          <w:p w14:paraId="157CC5F9" w14:textId="77544C06" w:rsidR="009A2C2E" w:rsidRDefault="009A2C2E" w:rsidP="00E53512">
            <w:pPr>
              <w:spacing w:before="100" w:after="0"/>
            </w:pPr>
            <w:r>
              <w:rPr>
                <w:color w:val="000000"/>
              </w:rPr>
              <w:t xml:space="preserve"> </w:t>
            </w:r>
            <w:r w:rsidR="008C0647">
              <w:rPr>
                <w:color w:val="000000"/>
              </w:rPr>
              <w:t>N/A</w:t>
            </w:r>
          </w:p>
        </w:tc>
      </w:tr>
      <w:tr w:rsidR="009A2C2E" w14:paraId="276DF38C" w14:textId="77777777" w:rsidTr="787E070B">
        <w:trPr>
          <w:cantSplit/>
        </w:trPr>
        <w:tc>
          <w:tcPr>
            <w:tcW w:w="0" w:type="auto"/>
            <w:vMerge/>
          </w:tcPr>
          <w:p w14:paraId="622F4FBC" w14:textId="77777777" w:rsidR="009A2C2E" w:rsidRDefault="009A2C2E" w:rsidP="00E53512"/>
        </w:tc>
        <w:tc>
          <w:tcPr>
            <w:tcW w:w="0" w:type="auto"/>
          </w:tcPr>
          <w:p w14:paraId="4C12BC6F" w14:textId="77777777" w:rsidR="009A2C2E" w:rsidRDefault="009A2C2E" w:rsidP="00E53512">
            <w:pPr>
              <w:keepNext/>
              <w:spacing w:before="100" w:after="0"/>
              <w:rPr>
                <w:b/>
              </w:rPr>
            </w:pPr>
            <w:r>
              <w:rPr>
                <w:b/>
              </w:rPr>
              <w:t>Funding</w:t>
            </w:r>
          </w:p>
        </w:tc>
        <w:tc>
          <w:tcPr>
            <w:tcW w:w="0" w:type="auto"/>
          </w:tcPr>
          <w:p w14:paraId="05D3BFB3" w14:textId="169BC464" w:rsidR="009A2C2E" w:rsidRDefault="009A2C2E" w:rsidP="00E53512">
            <w:pPr>
              <w:spacing w:before="100" w:after="0"/>
            </w:pPr>
            <w:r>
              <w:rPr>
                <w:color w:val="000000"/>
              </w:rPr>
              <w:t>CDBG</w:t>
            </w:r>
            <w:r w:rsidRPr="00BE2A39">
              <w:rPr>
                <w:color w:val="000000"/>
                <w:shd w:val="clear" w:color="auto" w:fill="FFFFFF" w:themeFill="background1"/>
              </w:rPr>
              <w:t>: $</w:t>
            </w:r>
            <w:r w:rsidR="00BE2A39">
              <w:rPr>
                <w:color w:val="000000"/>
                <w:shd w:val="clear" w:color="auto" w:fill="FFFFFF" w:themeFill="background1"/>
              </w:rPr>
              <w:t>253,289</w:t>
            </w:r>
          </w:p>
        </w:tc>
      </w:tr>
      <w:tr w:rsidR="009A2C2E" w14:paraId="0AD39377" w14:textId="77777777" w:rsidTr="787E070B">
        <w:trPr>
          <w:cantSplit/>
        </w:trPr>
        <w:tc>
          <w:tcPr>
            <w:tcW w:w="0" w:type="auto"/>
            <w:vMerge/>
          </w:tcPr>
          <w:p w14:paraId="4024FA35" w14:textId="77777777" w:rsidR="009A2C2E" w:rsidRDefault="009A2C2E" w:rsidP="00E53512"/>
        </w:tc>
        <w:tc>
          <w:tcPr>
            <w:tcW w:w="0" w:type="auto"/>
          </w:tcPr>
          <w:p w14:paraId="659F8D82" w14:textId="77777777" w:rsidR="009A2C2E" w:rsidRDefault="009A2C2E" w:rsidP="00E53512">
            <w:pPr>
              <w:keepNext/>
              <w:spacing w:before="100" w:after="0"/>
              <w:rPr>
                <w:b/>
              </w:rPr>
            </w:pPr>
            <w:r>
              <w:rPr>
                <w:b/>
              </w:rPr>
              <w:t>Description</w:t>
            </w:r>
          </w:p>
        </w:tc>
        <w:tc>
          <w:tcPr>
            <w:tcW w:w="0" w:type="auto"/>
          </w:tcPr>
          <w:p w14:paraId="35048E4B" w14:textId="77777777" w:rsidR="009A2C2E" w:rsidRDefault="009A2C2E" w:rsidP="00E53512">
            <w:pPr>
              <w:spacing w:before="100" w:after="0"/>
            </w:pPr>
            <w:r>
              <w:rPr>
                <w:color w:val="000000"/>
              </w:rPr>
              <w:t>State Administration costs associated with projects and activities.</w:t>
            </w:r>
          </w:p>
        </w:tc>
      </w:tr>
      <w:tr w:rsidR="009A2C2E" w14:paraId="04AB9F56" w14:textId="77777777" w:rsidTr="787E070B">
        <w:trPr>
          <w:cantSplit/>
        </w:trPr>
        <w:tc>
          <w:tcPr>
            <w:tcW w:w="0" w:type="auto"/>
            <w:vMerge/>
          </w:tcPr>
          <w:p w14:paraId="71CCE2E4" w14:textId="77777777" w:rsidR="009A2C2E" w:rsidRDefault="009A2C2E" w:rsidP="00E53512"/>
        </w:tc>
        <w:tc>
          <w:tcPr>
            <w:tcW w:w="0" w:type="auto"/>
          </w:tcPr>
          <w:p w14:paraId="5C293A8A" w14:textId="77777777" w:rsidR="009A2C2E" w:rsidRDefault="009A2C2E" w:rsidP="00E53512">
            <w:pPr>
              <w:keepNext/>
              <w:spacing w:before="100" w:after="0"/>
              <w:rPr>
                <w:b/>
              </w:rPr>
            </w:pPr>
            <w:r>
              <w:rPr>
                <w:b/>
              </w:rPr>
              <w:t>Target Date</w:t>
            </w:r>
          </w:p>
        </w:tc>
        <w:tc>
          <w:tcPr>
            <w:tcW w:w="0" w:type="auto"/>
          </w:tcPr>
          <w:p w14:paraId="34B7A7C2" w14:textId="7BE3236D" w:rsidR="009A2C2E" w:rsidRDefault="009A2C2E" w:rsidP="00E53512">
            <w:pPr>
              <w:spacing w:before="100" w:after="0"/>
            </w:pPr>
            <w:r>
              <w:rPr>
                <w:color w:val="000000"/>
              </w:rPr>
              <w:t xml:space="preserve"> </w:t>
            </w:r>
            <w:r w:rsidR="00540B27">
              <w:rPr>
                <w:color w:val="000000"/>
              </w:rPr>
              <w:t>N/A</w:t>
            </w:r>
          </w:p>
        </w:tc>
      </w:tr>
      <w:tr w:rsidR="009A2C2E" w14:paraId="6A26734F" w14:textId="77777777" w:rsidTr="787E070B">
        <w:trPr>
          <w:cantSplit/>
        </w:trPr>
        <w:tc>
          <w:tcPr>
            <w:tcW w:w="0" w:type="auto"/>
            <w:vMerge/>
          </w:tcPr>
          <w:p w14:paraId="470C6242" w14:textId="77777777" w:rsidR="009A2C2E" w:rsidRDefault="009A2C2E" w:rsidP="00E53512"/>
        </w:tc>
        <w:tc>
          <w:tcPr>
            <w:tcW w:w="0" w:type="auto"/>
          </w:tcPr>
          <w:p w14:paraId="41226AC6"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066FDE0" w14:textId="706CCF53" w:rsidR="009A2C2E" w:rsidRDefault="009A2C2E" w:rsidP="00E53512">
            <w:pPr>
              <w:spacing w:before="100" w:after="0"/>
            </w:pPr>
            <w:r>
              <w:rPr>
                <w:color w:val="000000"/>
              </w:rPr>
              <w:t xml:space="preserve"> </w:t>
            </w:r>
            <w:r w:rsidR="00540B27">
              <w:rPr>
                <w:color w:val="000000"/>
              </w:rPr>
              <w:t>N/A</w:t>
            </w:r>
          </w:p>
        </w:tc>
      </w:tr>
      <w:tr w:rsidR="009A2C2E" w14:paraId="3E9E52BC" w14:textId="77777777" w:rsidTr="787E070B">
        <w:trPr>
          <w:cantSplit/>
        </w:trPr>
        <w:tc>
          <w:tcPr>
            <w:tcW w:w="0" w:type="auto"/>
            <w:vMerge/>
          </w:tcPr>
          <w:p w14:paraId="60227DFB" w14:textId="77777777" w:rsidR="009A2C2E" w:rsidRDefault="009A2C2E" w:rsidP="00E53512"/>
        </w:tc>
        <w:tc>
          <w:tcPr>
            <w:tcW w:w="0" w:type="auto"/>
          </w:tcPr>
          <w:p w14:paraId="2647EFAF"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0C2DCD3" w14:textId="01D180EF" w:rsidR="009A2C2E" w:rsidRDefault="009A2C2E" w:rsidP="00E53512">
            <w:pPr>
              <w:spacing w:before="100" w:after="0"/>
            </w:pPr>
            <w:r>
              <w:rPr>
                <w:color w:val="000000"/>
              </w:rPr>
              <w:t xml:space="preserve"> </w:t>
            </w:r>
            <w:r w:rsidR="00540B27">
              <w:rPr>
                <w:color w:val="000000"/>
              </w:rPr>
              <w:t>Idaho</w:t>
            </w:r>
          </w:p>
        </w:tc>
      </w:tr>
      <w:tr w:rsidR="009A2C2E" w14:paraId="75EBA91C" w14:textId="77777777" w:rsidTr="787E070B">
        <w:trPr>
          <w:cantSplit/>
        </w:trPr>
        <w:tc>
          <w:tcPr>
            <w:tcW w:w="0" w:type="auto"/>
            <w:vMerge/>
          </w:tcPr>
          <w:p w14:paraId="5AD8C618" w14:textId="77777777" w:rsidR="009A2C2E" w:rsidRDefault="009A2C2E" w:rsidP="00E53512"/>
        </w:tc>
        <w:tc>
          <w:tcPr>
            <w:tcW w:w="0" w:type="auto"/>
          </w:tcPr>
          <w:p w14:paraId="493471B7"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tcPr>
          <w:p w14:paraId="7BFB6201" w14:textId="77777777" w:rsidR="009A2C2E" w:rsidRDefault="009A2C2E" w:rsidP="00E53512">
            <w:pPr>
              <w:spacing w:before="100" w:after="0"/>
            </w:pPr>
            <w:r>
              <w:rPr>
                <w:color w:val="000000"/>
              </w:rPr>
              <w:t>State administrative costs.</w:t>
            </w:r>
          </w:p>
        </w:tc>
      </w:tr>
      <w:tr w:rsidR="009A2C2E" w14:paraId="0D2173C0" w14:textId="77777777" w:rsidTr="787E070B">
        <w:trPr>
          <w:cantSplit/>
        </w:trPr>
        <w:tc>
          <w:tcPr>
            <w:tcW w:w="0" w:type="auto"/>
            <w:vMerge w:val="restart"/>
          </w:tcPr>
          <w:p w14:paraId="6CC394F9" w14:textId="77777777" w:rsidR="009A2C2E" w:rsidRPr="0013551B" w:rsidRDefault="009A2C2E" w:rsidP="00E53512">
            <w:pPr>
              <w:rPr>
                <w:b/>
              </w:rPr>
            </w:pPr>
            <w:r w:rsidRPr="0013551B">
              <w:rPr>
                <w:b/>
              </w:rPr>
              <w:t>7</w:t>
            </w:r>
          </w:p>
        </w:tc>
        <w:tc>
          <w:tcPr>
            <w:tcW w:w="0" w:type="auto"/>
            <w:shd w:val="clear" w:color="auto" w:fill="D9E2F3" w:themeFill="accent1" w:themeFillTint="33"/>
          </w:tcPr>
          <w:p w14:paraId="263713C3" w14:textId="77777777" w:rsidR="009A2C2E" w:rsidRPr="0013551B" w:rsidRDefault="009A2C2E" w:rsidP="00E53512">
            <w:pPr>
              <w:keepNext/>
              <w:spacing w:before="100" w:after="0"/>
              <w:rPr>
                <w:b/>
              </w:rPr>
            </w:pPr>
            <w:r w:rsidRPr="0013551B">
              <w:rPr>
                <w:b/>
              </w:rPr>
              <w:t>Project Name</w:t>
            </w:r>
          </w:p>
        </w:tc>
        <w:tc>
          <w:tcPr>
            <w:tcW w:w="0" w:type="auto"/>
            <w:shd w:val="clear" w:color="auto" w:fill="D9E2F3" w:themeFill="accent1" w:themeFillTint="33"/>
          </w:tcPr>
          <w:p w14:paraId="29FDEAB2" w14:textId="77777777" w:rsidR="009A2C2E" w:rsidRPr="0013551B" w:rsidRDefault="009A2C2E" w:rsidP="00E53512">
            <w:pPr>
              <w:spacing w:before="100" w:after="0"/>
              <w:rPr>
                <w:b/>
              </w:rPr>
            </w:pPr>
            <w:r w:rsidRPr="0013551B">
              <w:rPr>
                <w:b/>
                <w:color w:val="000000"/>
              </w:rPr>
              <w:t>CDBG-Technical Assistance</w:t>
            </w:r>
          </w:p>
        </w:tc>
      </w:tr>
      <w:tr w:rsidR="009A2C2E" w14:paraId="13379DE1" w14:textId="77777777" w:rsidTr="787E070B">
        <w:trPr>
          <w:cantSplit/>
        </w:trPr>
        <w:tc>
          <w:tcPr>
            <w:tcW w:w="0" w:type="auto"/>
            <w:vMerge/>
          </w:tcPr>
          <w:p w14:paraId="5762525B" w14:textId="77777777" w:rsidR="009A2C2E" w:rsidRDefault="009A2C2E" w:rsidP="00E53512"/>
        </w:tc>
        <w:tc>
          <w:tcPr>
            <w:tcW w:w="0" w:type="auto"/>
          </w:tcPr>
          <w:p w14:paraId="71FE6371" w14:textId="77777777" w:rsidR="009A2C2E" w:rsidRDefault="009A2C2E" w:rsidP="00E53512">
            <w:pPr>
              <w:keepNext/>
              <w:spacing w:before="100" w:after="0"/>
              <w:rPr>
                <w:b/>
              </w:rPr>
            </w:pPr>
            <w:r>
              <w:rPr>
                <w:b/>
              </w:rPr>
              <w:t>Target Area</w:t>
            </w:r>
          </w:p>
        </w:tc>
        <w:tc>
          <w:tcPr>
            <w:tcW w:w="0" w:type="auto"/>
          </w:tcPr>
          <w:p w14:paraId="4739E5F4" w14:textId="307CAA28" w:rsidR="009A2C2E" w:rsidRDefault="009A2C2E" w:rsidP="00E53512">
            <w:pPr>
              <w:spacing w:before="100" w:after="0"/>
            </w:pPr>
            <w:r>
              <w:rPr>
                <w:color w:val="000000"/>
              </w:rPr>
              <w:t xml:space="preserve"> </w:t>
            </w:r>
            <w:r w:rsidR="008C0647">
              <w:rPr>
                <w:color w:val="000000"/>
              </w:rPr>
              <w:t>N/A</w:t>
            </w:r>
          </w:p>
        </w:tc>
      </w:tr>
      <w:tr w:rsidR="009A2C2E" w14:paraId="3943A6ED" w14:textId="77777777" w:rsidTr="787E070B">
        <w:trPr>
          <w:cantSplit/>
        </w:trPr>
        <w:tc>
          <w:tcPr>
            <w:tcW w:w="0" w:type="auto"/>
            <w:vMerge/>
          </w:tcPr>
          <w:p w14:paraId="57B08B37" w14:textId="77777777" w:rsidR="009A2C2E" w:rsidRDefault="009A2C2E" w:rsidP="00E53512"/>
        </w:tc>
        <w:tc>
          <w:tcPr>
            <w:tcW w:w="0" w:type="auto"/>
          </w:tcPr>
          <w:p w14:paraId="2AD9ABF3" w14:textId="77777777" w:rsidR="009A2C2E" w:rsidRDefault="009A2C2E" w:rsidP="00E53512">
            <w:pPr>
              <w:keepNext/>
              <w:spacing w:before="100" w:after="0"/>
              <w:rPr>
                <w:b/>
              </w:rPr>
            </w:pPr>
            <w:r>
              <w:rPr>
                <w:b/>
              </w:rPr>
              <w:t>Goals Supported</w:t>
            </w:r>
          </w:p>
        </w:tc>
        <w:tc>
          <w:tcPr>
            <w:tcW w:w="0" w:type="auto"/>
          </w:tcPr>
          <w:p w14:paraId="7BA6637D" w14:textId="292FBF45" w:rsidR="009A2C2E" w:rsidRDefault="009A2C2E" w:rsidP="00E53512">
            <w:pPr>
              <w:spacing w:before="100" w:after="0"/>
            </w:pPr>
            <w:r>
              <w:rPr>
                <w:color w:val="000000"/>
              </w:rPr>
              <w:t xml:space="preserve"> </w:t>
            </w:r>
            <w:r w:rsidR="008C0647">
              <w:rPr>
                <w:color w:val="000000"/>
              </w:rPr>
              <w:t>N/A</w:t>
            </w:r>
          </w:p>
        </w:tc>
      </w:tr>
      <w:tr w:rsidR="009A2C2E" w14:paraId="70E51E40" w14:textId="77777777" w:rsidTr="787E070B">
        <w:trPr>
          <w:cantSplit/>
        </w:trPr>
        <w:tc>
          <w:tcPr>
            <w:tcW w:w="0" w:type="auto"/>
            <w:vMerge/>
          </w:tcPr>
          <w:p w14:paraId="736796F4" w14:textId="77777777" w:rsidR="009A2C2E" w:rsidRDefault="009A2C2E" w:rsidP="00E53512"/>
        </w:tc>
        <w:tc>
          <w:tcPr>
            <w:tcW w:w="0" w:type="auto"/>
          </w:tcPr>
          <w:p w14:paraId="68170C12" w14:textId="77777777" w:rsidR="009A2C2E" w:rsidRDefault="009A2C2E" w:rsidP="00E53512">
            <w:pPr>
              <w:keepNext/>
              <w:spacing w:before="100" w:after="0"/>
              <w:rPr>
                <w:b/>
              </w:rPr>
            </w:pPr>
            <w:r>
              <w:rPr>
                <w:b/>
              </w:rPr>
              <w:t>Needs Addressed</w:t>
            </w:r>
          </w:p>
        </w:tc>
        <w:tc>
          <w:tcPr>
            <w:tcW w:w="0" w:type="auto"/>
          </w:tcPr>
          <w:p w14:paraId="5736EB13" w14:textId="27DDAF0C" w:rsidR="009A2C2E" w:rsidRDefault="009A2C2E" w:rsidP="00E53512">
            <w:pPr>
              <w:spacing w:before="100" w:after="0"/>
            </w:pPr>
            <w:r>
              <w:rPr>
                <w:color w:val="000000"/>
              </w:rPr>
              <w:t xml:space="preserve"> </w:t>
            </w:r>
            <w:r w:rsidR="008C0647">
              <w:rPr>
                <w:color w:val="000000"/>
              </w:rPr>
              <w:t>N/A</w:t>
            </w:r>
          </w:p>
        </w:tc>
      </w:tr>
      <w:tr w:rsidR="009A2C2E" w14:paraId="1D6E2555" w14:textId="77777777" w:rsidTr="787E070B">
        <w:trPr>
          <w:cantSplit/>
        </w:trPr>
        <w:tc>
          <w:tcPr>
            <w:tcW w:w="0" w:type="auto"/>
            <w:vMerge/>
          </w:tcPr>
          <w:p w14:paraId="20C6821A" w14:textId="77777777" w:rsidR="009A2C2E" w:rsidRDefault="009A2C2E" w:rsidP="00E53512"/>
        </w:tc>
        <w:tc>
          <w:tcPr>
            <w:tcW w:w="0" w:type="auto"/>
          </w:tcPr>
          <w:p w14:paraId="7A79D4DE" w14:textId="77777777" w:rsidR="009A2C2E" w:rsidRDefault="009A2C2E" w:rsidP="00E53512">
            <w:pPr>
              <w:keepNext/>
              <w:spacing w:before="100" w:after="0"/>
              <w:rPr>
                <w:b/>
              </w:rPr>
            </w:pPr>
            <w:r>
              <w:rPr>
                <w:b/>
              </w:rPr>
              <w:t>Funding</w:t>
            </w:r>
          </w:p>
        </w:tc>
        <w:tc>
          <w:tcPr>
            <w:tcW w:w="0" w:type="auto"/>
          </w:tcPr>
          <w:p w14:paraId="2EE8360C" w14:textId="70CA006C" w:rsidR="009A2C2E" w:rsidRDefault="009A2C2E" w:rsidP="00E53512">
            <w:pPr>
              <w:spacing w:before="100" w:after="0"/>
            </w:pPr>
            <w:r>
              <w:rPr>
                <w:color w:val="000000"/>
              </w:rPr>
              <w:t xml:space="preserve">CDBG: </w:t>
            </w:r>
            <w:r w:rsidRPr="00BE2A39">
              <w:rPr>
                <w:color w:val="000000"/>
              </w:rPr>
              <w:t>$</w:t>
            </w:r>
            <w:r w:rsidR="00BE2A39">
              <w:rPr>
                <w:color w:val="000000"/>
              </w:rPr>
              <w:t>78,804</w:t>
            </w:r>
          </w:p>
        </w:tc>
      </w:tr>
      <w:tr w:rsidR="009A2C2E" w14:paraId="41CFE54F" w14:textId="77777777" w:rsidTr="787E070B">
        <w:trPr>
          <w:cantSplit/>
        </w:trPr>
        <w:tc>
          <w:tcPr>
            <w:tcW w:w="0" w:type="auto"/>
            <w:vMerge/>
          </w:tcPr>
          <w:p w14:paraId="259ADF7C" w14:textId="77777777" w:rsidR="009A2C2E" w:rsidRDefault="009A2C2E" w:rsidP="00E53512"/>
        </w:tc>
        <w:tc>
          <w:tcPr>
            <w:tcW w:w="0" w:type="auto"/>
          </w:tcPr>
          <w:p w14:paraId="417C54F7" w14:textId="77777777" w:rsidR="009A2C2E" w:rsidRDefault="009A2C2E" w:rsidP="00E53512">
            <w:pPr>
              <w:keepNext/>
              <w:spacing w:before="100" w:after="0"/>
              <w:rPr>
                <w:b/>
              </w:rPr>
            </w:pPr>
            <w:r>
              <w:rPr>
                <w:b/>
              </w:rPr>
              <w:t>Description</w:t>
            </w:r>
          </w:p>
        </w:tc>
        <w:tc>
          <w:tcPr>
            <w:tcW w:w="0" w:type="auto"/>
          </w:tcPr>
          <w:p w14:paraId="59D4550E" w14:textId="77777777" w:rsidR="009A2C2E" w:rsidRDefault="009A2C2E" w:rsidP="00E53512">
            <w:pPr>
              <w:spacing w:before="100" w:after="0"/>
            </w:pPr>
            <w:r>
              <w:rPr>
                <w:color w:val="000000"/>
              </w:rPr>
              <w:t>Fair housing State Administration costs associated with projects and activities, training, and technical assistance.</w:t>
            </w:r>
          </w:p>
        </w:tc>
      </w:tr>
      <w:tr w:rsidR="009A2C2E" w14:paraId="2727DBCC" w14:textId="77777777" w:rsidTr="787E070B">
        <w:trPr>
          <w:cantSplit/>
        </w:trPr>
        <w:tc>
          <w:tcPr>
            <w:tcW w:w="0" w:type="auto"/>
            <w:vMerge/>
          </w:tcPr>
          <w:p w14:paraId="5F9CDEC4" w14:textId="77777777" w:rsidR="009A2C2E" w:rsidRDefault="009A2C2E" w:rsidP="00E53512"/>
        </w:tc>
        <w:tc>
          <w:tcPr>
            <w:tcW w:w="0" w:type="auto"/>
          </w:tcPr>
          <w:p w14:paraId="201AE198" w14:textId="77777777" w:rsidR="009A2C2E" w:rsidRDefault="009A2C2E" w:rsidP="00E53512">
            <w:pPr>
              <w:keepNext/>
              <w:spacing w:before="100" w:after="0"/>
              <w:rPr>
                <w:b/>
              </w:rPr>
            </w:pPr>
            <w:r>
              <w:rPr>
                <w:b/>
              </w:rPr>
              <w:t>Target Date</w:t>
            </w:r>
          </w:p>
        </w:tc>
        <w:tc>
          <w:tcPr>
            <w:tcW w:w="0" w:type="auto"/>
          </w:tcPr>
          <w:p w14:paraId="424D3645" w14:textId="71416816" w:rsidR="009A2C2E" w:rsidRDefault="009A2C2E" w:rsidP="00E53512">
            <w:pPr>
              <w:spacing w:before="100" w:after="0"/>
            </w:pPr>
            <w:r>
              <w:rPr>
                <w:color w:val="000000"/>
              </w:rPr>
              <w:t xml:space="preserve"> </w:t>
            </w:r>
            <w:r w:rsidR="008972B1">
              <w:rPr>
                <w:color w:val="000000"/>
              </w:rPr>
              <w:t>3/31/2029</w:t>
            </w:r>
          </w:p>
        </w:tc>
      </w:tr>
      <w:tr w:rsidR="009A2C2E" w14:paraId="21244593" w14:textId="77777777" w:rsidTr="787E070B">
        <w:trPr>
          <w:cantSplit/>
        </w:trPr>
        <w:tc>
          <w:tcPr>
            <w:tcW w:w="0" w:type="auto"/>
            <w:vMerge/>
          </w:tcPr>
          <w:p w14:paraId="3F27D5B6" w14:textId="77777777" w:rsidR="009A2C2E" w:rsidRDefault="009A2C2E" w:rsidP="00E53512"/>
        </w:tc>
        <w:tc>
          <w:tcPr>
            <w:tcW w:w="0" w:type="auto"/>
          </w:tcPr>
          <w:p w14:paraId="763E6E39"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4176902" w14:textId="5CCD9FB7" w:rsidR="009A2C2E" w:rsidRDefault="009A2C2E" w:rsidP="00E53512">
            <w:pPr>
              <w:spacing w:before="100" w:after="0"/>
            </w:pPr>
            <w:r>
              <w:rPr>
                <w:color w:val="000000"/>
              </w:rPr>
              <w:t xml:space="preserve"> </w:t>
            </w:r>
            <w:r w:rsidR="00540B27">
              <w:rPr>
                <w:color w:val="000000"/>
              </w:rPr>
              <w:t>N/A</w:t>
            </w:r>
          </w:p>
        </w:tc>
      </w:tr>
      <w:tr w:rsidR="009A2C2E" w14:paraId="09BA0990" w14:textId="77777777" w:rsidTr="787E070B">
        <w:trPr>
          <w:cantSplit/>
        </w:trPr>
        <w:tc>
          <w:tcPr>
            <w:tcW w:w="0" w:type="auto"/>
            <w:vMerge/>
          </w:tcPr>
          <w:p w14:paraId="078DD5B3" w14:textId="77777777" w:rsidR="009A2C2E" w:rsidRDefault="009A2C2E" w:rsidP="00E53512"/>
        </w:tc>
        <w:tc>
          <w:tcPr>
            <w:tcW w:w="0" w:type="auto"/>
          </w:tcPr>
          <w:p w14:paraId="674BD777"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6395ED36" w14:textId="61FAE538" w:rsidR="009A2C2E" w:rsidRDefault="009A2C2E" w:rsidP="00E53512">
            <w:pPr>
              <w:spacing w:before="100" w:after="0"/>
            </w:pPr>
            <w:r>
              <w:rPr>
                <w:color w:val="000000"/>
              </w:rPr>
              <w:t xml:space="preserve"> </w:t>
            </w:r>
            <w:r w:rsidR="00540B27">
              <w:rPr>
                <w:color w:val="000000"/>
              </w:rPr>
              <w:t>Idaho</w:t>
            </w:r>
          </w:p>
        </w:tc>
      </w:tr>
      <w:tr w:rsidR="009A2C2E" w14:paraId="1D01D2CB" w14:textId="77777777" w:rsidTr="787E070B">
        <w:trPr>
          <w:cantSplit/>
        </w:trPr>
        <w:tc>
          <w:tcPr>
            <w:tcW w:w="0" w:type="auto"/>
            <w:vMerge/>
          </w:tcPr>
          <w:p w14:paraId="410D7DBA" w14:textId="77777777" w:rsidR="009A2C2E" w:rsidRDefault="009A2C2E" w:rsidP="00E53512"/>
        </w:tc>
        <w:tc>
          <w:tcPr>
            <w:tcW w:w="0" w:type="auto"/>
          </w:tcPr>
          <w:p w14:paraId="3D9D2D0D"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tcPr>
          <w:p w14:paraId="51D61574" w14:textId="76978142" w:rsidR="009A2C2E" w:rsidRDefault="009A2C2E" w:rsidP="00E53512">
            <w:pPr>
              <w:spacing w:before="100" w:after="0"/>
            </w:pPr>
            <w:r>
              <w:rPr>
                <w:color w:val="000000"/>
              </w:rPr>
              <w:t xml:space="preserve"> </w:t>
            </w:r>
            <w:r w:rsidR="00540B27">
              <w:rPr>
                <w:color w:val="000000"/>
              </w:rPr>
              <w:t>N/A</w:t>
            </w:r>
          </w:p>
        </w:tc>
      </w:tr>
      <w:tr w:rsidR="009A2C2E" w14:paraId="2E304A6F" w14:textId="77777777" w:rsidTr="787E070B">
        <w:trPr>
          <w:cantSplit/>
        </w:trPr>
        <w:tc>
          <w:tcPr>
            <w:tcW w:w="0" w:type="auto"/>
            <w:vMerge w:val="restart"/>
          </w:tcPr>
          <w:p w14:paraId="6A006C71" w14:textId="77777777" w:rsidR="009A2C2E" w:rsidRDefault="009A2C2E" w:rsidP="00E53512">
            <w:r>
              <w:rPr>
                <w:b/>
              </w:rPr>
              <w:t>8</w:t>
            </w:r>
          </w:p>
        </w:tc>
        <w:tc>
          <w:tcPr>
            <w:tcW w:w="0" w:type="auto"/>
            <w:shd w:val="clear" w:color="auto" w:fill="FFF2CC" w:themeFill="accent4" w:themeFillTint="33"/>
          </w:tcPr>
          <w:p w14:paraId="2D4D1BD2" w14:textId="77777777" w:rsidR="009A2C2E" w:rsidRDefault="009A2C2E" w:rsidP="00E53512">
            <w:pPr>
              <w:keepNext/>
              <w:spacing w:before="100" w:after="0"/>
              <w:rPr>
                <w:b/>
              </w:rPr>
            </w:pPr>
            <w:r>
              <w:rPr>
                <w:b/>
              </w:rPr>
              <w:t>Project Name</w:t>
            </w:r>
          </w:p>
        </w:tc>
        <w:tc>
          <w:tcPr>
            <w:tcW w:w="0" w:type="auto"/>
            <w:shd w:val="clear" w:color="auto" w:fill="FFF2CC" w:themeFill="accent4" w:themeFillTint="33"/>
          </w:tcPr>
          <w:p w14:paraId="023108EE" w14:textId="77777777" w:rsidR="009A2C2E" w:rsidRPr="00BE2A39" w:rsidRDefault="009A2C2E" w:rsidP="00E53512">
            <w:pPr>
              <w:spacing w:before="100" w:after="0"/>
              <w:rPr>
                <w:b/>
                <w:bCs/>
              </w:rPr>
            </w:pPr>
            <w:r w:rsidRPr="00BE2A39">
              <w:rPr>
                <w:b/>
                <w:bCs/>
                <w:color w:val="000000"/>
              </w:rPr>
              <w:t>State of Idaho ESG</w:t>
            </w:r>
          </w:p>
        </w:tc>
      </w:tr>
      <w:tr w:rsidR="009A2C2E" w14:paraId="44046E49" w14:textId="77777777" w:rsidTr="787E070B">
        <w:trPr>
          <w:cantSplit/>
        </w:trPr>
        <w:tc>
          <w:tcPr>
            <w:tcW w:w="0" w:type="auto"/>
            <w:vMerge/>
          </w:tcPr>
          <w:p w14:paraId="0DA4521B" w14:textId="77777777" w:rsidR="009A2C2E" w:rsidRDefault="009A2C2E" w:rsidP="00E53512"/>
        </w:tc>
        <w:tc>
          <w:tcPr>
            <w:tcW w:w="0" w:type="auto"/>
          </w:tcPr>
          <w:p w14:paraId="73EE8EC0" w14:textId="77777777" w:rsidR="009A2C2E" w:rsidRDefault="009A2C2E" w:rsidP="00E53512">
            <w:pPr>
              <w:keepNext/>
              <w:spacing w:before="100" w:after="0"/>
              <w:rPr>
                <w:b/>
              </w:rPr>
            </w:pPr>
            <w:r>
              <w:rPr>
                <w:b/>
              </w:rPr>
              <w:t>Target Area</w:t>
            </w:r>
          </w:p>
        </w:tc>
        <w:tc>
          <w:tcPr>
            <w:tcW w:w="0" w:type="auto"/>
          </w:tcPr>
          <w:p w14:paraId="21E75DC1" w14:textId="7354427D" w:rsidR="009A2C2E" w:rsidRDefault="009A2C2E" w:rsidP="00E53512">
            <w:pPr>
              <w:spacing w:before="100" w:after="0"/>
            </w:pPr>
            <w:r>
              <w:rPr>
                <w:color w:val="000000"/>
              </w:rPr>
              <w:t xml:space="preserve"> </w:t>
            </w:r>
            <w:r w:rsidR="008C0647">
              <w:rPr>
                <w:color w:val="000000"/>
              </w:rPr>
              <w:t>N/A</w:t>
            </w:r>
          </w:p>
        </w:tc>
      </w:tr>
      <w:tr w:rsidR="009A2C2E" w14:paraId="6C2542E3" w14:textId="77777777" w:rsidTr="787E070B">
        <w:trPr>
          <w:cantSplit/>
        </w:trPr>
        <w:tc>
          <w:tcPr>
            <w:tcW w:w="0" w:type="auto"/>
            <w:vMerge/>
          </w:tcPr>
          <w:p w14:paraId="7907B0B2" w14:textId="77777777" w:rsidR="009A2C2E" w:rsidRDefault="009A2C2E" w:rsidP="00E53512"/>
        </w:tc>
        <w:tc>
          <w:tcPr>
            <w:tcW w:w="0" w:type="auto"/>
          </w:tcPr>
          <w:p w14:paraId="37129620" w14:textId="77777777" w:rsidR="009A2C2E" w:rsidRDefault="009A2C2E" w:rsidP="00E53512">
            <w:pPr>
              <w:keepNext/>
              <w:spacing w:before="100" w:after="0"/>
              <w:rPr>
                <w:b/>
              </w:rPr>
            </w:pPr>
            <w:r>
              <w:rPr>
                <w:b/>
              </w:rPr>
              <w:t>Goals Supported</w:t>
            </w:r>
          </w:p>
        </w:tc>
        <w:tc>
          <w:tcPr>
            <w:tcW w:w="0" w:type="auto"/>
          </w:tcPr>
          <w:p w14:paraId="5F160E08" w14:textId="77777777" w:rsidR="009A2C2E" w:rsidRDefault="009A2C2E" w:rsidP="00E53512">
            <w:pPr>
              <w:spacing w:before="100" w:after="0"/>
            </w:pPr>
            <w:r>
              <w:rPr>
                <w:color w:val="000000"/>
              </w:rPr>
              <w:t>Provide Suitable Living Environment</w:t>
            </w:r>
          </w:p>
        </w:tc>
      </w:tr>
      <w:tr w:rsidR="009A2C2E" w14:paraId="04D2B8B2" w14:textId="77777777" w:rsidTr="787E070B">
        <w:trPr>
          <w:cantSplit/>
        </w:trPr>
        <w:tc>
          <w:tcPr>
            <w:tcW w:w="0" w:type="auto"/>
            <w:vMerge/>
          </w:tcPr>
          <w:p w14:paraId="6C83F393" w14:textId="77777777" w:rsidR="009A2C2E" w:rsidRDefault="009A2C2E" w:rsidP="00E53512"/>
        </w:tc>
        <w:tc>
          <w:tcPr>
            <w:tcW w:w="0" w:type="auto"/>
          </w:tcPr>
          <w:p w14:paraId="1D244B03" w14:textId="77777777" w:rsidR="009A2C2E" w:rsidRPr="008C0647" w:rsidRDefault="009A2C2E" w:rsidP="00E53512">
            <w:pPr>
              <w:keepNext/>
              <w:spacing w:before="100" w:after="0"/>
              <w:rPr>
                <w:b/>
              </w:rPr>
            </w:pPr>
            <w:r w:rsidRPr="008C0647">
              <w:rPr>
                <w:b/>
              </w:rPr>
              <w:t>Needs Addressed</w:t>
            </w:r>
          </w:p>
        </w:tc>
        <w:tc>
          <w:tcPr>
            <w:tcW w:w="0" w:type="auto"/>
          </w:tcPr>
          <w:p w14:paraId="145E6844" w14:textId="1EBD85BE" w:rsidR="009A2C2E" w:rsidRPr="008C0647" w:rsidRDefault="008C0647" w:rsidP="008C0647">
            <w:pPr>
              <w:rPr>
                <w:color w:val="000000"/>
              </w:rPr>
            </w:pPr>
            <w:r w:rsidRPr="008C0647">
              <w:rPr>
                <w:color w:val="000000" w:themeColor="text1"/>
              </w:rPr>
              <w:t>Homeless Shelter Operations, Homelessness Prevention, and Rapid Rehousing</w:t>
            </w:r>
          </w:p>
        </w:tc>
      </w:tr>
      <w:tr w:rsidR="009A2C2E" w14:paraId="1345E0F4" w14:textId="77777777" w:rsidTr="787E070B">
        <w:trPr>
          <w:cantSplit/>
        </w:trPr>
        <w:tc>
          <w:tcPr>
            <w:tcW w:w="0" w:type="auto"/>
            <w:vMerge/>
          </w:tcPr>
          <w:p w14:paraId="23043CCA" w14:textId="77777777" w:rsidR="009A2C2E" w:rsidRDefault="009A2C2E" w:rsidP="00E53512"/>
        </w:tc>
        <w:tc>
          <w:tcPr>
            <w:tcW w:w="0" w:type="auto"/>
          </w:tcPr>
          <w:p w14:paraId="749CC6BB" w14:textId="77777777" w:rsidR="009A2C2E" w:rsidRDefault="009A2C2E" w:rsidP="00E53512">
            <w:pPr>
              <w:keepNext/>
              <w:spacing w:before="100" w:after="0"/>
              <w:rPr>
                <w:b/>
              </w:rPr>
            </w:pPr>
            <w:r>
              <w:rPr>
                <w:b/>
              </w:rPr>
              <w:t>Funding</w:t>
            </w:r>
          </w:p>
        </w:tc>
        <w:tc>
          <w:tcPr>
            <w:tcW w:w="0" w:type="auto"/>
          </w:tcPr>
          <w:p w14:paraId="3D80DA5C" w14:textId="587FB9FE" w:rsidR="009A2C2E" w:rsidRDefault="009A2C2E" w:rsidP="00E53512">
            <w:pPr>
              <w:spacing w:before="100" w:after="0"/>
            </w:pPr>
            <w:r>
              <w:rPr>
                <w:color w:val="000000"/>
              </w:rPr>
              <w:t>ESG: $1,</w:t>
            </w:r>
            <w:r w:rsidR="003D336B">
              <w:rPr>
                <w:color w:val="000000"/>
              </w:rPr>
              <w:t>117,066</w:t>
            </w:r>
          </w:p>
        </w:tc>
      </w:tr>
      <w:tr w:rsidR="009A2C2E" w14:paraId="110B7CD6" w14:textId="77777777" w:rsidTr="787E070B">
        <w:trPr>
          <w:cantSplit/>
        </w:trPr>
        <w:tc>
          <w:tcPr>
            <w:tcW w:w="0" w:type="auto"/>
            <w:vMerge/>
          </w:tcPr>
          <w:p w14:paraId="7AD3A8D5" w14:textId="77777777" w:rsidR="009A2C2E" w:rsidRDefault="009A2C2E" w:rsidP="00E53512"/>
        </w:tc>
        <w:tc>
          <w:tcPr>
            <w:tcW w:w="0" w:type="auto"/>
          </w:tcPr>
          <w:p w14:paraId="2500FC6D" w14:textId="77777777" w:rsidR="009A2C2E" w:rsidRDefault="009A2C2E" w:rsidP="00E53512">
            <w:pPr>
              <w:keepNext/>
              <w:spacing w:before="100" w:after="0"/>
              <w:rPr>
                <w:b/>
              </w:rPr>
            </w:pPr>
            <w:r>
              <w:rPr>
                <w:b/>
              </w:rPr>
              <w:t>Description</w:t>
            </w:r>
          </w:p>
        </w:tc>
        <w:tc>
          <w:tcPr>
            <w:tcW w:w="0" w:type="auto"/>
          </w:tcPr>
          <w:p w14:paraId="31E09D9E" w14:textId="77777777" w:rsidR="009A2C2E" w:rsidRDefault="009A2C2E" w:rsidP="00E53512">
            <w:pPr>
              <w:spacing w:before="100" w:after="0"/>
            </w:pPr>
            <w:r>
              <w:rPr>
                <w:color w:val="000000"/>
              </w:rPr>
              <w:t>Includes shelter, homelessness prevention, rapid rehousing, data collection and administrative activities. The Special Needs Housing Programs administered by IHFA predominately serve homeless persons. In many cases, these HUD funds can be used for homelessness prevention and rapid rehousing activities.</w:t>
            </w:r>
          </w:p>
        </w:tc>
      </w:tr>
      <w:tr w:rsidR="008C0647" w14:paraId="5B33C28B" w14:textId="77777777" w:rsidTr="787E070B">
        <w:trPr>
          <w:cantSplit/>
        </w:trPr>
        <w:tc>
          <w:tcPr>
            <w:tcW w:w="0" w:type="auto"/>
            <w:vMerge/>
          </w:tcPr>
          <w:p w14:paraId="00C0C755" w14:textId="77777777" w:rsidR="008C0647" w:rsidRDefault="008C0647" w:rsidP="008C0647"/>
        </w:tc>
        <w:tc>
          <w:tcPr>
            <w:tcW w:w="0" w:type="auto"/>
          </w:tcPr>
          <w:p w14:paraId="7EABB415" w14:textId="77777777" w:rsidR="008C0647" w:rsidRDefault="008C0647" w:rsidP="008C0647">
            <w:pPr>
              <w:keepNext/>
              <w:spacing w:before="100" w:after="0"/>
              <w:rPr>
                <w:b/>
              </w:rPr>
            </w:pPr>
            <w:r>
              <w:rPr>
                <w:b/>
              </w:rPr>
              <w:t>Target Date</w:t>
            </w:r>
          </w:p>
        </w:tc>
        <w:tc>
          <w:tcPr>
            <w:tcW w:w="0" w:type="auto"/>
          </w:tcPr>
          <w:p w14:paraId="1C289047" w14:textId="599E5DE7" w:rsidR="008C0647" w:rsidRDefault="008C0647" w:rsidP="008C0647">
            <w:pPr>
              <w:spacing w:before="100" w:after="0"/>
            </w:pPr>
            <w:r>
              <w:rPr>
                <w:color w:val="000000"/>
              </w:rPr>
              <w:t>3/31/2029</w:t>
            </w:r>
          </w:p>
        </w:tc>
      </w:tr>
      <w:tr w:rsidR="008C0647" w14:paraId="4DA1BB37" w14:textId="77777777" w:rsidTr="787E070B">
        <w:trPr>
          <w:cantSplit/>
        </w:trPr>
        <w:tc>
          <w:tcPr>
            <w:tcW w:w="0" w:type="auto"/>
            <w:vMerge/>
          </w:tcPr>
          <w:p w14:paraId="6BBB24A9" w14:textId="77777777" w:rsidR="008C0647" w:rsidRDefault="008C0647" w:rsidP="008C0647"/>
        </w:tc>
        <w:tc>
          <w:tcPr>
            <w:tcW w:w="0" w:type="auto"/>
          </w:tcPr>
          <w:p w14:paraId="057A6341" w14:textId="77777777" w:rsidR="008C0647" w:rsidRDefault="008C0647" w:rsidP="008C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33E71D4" w14:textId="553EE728" w:rsidR="008C0647" w:rsidRDefault="008C0647" w:rsidP="008C0647">
            <w:pPr>
              <w:spacing w:before="100" w:after="0"/>
            </w:pPr>
            <w:r>
              <w:rPr>
                <w:color w:val="000000"/>
              </w:rPr>
              <w:t>Through ESG we expect to help at least 220 households with rapid rehousing, at least 556 households with homelessness prevention, and to support at least 1305 individuals with shelter services. Our shelters include family shelters, domestic violence shelters, and one youth shelter.</w:t>
            </w:r>
          </w:p>
        </w:tc>
      </w:tr>
      <w:tr w:rsidR="008C0647" w14:paraId="4D233036" w14:textId="77777777" w:rsidTr="787E070B">
        <w:trPr>
          <w:cantSplit/>
        </w:trPr>
        <w:tc>
          <w:tcPr>
            <w:tcW w:w="0" w:type="auto"/>
            <w:vMerge/>
          </w:tcPr>
          <w:p w14:paraId="509807B8" w14:textId="77777777" w:rsidR="008C0647" w:rsidRDefault="008C0647" w:rsidP="008C0647"/>
        </w:tc>
        <w:tc>
          <w:tcPr>
            <w:tcW w:w="0" w:type="auto"/>
          </w:tcPr>
          <w:p w14:paraId="736CF668" w14:textId="77777777" w:rsidR="008C0647" w:rsidRDefault="008C0647" w:rsidP="008C0647">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635E872" w14:textId="77777777" w:rsidR="008C0647" w:rsidRDefault="008C0647" w:rsidP="008C0647">
            <w:pPr>
              <w:spacing w:before="100" w:after="0"/>
            </w:pPr>
            <w:r>
              <w:rPr>
                <w:color w:val="000000"/>
              </w:rPr>
              <w:t>IHFA provides ESG funds throughout the state of Idaho, including the cities of Boise, Pocatello, Moscow, Nampa, Coeur d'Alene, Salmon, Malad, Lewiston, Twin Falls, and Idaho Falls.</w:t>
            </w:r>
          </w:p>
        </w:tc>
      </w:tr>
      <w:tr w:rsidR="008C0647" w14:paraId="76E07D13" w14:textId="77777777" w:rsidTr="787E070B">
        <w:trPr>
          <w:cantSplit/>
        </w:trPr>
        <w:tc>
          <w:tcPr>
            <w:tcW w:w="0" w:type="auto"/>
            <w:vMerge/>
          </w:tcPr>
          <w:p w14:paraId="59FD5671" w14:textId="77777777" w:rsidR="008C0647" w:rsidRDefault="008C0647" w:rsidP="008C0647"/>
        </w:tc>
        <w:tc>
          <w:tcPr>
            <w:tcW w:w="0" w:type="auto"/>
          </w:tcPr>
          <w:p w14:paraId="66EA0A2F" w14:textId="77777777" w:rsidR="008C0647" w:rsidRDefault="008C0647" w:rsidP="008C0647">
            <w:pPr>
              <w:keepNext/>
              <w:spacing w:before="100" w:after="0"/>
              <w:rPr>
                <w:rFonts w:asciiTheme="minorHAnsi" w:hAnsiTheme="minorHAnsi"/>
                <w:b/>
              </w:rPr>
            </w:pPr>
            <w:r>
              <w:rPr>
                <w:rStyle w:val="Strong"/>
                <w:rFonts w:asciiTheme="minorHAnsi" w:hAnsiTheme="minorHAnsi"/>
              </w:rPr>
              <w:t>Planned Activities</w:t>
            </w:r>
          </w:p>
        </w:tc>
        <w:tc>
          <w:tcPr>
            <w:tcW w:w="0" w:type="auto"/>
          </w:tcPr>
          <w:p w14:paraId="3B95A4CF" w14:textId="77777777" w:rsidR="008C0647" w:rsidRDefault="008C0647" w:rsidP="008C0647">
            <w:pPr>
              <w:spacing w:before="100" w:after="0"/>
            </w:pPr>
            <w:r>
              <w:rPr>
                <w:color w:val="000000"/>
              </w:rPr>
              <w:t>With ESG funding IHFA will provide funding for shelter services and operations, homelessness prevention, rapid rehousing, data collection, and administration.</w:t>
            </w:r>
          </w:p>
        </w:tc>
      </w:tr>
      <w:tr w:rsidR="008C0647" w14:paraId="4A4BFB4F" w14:textId="77777777" w:rsidTr="787E070B">
        <w:trPr>
          <w:cantSplit/>
        </w:trPr>
        <w:tc>
          <w:tcPr>
            <w:tcW w:w="0" w:type="auto"/>
            <w:vMerge w:val="restart"/>
          </w:tcPr>
          <w:p w14:paraId="1D2B46FA" w14:textId="77777777" w:rsidR="008C0647" w:rsidRDefault="008C0647" w:rsidP="008C0647">
            <w:r>
              <w:rPr>
                <w:b/>
              </w:rPr>
              <w:t>9</w:t>
            </w:r>
          </w:p>
        </w:tc>
        <w:tc>
          <w:tcPr>
            <w:tcW w:w="0" w:type="auto"/>
            <w:shd w:val="clear" w:color="auto" w:fill="C5E0B3" w:themeFill="accent6" w:themeFillTint="66"/>
          </w:tcPr>
          <w:p w14:paraId="204EAF14" w14:textId="77777777" w:rsidR="008C0647" w:rsidRDefault="008C0647" w:rsidP="008C0647">
            <w:pPr>
              <w:keepNext/>
              <w:spacing w:before="100" w:after="0"/>
              <w:rPr>
                <w:b/>
              </w:rPr>
            </w:pPr>
            <w:r>
              <w:rPr>
                <w:b/>
              </w:rPr>
              <w:t>Project Name</w:t>
            </w:r>
          </w:p>
        </w:tc>
        <w:tc>
          <w:tcPr>
            <w:tcW w:w="0" w:type="auto"/>
            <w:shd w:val="clear" w:color="auto" w:fill="C5E0B3" w:themeFill="accent6" w:themeFillTint="66"/>
          </w:tcPr>
          <w:p w14:paraId="059F45F8" w14:textId="7CBCAF1F" w:rsidR="008C0647" w:rsidRPr="00BE2A39" w:rsidRDefault="008C0647" w:rsidP="008C0647">
            <w:pPr>
              <w:spacing w:before="100" w:after="0"/>
              <w:rPr>
                <w:b/>
                <w:bCs/>
              </w:rPr>
            </w:pPr>
            <w:r w:rsidRPr="00BE2A39">
              <w:rPr>
                <w:b/>
                <w:bCs/>
                <w:color w:val="000000"/>
              </w:rPr>
              <w:t>2025 HOME Administration</w:t>
            </w:r>
          </w:p>
        </w:tc>
      </w:tr>
      <w:tr w:rsidR="008C0647" w14:paraId="075DD6A0" w14:textId="77777777" w:rsidTr="787E070B">
        <w:trPr>
          <w:cantSplit/>
        </w:trPr>
        <w:tc>
          <w:tcPr>
            <w:tcW w:w="0" w:type="auto"/>
            <w:vMerge/>
          </w:tcPr>
          <w:p w14:paraId="5FF4D2B9" w14:textId="77777777" w:rsidR="008C0647" w:rsidRDefault="008C0647" w:rsidP="008C0647"/>
        </w:tc>
        <w:tc>
          <w:tcPr>
            <w:tcW w:w="0" w:type="auto"/>
          </w:tcPr>
          <w:p w14:paraId="4E44F8EB" w14:textId="77777777" w:rsidR="008C0647" w:rsidRDefault="008C0647" w:rsidP="008C0647">
            <w:pPr>
              <w:keepNext/>
              <w:spacing w:before="100" w:after="0"/>
              <w:rPr>
                <w:b/>
              </w:rPr>
            </w:pPr>
            <w:r>
              <w:rPr>
                <w:b/>
              </w:rPr>
              <w:t>Target Area</w:t>
            </w:r>
          </w:p>
        </w:tc>
        <w:tc>
          <w:tcPr>
            <w:tcW w:w="0" w:type="auto"/>
          </w:tcPr>
          <w:p w14:paraId="470E36EC" w14:textId="590699C1" w:rsidR="008C0647" w:rsidRDefault="008C0647" w:rsidP="008C0647">
            <w:pPr>
              <w:spacing w:before="100" w:after="0"/>
            </w:pPr>
            <w:r>
              <w:rPr>
                <w:color w:val="000000"/>
              </w:rPr>
              <w:t xml:space="preserve"> N/A</w:t>
            </w:r>
          </w:p>
        </w:tc>
      </w:tr>
      <w:tr w:rsidR="008C0647" w14:paraId="058997E1" w14:textId="77777777" w:rsidTr="787E070B">
        <w:trPr>
          <w:cantSplit/>
        </w:trPr>
        <w:tc>
          <w:tcPr>
            <w:tcW w:w="0" w:type="auto"/>
            <w:vMerge/>
          </w:tcPr>
          <w:p w14:paraId="35FF7844" w14:textId="77777777" w:rsidR="008C0647" w:rsidRDefault="008C0647" w:rsidP="008C0647"/>
        </w:tc>
        <w:tc>
          <w:tcPr>
            <w:tcW w:w="0" w:type="auto"/>
          </w:tcPr>
          <w:p w14:paraId="24B58EC3" w14:textId="77777777" w:rsidR="008C0647" w:rsidRDefault="008C0647" w:rsidP="008C0647">
            <w:pPr>
              <w:keepNext/>
              <w:spacing w:before="100" w:after="0"/>
              <w:rPr>
                <w:b/>
              </w:rPr>
            </w:pPr>
            <w:r>
              <w:rPr>
                <w:b/>
              </w:rPr>
              <w:t>Goals Supported</w:t>
            </w:r>
          </w:p>
        </w:tc>
        <w:tc>
          <w:tcPr>
            <w:tcW w:w="0" w:type="auto"/>
          </w:tcPr>
          <w:p w14:paraId="6432A24F" w14:textId="77777777" w:rsidR="008C0647" w:rsidRDefault="008C0647" w:rsidP="008C0647">
            <w:pPr>
              <w:spacing w:before="100" w:after="0"/>
            </w:pPr>
            <w:r>
              <w:rPr>
                <w:color w:val="000000"/>
              </w:rPr>
              <w:t>Provide Decent Affordable Housing</w:t>
            </w:r>
          </w:p>
        </w:tc>
      </w:tr>
      <w:tr w:rsidR="008C0647" w14:paraId="1E71AF32" w14:textId="77777777" w:rsidTr="787E070B">
        <w:trPr>
          <w:cantSplit/>
        </w:trPr>
        <w:tc>
          <w:tcPr>
            <w:tcW w:w="0" w:type="auto"/>
            <w:vMerge/>
          </w:tcPr>
          <w:p w14:paraId="0A944ACA" w14:textId="77777777" w:rsidR="008C0647" w:rsidRDefault="008C0647" w:rsidP="008C0647"/>
        </w:tc>
        <w:tc>
          <w:tcPr>
            <w:tcW w:w="0" w:type="auto"/>
          </w:tcPr>
          <w:p w14:paraId="7605D5C3" w14:textId="77777777" w:rsidR="008C0647" w:rsidRDefault="008C0647" w:rsidP="008C0647">
            <w:pPr>
              <w:keepNext/>
              <w:spacing w:before="100" w:after="0"/>
              <w:rPr>
                <w:b/>
              </w:rPr>
            </w:pPr>
            <w:r>
              <w:rPr>
                <w:b/>
              </w:rPr>
              <w:t>Needs Addressed</w:t>
            </w:r>
          </w:p>
        </w:tc>
        <w:tc>
          <w:tcPr>
            <w:tcW w:w="0" w:type="auto"/>
          </w:tcPr>
          <w:p w14:paraId="58E68463" w14:textId="0CC456DB" w:rsidR="008C0647" w:rsidRDefault="008C0647" w:rsidP="008C0647">
            <w:pPr>
              <w:spacing w:before="100" w:after="0"/>
            </w:pPr>
            <w:r>
              <w:rPr>
                <w:color w:val="000000"/>
              </w:rPr>
              <w:t xml:space="preserve"> N/A</w:t>
            </w:r>
          </w:p>
        </w:tc>
      </w:tr>
      <w:tr w:rsidR="008C0647" w14:paraId="5442CBF7" w14:textId="77777777" w:rsidTr="787E070B">
        <w:trPr>
          <w:cantSplit/>
        </w:trPr>
        <w:tc>
          <w:tcPr>
            <w:tcW w:w="0" w:type="auto"/>
            <w:vMerge/>
          </w:tcPr>
          <w:p w14:paraId="0A5AD3DB" w14:textId="77777777" w:rsidR="008C0647" w:rsidRDefault="008C0647" w:rsidP="008C0647"/>
        </w:tc>
        <w:tc>
          <w:tcPr>
            <w:tcW w:w="0" w:type="auto"/>
          </w:tcPr>
          <w:p w14:paraId="597E1EFF" w14:textId="77777777" w:rsidR="008C0647" w:rsidRDefault="008C0647" w:rsidP="008C0647">
            <w:pPr>
              <w:keepNext/>
              <w:spacing w:before="100" w:after="0"/>
              <w:rPr>
                <w:b/>
              </w:rPr>
            </w:pPr>
            <w:r>
              <w:rPr>
                <w:b/>
              </w:rPr>
              <w:t>Funding</w:t>
            </w:r>
          </w:p>
        </w:tc>
        <w:tc>
          <w:tcPr>
            <w:tcW w:w="0" w:type="auto"/>
          </w:tcPr>
          <w:p w14:paraId="5677FD71" w14:textId="20AF12E9" w:rsidR="008C0647" w:rsidRDefault="008C0647" w:rsidP="008C0647">
            <w:pPr>
              <w:spacing w:before="100" w:after="0"/>
            </w:pPr>
            <w:r>
              <w:rPr>
                <w:color w:val="000000"/>
              </w:rPr>
              <w:t>HOME: $</w:t>
            </w:r>
            <w:r w:rsidR="00E46B10">
              <w:rPr>
                <w:color w:val="000000"/>
              </w:rPr>
              <w:t>894,16</w:t>
            </w:r>
            <w:r w:rsidR="00A85777">
              <w:rPr>
                <w:color w:val="000000"/>
              </w:rPr>
              <w:t>6</w:t>
            </w:r>
          </w:p>
        </w:tc>
      </w:tr>
      <w:tr w:rsidR="008C0647" w14:paraId="517F0A40" w14:textId="77777777" w:rsidTr="787E070B">
        <w:trPr>
          <w:cantSplit/>
        </w:trPr>
        <w:tc>
          <w:tcPr>
            <w:tcW w:w="0" w:type="auto"/>
            <w:vMerge/>
          </w:tcPr>
          <w:p w14:paraId="21979C7F" w14:textId="77777777" w:rsidR="008C0647" w:rsidRDefault="008C0647" w:rsidP="008C0647"/>
        </w:tc>
        <w:tc>
          <w:tcPr>
            <w:tcW w:w="0" w:type="auto"/>
          </w:tcPr>
          <w:p w14:paraId="505B7ED7" w14:textId="77777777" w:rsidR="008C0647" w:rsidRDefault="008C0647" w:rsidP="008C0647">
            <w:pPr>
              <w:keepNext/>
              <w:spacing w:before="100" w:after="0"/>
              <w:rPr>
                <w:b/>
              </w:rPr>
            </w:pPr>
            <w:r>
              <w:rPr>
                <w:b/>
              </w:rPr>
              <w:t>Description</w:t>
            </w:r>
          </w:p>
        </w:tc>
        <w:tc>
          <w:tcPr>
            <w:tcW w:w="0" w:type="auto"/>
          </w:tcPr>
          <w:p w14:paraId="611DDB9D" w14:textId="0B3CC186" w:rsidR="008C0647" w:rsidRDefault="008C0647" w:rsidP="008C0647">
            <w:pPr>
              <w:spacing w:before="100" w:after="0"/>
            </w:pPr>
            <w:r>
              <w:rPr>
                <w:color w:val="000000"/>
              </w:rPr>
              <w:t>Administration and Planning costs - 10% of HOME Grant and 10% of 2024 Program Income</w:t>
            </w:r>
          </w:p>
        </w:tc>
      </w:tr>
      <w:tr w:rsidR="008C0647" w14:paraId="44A16676" w14:textId="77777777" w:rsidTr="787E070B">
        <w:trPr>
          <w:cantSplit/>
        </w:trPr>
        <w:tc>
          <w:tcPr>
            <w:tcW w:w="0" w:type="auto"/>
            <w:vMerge/>
          </w:tcPr>
          <w:p w14:paraId="11B90887" w14:textId="77777777" w:rsidR="008C0647" w:rsidRDefault="008C0647" w:rsidP="008C0647"/>
        </w:tc>
        <w:tc>
          <w:tcPr>
            <w:tcW w:w="0" w:type="auto"/>
          </w:tcPr>
          <w:p w14:paraId="0288DD44" w14:textId="77777777" w:rsidR="008C0647" w:rsidRDefault="008C0647" w:rsidP="008C0647">
            <w:pPr>
              <w:keepNext/>
              <w:spacing w:before="100" w:after="0"/>
              <w:rPr>
                <w:b/>
              </w:rPr>
            </w:pPr>
            <w:r>
              <w:rPr>
                <w:b/>
              </w:rPr>
              <w:t>Target Date</w:t>
            </w:r>
          </w:p>
        </w:tc>
        <w:tc>
          <w:tcPr>
            <w:tcW w:w="0" w:type="auto"/>
          </w:tcPr>
          <w:p w14:paraId="579D3259" w14:textId="107F361C" w:rsidR="008C0647" w:rsidRDefault="008C0647" w:rsidP="008C0647">
            <w:pPr>
              <w:spacing w:before="100" w:after="0"/>
            </w:pPr>
            <w:r>
              <w:rPr>
                <w:color w:val="000000"/>
              </w:rPr>
              <w:t>3/31/2026</w:t>
            </w:r>
          </w:p>
        </w:tc>
      </w:tr>
      <w:tr w:rsidR="008C0647" w14:paraId="4264C762" w14:textId="77777777" w:rsidTr="787E070B">
        <w:trPr>
          <w:cantSplit/>
        </w:trPr>
        <w:tc>
          <w:tcPr>
            <w:tcW w:w="0" w:type="auto"/>
            <w:vMerge/>
          </w:tcPr>
          <w:p w14:paraId="7EE49D72" w14:textId="77777777" w:rsidR="008C0647" w:rsidRDefault="008C0647" w:rsidP="008C0647"/>
        </w:tc>
        <w:tc>
          <w:tcPr>
            <w:tcW w:w="0" w:type="auto"/>
          </w:tcPr>
          <w:p w14:paraId="237923CA" w14:textId="77777777" w:rsidR="008C0647" w:rsidRDefault="008C0647" w:rsidP="008C0647">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795EBC25" w14:textId="1542B217" w:rsidR="008C0647" w:rsidRDefault="008C0647" w:rsidP="008C0647">
            <w:pPr>
              <w:spacing w:before="100" w:after="0"/>
            </w:pPr>
            <w:r>
              <w:rPr>
                <w:color w:val="000000"/>
              </w:rPr>
              <w:t xml:space="preserve"> N/A</w:t>
            </w:r>
          </w:p>
        </w:tc>
      </w:tr>
      <w:tr w:rsidR="008C0647" w14:paraId="0ECDD0BE" w14:textId="77777777" w:rsidTr="787E070B">
        <w:trPr>
          <w:cantSplit/>
        </w:trPr>
        <w:tc>
          <w:tcPr>
            <w:tcW w:w="0" w:type="auto"/>
            <w:vMerge/>
          </w:tcPr>
          <w:p w14:paraId="2F41E2D4" w14:textId="77777777" w:rsidR="008C0647" w:rsidRDefault="008C0647" w:rsidP="008C0647"/>
        </w:tc>
        <w:tc>
          <w:tcPr>
            <w:tcW w:w="0" w:type="auto"/>
          </w:tcPr>
          <w:p w14:paraId="0DA7ABE5" w14:textId="77777777" w:rsidR="008C0647" w:rsidRDefault="008C0647" w:rsidP="008C0647">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47A319A" w14:textId="24988A34" w:rsidR="008C0647" w:rsidRDefault="008C0647" w:rsidP="008C0647">
            <w:pPr>
              <w:spacing w:before="100" w:after="0"/>
            </w:pPr>
            <w:r>
              <w:rPr>
                <w:color w:val="000000"/>
              </w:rPr>
              <w:t xml:space="preserve"> Idaho</w:t>
            </w:r>
          </w:p>
        </w:tc>
      </w:tr>
      <w:tr w:rsidR="008C0647" w14:paraId="28272AEA" w14:textId="77777777" w:rsidTr="787E070B">
        <w:trPr>
          <w:cantSplit/>
        </w:trPr>
        <w:tc>
          <w:tcPr>
            <w:tcW w:w="0" w:type="auto"/>
            <w:vMerge/>
          </w:tcPr>
          <w:p w14:paraId="08CDBCCD" w14:textId="77777777" w:rsidR="008C0647" w:rsidRDefault="008C0647" w:rsidP="008C0647"/>
        </w:tc>
        <w:tc>
          <w:tcPr>
            <w:tcW w:w="0" w:type="auto"/>
          </w:tcPr>
          <w:p w14:paraId="57D0CBA7" w14:textId="77777777" w:rsidR="008C0647" w:rsidRDefault="008C0647" w:rsidP="008C0647">
            <w:pPr>
              <w:keepNext/>
              <w:spacing w:before="100" w:after="0"/>
              <w:rPr>
                <w:rFonts w:asciiTheme="minorHAnsi" w:hAnsiTheme="minorHAnsi"/>
                <w:b/>
              </w:rPr>
            </w:pPr>
            <w:r>
              <w:rPr>
                <w:rStyle w:val="Strong"/>
                <w:rFonts w:asciiTheme="minorHAnsi" w:hAnsiTheme="minorHAnsi"/>
              </w:rPr>
              <w:t>Planned Activities</w:t>
            </w:r>
          </w:p>
        </w:tc>
        <w:tc>
          <w:tcPr>
            <w:tcW w:w="0" w:type="auto"/>
          </w:tcPr>
          <w:p w14:paraId="0021B4F1" w14:textId="77777777" w:rsidR="008C0647" w:rsidRDefault="008C0647" w:rsidP="008C0647">
            <w:pPr>
              <w:spacing w:before="100" w:after="0"/>
            </w:pPr>
            <w:r>
              <w:rPr>
                <w:color w:val="000000"/>
              </w:rPr>
              <w:t>Administration and Planning costs</w:t>
            </w:r>
          </w:p>
        </w:tc>
      </w:tr>
    </w:tbl>
    <w:p w14:paraId="7CC15735" w14:textId="77777777" w:rsidR="00BE2A39" w:rsidRDefault="00BE2A3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734"/>
        <w:gridCol w:w="5176"/>
      </w:tblGrid>
      <w:tr w:rsidR="00C83593" w14:paraId="310A4E12" w14:textId="77777777" w:rsidTr="007B7B72">
        <w:trPr>
          <w:cantSplit/>
        </w:trPr>
        <w:tc>
          <w:tcPr>
            <w:tcW w:w="0" w:type="auto"/>
            <w:vMerge w:val="restart"/>
          </w:tcPr>
          <w:p w14:paraId="01A610AE" w14:textId="0EEB87B1" w:rsidR="009A2C2E" w:rsidRDefault="009A2C2E" w:rsidP="00E53512">
            <w:r>
              <w:rPr>
                <w:b/>
              </w:rPr>
              <w:lastRenderedPageBreak/>
              <w:t>10</w:t>
            </w:r>
          </w:p>
        </w:tc>
        <w:tc>
          <w:tcPr>
            <w:tcW w:w="0" w:type="auto"/>
            <w:shd w:val="clear" w:color="auto" w:fill="C5E0B3" w:themeFill="accent6" w:themeFillTint="66"/>
          </w:tcPr>
          <w:p w14:paraId="5ADA9184" w14:textId="77777777" w:rsidR="009A2C2E" w:rsidRPr="00BE2A39" w:rsidRDefault="009A2C2E" w:rsidP="00E53512">
            <w:pPr>
              <w:keepNext/>
              <w:spacing w:before="100" w:after="0"/>
              <w:rPr>
                <w:b/>
              </w:rPr>
            </w:pPr>
            <w:r w:rsidRPr="00BE2A39">
              <w:rPr>
                <w:b/>
              </w:rPr>
              <w:t>Project Name</w:t>
            </w:r>
          </w:p>
        </w:tc>
        <w:tc>
          <w:tcPr>
            <w:tcW w:w="0" w:type="auto"/>
            <w:shd w:val="clear" w:color="auto" w:fill="C5E0B3" w:themeFill="accent6" w:themeFillTint="66"/>
          </w:tcPr>
          <w:p w14:paraId="0E0D588A" w14:textId="34C718CF" w:rsidR="009A2C2E" w:rsidRPr="00BE2A39" w:rsidRDefault="009A2C2E" w:rsidP="00E53512">
            <w:pPr>
              <w:spacing w:before="100" w:after="0"/>
              <w:rPr>
                <w:b/>
              </w:rPr>
            </w:pPr>
            <w:r w:rsidRPr="00BE2A39">
              <w:rPr>
                <w:b/>
                <w:color w:val="000000"/>
              </w:rPr>
              <w:t>202</w:t>
            </w:r>
            <w:r w:rsidR="003D336B" w:rsidRPr="00BE2A39">
              <w:rPr>
                <w:b/>
                <w:color w:val="000000"/>
              </w:rPr>
              <w:t>5</w:t>
            </w:r>
            <w:r w:rsidRPr="00BE2A39">
              <w:rPr>
                <w:b/>
                <w:color w:val="000000"/>
              </w:rPr>
              <w:t xml:space="preserve"> Multifamily Rental -</w:t>
            </w:r>
            <w:r w:rsidR="00AA74B5">
              <w:rPr>
                <w:b/>
                <w:color w:val="000000"/>
              </w:rPr>
              <w:t xml:space="preserve"> </w:t>
            </w:r>
            <w:r w:rsidRPr="00BE2A39">
              <w:rPr>
                <w:b/>
                <w:color w:val="000000"/>
              </w:rPr>
              <w:t>New Construction</w:t>
            </w:r>
          </w:p>
        </w:tc>
      </w:tr>
      <w:tr w:rsidR="00C83593" w14:paraId="78968C19" w14:textId="77777777" w:rsidTr="00E53512">
        <w:trPr>
          <w:cantSplit/>
        </w:trPr>
        <w:tc>
          <w:tcPr>
            <w:tcW w:w="0" w:type="auto"/>
            <w:vMerge/>
          </w:tcPr>
          <w:p w14:paraId="7361DB42" w14:textId="77777777" w:rsidR="009A2C2E" w:rsidRDefault="009A2C2E" w:rsidP="00E53512"/>
        </w:tc>
        <w:tc>
          <w:tcPr>
            <w:tcW w:w="0" w:type="auto"/>
          </w:tcPr>
          <w:p w14:paraId="0C256133" w14:textId="77777777" w:rsidR="009A2C2E" w:rsidRDefault="009A2C2E" w:rsidP="00E53512">
            <w:pPr>
              <w:keepNext/>
              <w:spacing w:before="100" w:after="0"/>
              <w:rPr>
                <w:b/>
              </w:rPr>
            </w:pPr>
            <w:r>
              <w:rPr>
                <w:b/>
              </w:rPr>
              <w:t>Target Area</w:t>
            </w:r>
          </w:p>
        </w:tc>
        <w:tc>
          <w:tcPr>
            <w:tcW w:w="0" w:type="auto"/>
          </w:tcPr>
          <w:p w14:paraId="110E9C80" w14:textId="4418480E" w:rsidR="009A2C2E" w:rsidRDefault="009A2C2E" w:rsidP="00E53512">
            <w:pPr>
              <w:spacing w:before="100" w:after="0"/>
            </w:pPr>
            <w:r>
              <w:rPr>
                <w:color w:val="000000"/>
              </w:rPr>
              <w:t xml:space="preserve"> </w:t>
            </w:r>
            <w:r w:rsidR="008C0647">
              <w:rPr>
                <w:color w:val="000000"/>
              </w:rPr>
              <w:t>N/A</w:t>
            </w:r>
          </w:p>
        </w:tc>
      </w:tr>
      <w:tr w:rsidR="00C83593" w14:paraId="1B2F2F78" w14:textId="77777777" w:rsidTr="00E53512">
        <w:trPr>
          <w:cantSplit/>
        </w:trPr>
        <w:tc>
          <w:tcPr>
            <w:tcW w:w="0" w:type="auto"/>
            <w:vMerge/>
          </w:tcPr>
          <w:p w14:paraId="4289A4BA" w14:textId="77777777" w:rsidR="009A2C2E" w:rsidRDefault="009A2C2E" w:rsidP="00E53512"/>
        </w:tc>
        <w:tc>
          <w:tcPr>
            <w:tcW w:w="0" w:type="auto"/>
          </w:tcPr>
          <w:p w14:paraId="358140F9" w14:textId="77777777" w:rsidR="009A2C2E" w:rsidRDefault="009A2C2E" w:rsidP="00E53512">
            <w:pPr>
              <w:keepNext/>
              <w:spacing w:before="100" w:after="0"/>
              <w:rPr>
                <w:b/>
              </w:rPr>
            </w:pPr>
            <w:r>
              <w:rPr>
                <w:b/>
              </w:rPr>
              <w:t>Goals Supported</w:t>
            </w:r>
          </w:p>
        </w:tc>
        <w:tc>
          <w:tcPr>
            <w:tcW w:w="0" w:type="auto"/>
          </w:tcPr>
          <w:p w14:paraId="3AA65C49" w14:textId="77777777" w:rsidR="009A2C2E" w:rsidRPr="00BE2A39" w:rsidRDefault="009A2C2E" w:rsidP="00E53512">
            <w:pPr>
              <w:spacing w:before="100" w:after="0"/>
            </w:pPr>
            <w:r w:rsidRPr="00BE2A39">
              <w:rPr>
                <w:color w:val="000000"/>
              </w:rPr>
              <w:t>Provide Decent Affordable Housing</w:t>
            </w:r>
          </w:p>
        </w:tc>
      </w:tr>
      <w:tr w:rsidR="00C83593" w14:paraId="08742DBC" w14:textId="77777777" w:rsidTr="00E53512">
        <w:trPr>
          <w:cantSplit/>
        </w:trPr>
        <w:tc>
          <w:tcPr>
            <w:tcW w:w="0" w:type="auto"/>
            <w:vMerge/>
          </w:tcPr>
          <w:p w14:paraId="7C3CC4FD" w14:textId="77777777" w:rsidR="009A2C2E" w:rsidRDefault="009A2C2E" w:rsidP="00E53512"/>
        </w:tc>
        <w:tc>
          <w:tcPr>
            <w:tcW w:w="0" w:type="auto"/>
          </w:tcPr>
          <w:p w14:paraId="425E192B" w14:textId="77777777" w:rsidR="009A2C2E" w:rsidRDefault="009A2C2E" w:rsidP="00E53512">
            <w:pPr>
              <w:keepNext/>
              <w:spacing w:before="100" w:after="0"/>
              <w:rPr>
                <w:b/>
              </w:rPr>
            </w:pPr>
            <w:r>
              <w:rPr>
                <w:b/>
              </w:rPr>
              <w:t>Needs Addressed</w:t>
            </w:r>
          </w:p>
        </w:tc>
        <w:tc>
          <w:tcPr>
            <w:tcW w:w="0" w:type="auto"/>
          </w:tcPr>
          <w:p w14:paraId="2EF858D2" w14:textId="77777777" w:rsidR="009A2C2E" w:rsidRDefault="009A2C2E" w:rsidP="00E53512">
            <w:pPr>
              <w:spacing w:before="100" w:after="0"/>
            </w:pPr>
            <w:r>
              <w:rPr>
                <w:color w:val="000000"/>
              </w:rPr>
              <w:t>Create and Preserve Affordable Rental Housing</w:t>
            </w:r>
          </w:p>
        </w:tc>
      </w:tr>
      <w:tr w:rsidR="00C83593" w14:paraId="6D9F0187" w14:textId="77777777" w:rsidTr="00E53512">
        <w:trPr>
          <w:cantSplit/>
        </w:trPr>
        <w:tc>
          <w:tcPr>
            <w:tcW w:w="0" w:type="auto"/>
            <w:vMerge/>
          </w:tcPr>
          <w:p w14:paraId="6C0B36AC" w14:textId="77777777" w:rsidR="009A2C2E" w:rsidRDefault="009A2C2E" w:rsidP="00E53512"/>
        </w:tc>
        <w:tc>
          <w:tcPr>
            <w:tcW w:w="0" w:type="auto"/>
          </w:tcPr>
          <w:p w14:paraId="053D593A" w14:textId="77777777" w:rsidR="009A2C2E" w:rsidRDefault="009A2C2E" w:rsidP="00E53512">
            <w:pPr>
              <w:keepNext/>
              <w:spacing w:before="100" w:after="0"/>
              <w:rPr>
                <w:b/>
              </w:rPr>
            </w:pPr>
            <w:r>
              <w:rPr>
                <w:b/>
              </w:rPr>
              <w:t>Funding</w:t>
            </w:r>
          </w:p>
        </w:tc>
        <w:tc>
          <w:tcPr>
            <w:tcW w:w="0" w:type="auto"/>
          </w:tcPr>
          <w:p w14:paraId="1D94B98C" w14:textId="5D6E1A26" w:rsidR="009A2C2E" w:rsidRDefault="003D336B" w:rsidP="00E53512">
            <w:pPr>
              <w:spacing w:before="100" w:after="0"/>
            </w:pPr>
            <w:r>
              <w:rPr>
                <w:color w:val="000000"/>
              </w:rPr>
              <w:t xml:space="preserve">HOME: </w:t>
            </w:r>
            <w:r w:rsidRPr="00E46B10">
              <w:rPr>
                <w:color w:val="000000"/>
              </w:rPr>
              <w:t>$</w:t>
            </w:r>
            <w:r w:rsidR="00A85777">
              <w:rPr>
                <w:color w:val="000000"/>
              </w:rPr>
              <w:t>3,558,963</w:t>
            </w:r>
            <w:r>
              <w:rPr>
                <w:color w:val="000000"/>
              </w:rPr>
              <w:br/>
              <w:t>HTF: $2,830,350</w:t>
            </w:r>
          </w:p>
        </w:tc>
      </w:tr>
      <w:tr w:rsidR="00C83593" w14:paraId="0FBCF582" w14:textId="77777777" w:rsidTr="00E53512">
        <w:trPr>
          <w:cantSplit/>
        </w:trPr>
        <w:tc>
          <w:tcPr>
            <w:tcW w:w="0" w:type="auto"/>
            <w:vMerge/>
          </w:tcPr>
          <w:p w14:paraId="080A97CD" w14:textId="77777777" w:rsidR="009A2C2E" w:rsidRDefault="009A2C2E" w:rsidP="00E53512"/>
        </w:tc>
        <w:tc>
          <w:tcPr>
            <w:tcW w:w="0" w:type="auto"/>
          </w:tcPr>
          <w:p w14:paraId="196E3B6A" w14:textId="77777777" w:rsidR="009A2C2E" w:rsidRDefault="009A2C2E" w:rsidP="00E53512">
            <w:pPr>
              <w:keepNext/>
              <w:spacing w:before="100" w:after="0"/>
              <w:rPr>
                <w:b/>
              </w:rPr>
            </w:pPr>
            <w:r>
              <w:rPr>
                <w:b/>
              </w:rPr>
              <w:t>Description</w:t>
            </w:r>
          </w:p>
        </w:tc>
        <w:tc>
          <w:tcPr>
            <w:tcW w:w="0" w:type="auto"/>
          </w:tcPr>
          <w:p w14:paraId="34E9FDDE" w14:textId="7FA72251" w:rsidR="009A2C2E" w:rsidRDefault="00E46B10" w:rsidP="00E53512">
            <w:pPr>
              <w:spacing w:before="100" w:after="0"/>
            </w:pPr>
            <w:r>
              <w:rPr>
                <w:color w:val="000000"/>
              </w:rPr>
              <w:t>This project will fund new rental construction with program income funds only.</w:t>
            </w:r>
          </w:p>
        </w:tc>
      </w:tr>
      <w:tr w:rsidR="00C83593" w14:paraId="3700CE31" w14:textId="77777777" w:rsidTr="00E53512">
        <w:trPr>
          <w:cantSplit/>
        </w:trPr>
        <w:tc>
          <w:tcPr>
            <w:tcW w:w="0" w:type="auto"/>
            <w:vMerge/>
          </w:tcPr>
          <w:p w14:paraId="5F23371E" w14:textId="77777777" w:rsidR="009A2C2E" w:rsidRDefault="009A2C2E" w:rsidP="00E53512"/>
        </w:tc>
        <w:tc>
          <w:tcPr>
            <w:tcW w:w="0" w:type="auto"/>
          </w:tcPr>
          <w:p w14:paraId="65067142" w14:textId="77777777" w:rsidR="009A2C2E" w:rsidRDefault="009A2C2E" w:rsidP="00E53512">
            <w:pPr>
              <w:keepNext/>
              <w:spacing w:before="100" w:after="0"/>
              <w:rPr>
                <w:b/>
              </w:rPr>
            </w:pPr>
            <w:r>
              <w:rPr>
                <w:b/>
              </w:rPr>
              <w:t>Target Date</w:t>
            </w:r>
          </w:p>
        </w:tc>
        <w:tc>
          <w:tcPr>
            <w:tcW w:w="0" w:type="auto"/>
          </w:tcPr>
          <w:p w14:paraId="4333D861" w14:textId="77777777" w:rsidR="009A2C2E" w:rsidRDefault="009A2C2E" w:rsidP="00E53512">
            <w:pPr>
              <w:spacing w:before="100" w:after="0"/>
            </w:pPr>
            <w:r>
              <w:rPr>
                <w:color w:val="000000"/>
              </w:rPr>
              <w:t>3/31/2029</w:t>
            </w:r>
          </w:p>
        </w:tc>
      </w:tr>
      <w:tr w:rsidR="00C83593" w14:paraId="389B828F" w14:textId="77777777" w:rsidTr="00E53512">
        <w:trPr>
          <w:cantSplit/>
        </w:trPr>
        <w:tc>
          <w:tcPr>
            <w:tcW w:w="0" w:type="auto"/>
            <w:vMerge/>
          </w:tcPr>
          <w:p w14:paraId="34F2F62F" w14:textId="77777777" w:rsidR="009A2C2E" w:rsidRDefault="009A2C2E" w:rsidP="00E53512"/>
        </w:tc>
        <w:tc>
          <w:tcPr>
            <w:tcW w:w="0" w:type="auto"/>
          </w:tcPr>
          <w:p w14:paraId="67DB2E61"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5E8F401D" w14:textId="0D51349D" w:rsidR="009A2C2E" w:rsidRDefault="003D336B" w:rsidP="00E53512">
            <w:pPr>
              <w:spacing w:before="100" w:after="0"/>
            </w:pPr>
            <w:r>
              <w:rPr>
                <w:color w:val="000000"/>
              </w:rPr>
              <w:t xml:space="preserve">30 </w:t>
            </w:r>
            <w:r w:rsidR="009A2C2E">
              <w:rPr>
                <w:color w:val="000000"/>
              </w:rPr>
              <w:t>Units of HOME and/or HTF funded rental housing units targeting low, very low, and/or extremely low-income households.</w:t>
            </w:r>
          </w:p>
        </w:tc>
      </w:tr>
      <w:tr w:rsidR="00C83593" w14:paraId="75F706C6" w14:textId="77777777" w:rsidTr="00E53512">
        <w:trPr>
          <w:cantSplit/>
        </w:trPr>
        <w:tc>
          <w:tcPr>
            <w:tcW w:w="0" w:type="auto"/>
            <w:vMerge/>
          </w:tcPr>
          <w:p w14:paraId="40EC829D" w14:textId="77777777" w:rsidR="009A2C2E" w:rsidRDefault="009A2C2E" w:rsidP="00E53512"/>
        </w:tc>
        <w:tc>
          <w:tcPr>
            <w:tcW w:w="0" w:type="auto"/>
          </w:tcPr>
          <w:p w14:paraId="4C5B92A2"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70152345" w14:textId="77777777" w:rsidR="009A2C2E" w:rsidRDefault="009A2C2E" w:rsidP="00E53512">
            <w:pPr>
              <w:spacing w:before="100" w:after="0"/>
            </w:pPr>
            <w:r>
              <w:rPr>
                <w:color w:val="000000"/>
              </w:rPr>
              <w:t>Idaho</w:t>
            </w:r>
          </w:p>
        </w:tc>
      </w:tr>
      <w:tr w:rsidR="00C83593" w14:paraId="13A3513A" w14:textId="77777777" w:rsidTr="008C0647">
        <w:trPr>
          <w:cantSplit/>
        </w:trPr>
        <w:tc>
          <w:tcPr>
            <w:tcW w:w="0" w:type="auto"/>
            <w:vMerge/>
            <w:tcBorders>
              <w:bottom w:val="single" w:sz="2" w:space="0" w:color="auto"/>
            </w:tcBorders>
          </w:tcPr>
          <w:p w14:paraId="20CBCBBF" w14:textId="77777777" w:rsidR="009A2C2E" w:rsidRDefault="009A2C2E" w:rsidP="00E53512"/>
        </w:tc>
        <w:tc>
          <w:tcPr>
            <w:tcW w:w="0" w:type="auto"/>
          </w:tcPr>
          <w:p w14:paraId="455434EE"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tcPr>
          <w:p w14:paraId="4A7F606F" w14:textId="6AA73B73" w:rsidR="009A2C2E" w:rsidRDefault="00AA74B5" w:rsidP="00E53512">
            <w:pPr>
              <w:spacing w:before="100" w:after="0"/>
            </w:pPr>
            <w:r>
              <w:rPr>
                <w:color w:val="000000"/>
              </w:rPr>
              <w:t xml:space="preserve">Multifamily Rental - New Construction </w:t>
            </w:r>
          </w:p>
        </w:tc>
      </w:tr>
      <w:tr w:rsidR="00AA74B5" w14:paraId="0800015E" w14:textId="77777777" w:rsidTr="008C0647">
        <w:trPr>
          <w:cantSplit/>
        </w:trPr>
        <w:tc>
          <w:tcPr>
            <w:tcW w:w="0" w:type="auto"/>
            <w:tcBorders>
              <w:top w:val="single" w:sz="2" w:space="0" w:color="auto"/>
              <w:left w:val="single" w:sz="2" w:space="0" w:color="auto"/>
              <w:bottom w:val="nil"/>
              <w:right w:val="single" w:sz="2" w:space="0" w:color="auto"/>
            </w:tcBorders>
          </w:tcPr>
          <w:p w14:paraId="627F85C6" w14:textId="52EBE0F1" w:rsidR="00AA74B5" w:rsidRPr="008C0647" w:rsidRDefault="00AA74B5" w:rsidP="00AA74B5">
            <w:pPr>
              <w:rPr>
                <w:b/>
                <w:bCs/>
              </w:rPr>
            </w:pPr>
            <w:r w:rsidRPr="008C0647">
              <w:rPr>
                <w:b/>
              </w:rPr>
              <w:t>11</w:t>
            </w:r>
          </w:p>
        </w:tc>
        <w:tc>
          <w:tcPr>
            <w:tcW w:w="0" w:type="auto"/>
            <w:tcBorders>
              <w:left w:val="single" w:sz="2" w:space="0" w:color="auto"/>
            </w:tcBorders>
            <w:shd w:val="clear" w:color="auto" w:fill="C5E0B3" w:themeFill="accent6" w:themeFillTint="66"/>
          </w:tcPr>
          <w:p w14:paraId="513BF45D" w14:textId="7045553E" w:rsidR="00AA74B5" w:rsidRDefault="00AA74B5" w:rsidP="00AA74B5">
            <w:pPr>
              <w:keepNext/>
              <w:spacing w:before="100" w:after="0"/>
              <w:rPr>
                <w:rStyle w:val="Strong"/>
                <w:rFonts w:asciiTheme="minorHAnsi" w:hAnsiTheme="minorHAnsi"/>
              </w:rPr>
            </w:pPr>
            <w:r w:rsidRPr="00BE2A39">
              <w:rPr>
                <w:b/>
              </w:rPr>
              <w:t>Project Name</w:t>
            </w:r>
          </w:p>
        </w:tc>
        <w:tc>
          <w:tcPr>
            <w:tcW w:w="0" w:type="auto"/>
            <w:shd w:val="clear" w:color="auto" w:fill="C5E0B3" w:themeFill="accent6" w:themeFillTint="66"/>
          </w:tcPr>
          <w:p w14:paraId="041A8229" w14:textId="675121CC" w:rsidR="00AA74B5" w:rsidRPr="00AA74B5" w:rsidRDefault="00AA74B5" w:rsidP="00AA74B5">
            <w:pPr>
              <w:spacing w:before="100" w:after="0"/>
              <w:rPr>
                <w:i/>
                <w:iCs/>
                <w:color w:val="000000"/>
              </w:rPr>
            </w:pPr>
            <w:r>
              <w:rPr>
                <w:color w:val="000000"/>
              </w:rPr>
              <w:t>HOME TBRA (</w:t>
            </w:r>
            <w:r>
              <w:rPr>
                <w:i/>
                <w:iCs/>
                <w:color w:val="000000"/>
              </w:rPr>
              <w:t>Not funded in 2025.)</w:t>
            </w:r>
          </w:p>
        </w:tc>
      </w:tr>
      <w:tr w:rsidR="00AA74B5" w14:paraId="53BAD8E7" w14:textId="77777777" w:rsidTr="008C0647">
        <w:trPr>
          <w:cantSplit/>
        </w:trPr>
        <w:tc>
          <w:tcPr>
            <w:tcW w:w="0" w:type="auto"/>
            <w:tcBorders>
              <w:top w:val="nil"/>
              <w:left w:val="single" w:sz="2" w:space="0" w:color="auto"/>
              <w:bottom w:val="nil"/>
              <w:right w:val="single" w:sz="2" w:space="0" w:color="auto"/>
            </w:tcBorders>
          </w:tcPr>
          <w:p w14:paraId="3288A580" w14:textId="77777777" w:rsidR="00AA74B5" w:rsidRDefault="00AA74B5" w:rsidP="00AA74B5"/>
        </w:tc>
        <w:tc>
          <w:tcPr>
            <w:tcW w:w="0" w:type="auto"/>
            <w:tcBorders>
              <w:left w:val="single" w:sz="2" w:space="0" w:color="auto"/>
            </w:tcBorders>
          </w:tcPr>
          <w:p w14:paraId="3F41DF7D" w14:textId="2EE40EBB" w:rsidR="00AA74B5" w:rsidRDefault="00AA74B5" w:rsidP="00AA74B5">
            <w:pPr>
              <w:keepNext/>
              <w:spacing w:before="100" w:after="0"/>
              <w:rPr>
                <w:rStyle w:val="Strong"/>
                <w:rFonts w:asciiTheme="minorHAnsi" w:hAnsiTheme="minorHAnsi"/>
              </w:rPr>
            </w:pPr>
            <w:r>
              <w:rPr>
                <w:b/>
              </w:rPr>
              <w:t>Target Area</w:t>
            </w:r>
          </w:p>
        </w:tc>
        <w:tc>
          <w:tcPr>
            <w:tcW w:w="0" w:type="auto"/>
          </w:tcPr>
          <w:p w14:paraId="5D279CE5" w14:textId="432D48FE" w:rsidR="00AA74B5" w:rsidRDefault="008C0647" w:rsidP="00AA74B5">
            <w:pPr>
              <w:spacing w:before="100" w:after="0"/>
              <w:rPr>
                <w:color w:val="000000"/>
              </w:rPr>
            </w:pPr>
            <w:r>
              <w:rPr>
                <w:color w:val="000000"/>
              </w:rPr>
              <w:t>N/A</w:t>
            </w:r>
          </w:p>
        </w:tc>
      </w:tr>
      <w:tr w:rsidR="00AA74B5" w14:paraId="012A0C04" w14:textId="77777777" w:rsidTr="008C0647">
        <w:trPr>
          <w:cantSplit/>
        </w:trPr>
        <w:tc>
          <w:tcPr>
            <w:tcW w:w="0" w:type="auto"/>
            <w:tcBorders>
              <w:top w:val="nil"/>
              <w:left w:val="single" w:sz="2" w:space="0" w:color="auto"/>
              <w:bottom w:val="nil"/>
              <w:right w:val="single" w:sz="2" w:space="0" w:color="auto"/>
            </w:tcBorders>
          </w:tcPr>
          <w:p w14:paraId="73171C73" w14:textId="77777777" w:rsidR="00AA74B5" w:rsidRDefault="00AA74B5" w:rsidP="00AA74B5"/>
        </w:tc>
        <w:tc>
          <w:tcPr>
            <w:tcW w:w="0" w:type="auto"/>
            <w:tcBorders>
              <w:left w:val="single" w:sz="2" w:space="0" w:color="auto"/>
            </w:tcBorders>
          </w:tcPr>
          <w:p w14:paraId="58AB7012" w14:textId="7E15E24A" w:rsidR="00AA74B5" w:rsidRDefault="00AA74B5" w:rsidP="00AA74B5">
            <w:pPr>
              <w:keepNext/>
              <w:spacing w:before="100" w:after="0"/>
              <w:rPr>
                <w:rStyle w:val="Strong"/>
                <w:rFonts w:asciiTheme="minorHAnsi" w:hAnsiTheme="minorHAnsi"/>
              </w:rPr>
            </w:pPr>
            <w:r>
              <w:rPr>
                <w:b/>
              </w:rPr>
              <w:t>Goals Supported</w:t>
            </w:r>
          </w:p>
        </w:tc>
        <w:tc>
          <w:tcPr>
            <w:tcW w:w="0" w:type="auto"/>
          </w:tcPr>
          <w:p w14:paraId="43F74BF7" w14:textId="65781FC4" w:rsidR="00AA74B5" w:rsidRDefault="00AA74B5" w:rsidP="00AA74B5">
            <w:pPr>
              <w:spacing w:before="100" w:after="0"/>
              <w:rPr>
                <w:color w:val="000000"/>
              </w:rPr>
            </w:pPr>
            <w:r w:rsidRPr="00BE2A39">
              <w:rPr>
                <w:color w:val="000000"/>
              </w:rPr>
              <w:t>Provide Decent Affordable Housing</w:t>
            </w:r>
          </w:p>
        </w:tc>
      </w:tr>
      <w:tr w:rsidR="00AA74B5" w14:paraId="45CE02D5" w14:textId="77777777" w:rsidTr="008C0647">
        <w:trPr>
          <w:cantSplit/>
        </w:trPr>
        <w:tc>
          <w:tcPr>
            <w:tcW w:w="0" w:type="auto"/>
            <w:tcBorders>
              <w:top w:val="nil"/>
              <w:left w:val="single" w:sz="2" w:space="0" w:color="auto"/>
              <w:bottom w:val="nil"/>
              <w:right w:val="single" w:sz="2" w:space="0" w:color="auto"/>
            </w:tcBorders>
          </w:tcPr>
          <w:p w14:paraId="59523F8F" w14:textId="77777777" w:rsidR="00AA74B5" w:rsidRDefault="00AA74B5" w:rsidP="00AA74B5"/>
        </w:tc>
        <w:tc>
          <w:tcPr>
            <w:tcW w:w="0" w:type="auto"/>
            <w:tcBorders>
              <w:left w:val="single" w:sz="2" w:space="0" w:color="auto"/>
            </w:tcBorders>
          </w:tcPr>
          <w:p w14:paraId="435D271E" w14:textId="2897203A" w:rsidR="00AA74B5" w:rsidRDefault="00AA74B5" w:rsidP="00AA74B5">
            <w:pPr>
              <w:keepNext/>
              <w:spacing w:before="100" w:after="0"/>
              <w:rPr>
                <w:rStyle w:val="Strong"/>
                <w:rFonts w:asciiTheme="minorHAnsi" w:hAnsiTheme="minorHAnsi"/>
              </w:rPr>
            </w:pPr>
            <w:r>
              <w:rPr>
                <w:b/>
              </w:rPr>
              <w:t>Needs Addressed</w:t>
            </w:r>
          </w:p>
        </w:tc>
        <w:tc>
          <w:tcPr>
            <w:tcW w:w="0" w:type="auto"/>
          </w:tcPr>
          <w:p w14:paraId="67B27F64" w14:textId="4C6782B6" w:rsidR="00AA74B5" w:rsidRDefault="00AA74B5" w:rsidP="00AA74B5">
            <w:pPr>
              <w:spacing w:before="100" w:after="0"/>
              <w:rPr>
                <w:color w:val="000000"/>
              </w:rPr>
            </w:pPr>
            <w:r>
              <w:rPr>
                <w:color w:val="000000"/>
              </w:rPr>
              <w:t>Create and Preserve Affordable Rental Housing</w:t>
            </w:r>
          </w:p>
        </w:tc>
      </w:tr>
      <w:tr w:rsidR="00AA74B5" w14:paraId="6F200603" w14:textId="77777777" w:rsidTr="008C0647">
        <w:trPr>
          <w:cantSplit/>
        </w:trPr>
        <w:tc>
          <w:tcPr>
            <w:tcW w:w="0" w:type="auto"/>
            <w:tcBorders>
              <w:top w:val="nil"/>
              <w:left w:val="single" w:sz="2" w:space="0" w:color="auto"/>
              <w:bottom w:val="nil"/>
              <w:right w:val="single" w:sz="2" w:space="0" w:color="auto"/>
            </w:tcBorders>
          </w:tcPr>
          <w:p w14:paraId="16A98E68" w14:textId="77777777" w:rsidR="00AA74B5" w:rsidRDefault="00AA74B5" w:rsidP="00AA74B5"/>
        </w:tc>
        <w:tc>
          <w:tcPr>
            <w:tcW w:w="0" w:type="auto"/>
            <w:tcBorders>
              <w:left w:val="single" w:sz="2" w:space="0" w:color="auto"/>
            </w:tcBorders>
          </w:tcPr>
          <w:p w14:paraId="01C8ECC0" w14:textId="48BC27E9" w:rsidR="00AA74B5" w:rsidRDefault="00AA74B5" w:rsidP="00AA74B5">
            <w:pPr>
              <w:keepNext/>
              <w:spacing w:before="100" w:after="0"/>
              <w:rPr>
                <w:rStyle w:val="Strong"/>
                <w:rFonts w:asciiTheme="minorHAnsi" w:hAnsiTheme="minorHAnsi"/>
              </w:rPr>
            </w:pPr>
            <w:r>
              <w:rPr>
                <w:b/>
              </w:rPr>
              <w:t>Funding</w:t>
            </w:r>
          </w:p>
        </w:tc>
        <w:tc>
          <w:tcPr>
            <w:tcW w:w="0" w:type="auto"/>
          </w:tcPr>
          <w:p w14:paraId="142F215F" w14:textId="2FE3A609" w:rsidR="00AA74B5" w:rsidRDefault="00AA74B5" w:rsidP="00AA74B5">
            <w:pPr>
              <w:spacing w:before="100" w:after="0"/>
              <w:rPr>
                <w:color w:val="000000"/>
              </w:rPr>
            </w:pPr>
            <w:r>
              <w:rPr>
                <w:color w:val="000000"/>
              </w:rPr>
              <w:t xml:space="preserve">N/A – </w:t>
            </w:r>
            <w:r w:rsidRPr="00AA74B5">
              <w:rPr>
                <w:i/>
                <w:iCs/>
                <w:color w:val="000000"/>
              </w:rPr>
              <w:t>Not funded in 2025</w:t>
            </w:r>
          </w:p>
        </w:tc>
      </w:tr>
      <w:tr w:rsidR="00AA74B5" w14:paraId="25ECFFE1" w14:textId="77777777" w:rsidTr="008C0647">
        <w:trPr>
          <w:cantSplit/>
        </w:trPr>
        <w:tc>
          <w:tcPr>
            <w:tcW w:w="0" w:type="auto"/>
            <w:tcBorders>
              <w:top w:val="nil"/>
              <w:left w:val="single" w:sz="2" w:space="0" w:color="auto"/>
              <w:bottom w:val="nil"/>
              <w:right w:val="single" w:sz="2" w:space="0" w:color="auto"/>
            </w:tcBorders>
          </w:tcPr>
          <w:p w14:paraId="108229A3" w14:textId="77777777" w:rsidR="00AA74B5" w:rsidRDefault="00AA74B5" w:rsidP="00AA74B5"/>
        </w:tc>
        <w:tc>
          <w:tcPr>
            <w:tcW w:w="0" w:type="auto"/>
            <w:tcBorders>
              <w:left w:val="single" w:sz="2" w:space="0" w:color="auto"/>
            </w:tcBorders>
          </w:tcPr>
          <w:p w14:paraId="6C840876" w14:textId="7554037D" w:rsidR="00AA74B5" w:rsidRDefault="00AA74B5" w:rsidP="00AA74B5">
            <w:pPr>
              <w:keepNext/>
              <w:spacing w:before="100" w:after="0"/>
              <w:rPr>
                <w:rStyle w:val="Strong"/>
                <w:rFonts w:asciiTheme="minorHAnsi" w:hAnsiTheme="minorHAnsi"/>
              </w:rPr>
            </w:pPr>
            <w:r>
              <w:rPr>
                <w:b/>
              </w:rPr>
              <w:t>Description</w:t>
            </w:r>
          </w:p>
        </w:tc>
        <w:tc>
          <w:tcPr>
            <w:tcW w:w="0" w:type="auto"/>
          </w:tcPr>
          <w:p w14:paraId="20458431" w14:textId="000B63F2" w:rsidR="00AA74B5" w:rsidRDefault="008C0647" w:rsidP="00AA74B5">
            <w:pPr>
              <w:spacing w:before="100" w:after="0"/>
              <w:rPr>
                <w:color w:val="000000"/>
              </w:rPr>
            </w:pPr>
            <w:r>
              <w:rPr>
                <w:color w:val="000000"/>
              </w:rPr>
              <w:t>HOME TBRA will be funded in future years to provide rental assistance to low-moderate income households.</w:t>
            </w:r>
          </w:p>
        </w:tc>
      </w:tr>
      <w:tr w:rsidR="00AA74B5" w14:paraId="74256E9D" w14:textId="77777777" w:rsidTr="008C0647">
        <w:trPr>
          <w:cantSplit/>
        </w:trPr>
        <w:tc>
          <w:tcPr>
            <w:tcW w:w="0" w:type="auto"/>
            <w:tcBorders>
              <w:top w:val="nil"/>
              <w:left w:val="single" w:sz="2" w:space="0" w:color="auto"/>
              <w:bottom w:val="nil"/>
              <w:right w:val="single" w:sz="2" w:space="0" w:color="auto"/>
            </w:tcBorders>
          </w:tcPr>
          <w:p w14:paraId="5AED039D" w14:textId="77777777" w:rsidR="00AA74B5" w:rsidRDefault="00AA74B5" w:rsidP="00AA74B5"/>
        </w:tc>
        <w:tc>
          <w:tcPr>
            <w:tcW w:w="0" w:type="auto"/>
            <w:tcBorders>
              <w:left w:val="single" w:sz="2" w:space="0" w:color="auto"/>
            </w:tcBorders>
          </w:tcPr>
          <w:p w14:paraId="51B084FC" w14:textId="3316B731" w:rsidR="00AA74B5" w:rsidRDefault="00AA74B5" w:rsidP="00AA74B5">
            <w:pPr>
              <w:keepNext/>
              <w:spacing w:before="100" w:after="0"/>
              <w:rPr>
                <w:rStyle w:val="Strong"/>
                <w:rFonts w:asciiTheme="minorHAnsi" w:hAnsiTheme="minorHAnsi"/>
              </w:rPr>
            </w:pPr>
            <w:r>
              <w:rPr>
                <w:b/>
              </w:rPr>
              <w:t>Target Date</w:t>
            </w:r>
          </w:p>
        </w:tc>
        <w:tc>
          <w:tcPr>
            <w:tcW w:w="0" w:type="auto"/>
          </w:tcPr>
          <w:p w14:paraId="7BEAA769" w14:textId="67A11084" w:rsidR="00AA74B5" w:rsidRDefault="008C0647" w:rsidP="00AA74B5">
            <w:pPr>
              <w:spacing w:before="100" w:after="0"/>
              <w:rPr>
                <w:color w:val="000000"/>
              </w:rPr>
            </w:pPr>
            <w:r>
              <w:rPr>
                <w:color w:val="000000"/>
              </w:rPr>
              <w:t>TBD</w:t>
            </w:r>
          </w:p>
        </w:tc>
      </w:tr>
      <w:tr w:rsidR="00AA74B5" w14:paraId="0103510D" w14:textId="77777777" w:rsidTr="008C0647">
        <w:trPr>
          <w:cantSplit/>
        </w:trPr>
        <w:tc>
          <w:tcPr>
            <w:tcW w:w="0" w:type="auto"/>
            <w:tcBorders>
              <w:top w:val="nil"/>
              <w:left w:val="single" w:sz="2" w:space="0" w:color="auto"/>
              <w:bottom w:val="nil"/>
              <w:right w:val="single" w:sz="2" w:space="0" w:color="auto"/>
            </w:tcBorders>
          </w:tcPr>
          <w:p w14:paraId="604A820A" w14:textId="77777777" w:rsidR="00AA74B5" w:rsidRDefault="00AA74B5" w:rsidP="00AA74B5"/>
        </w:tc>
        <w:tc>
          <w:tcPr>
            <w:tcW w:w="0" w:type="auto"/>
            <w:tcBorders>
              <w:left w:val="single" w:sz="2" w:space="0" w:color="auto"/>
            </w:tcBorders>
          </w:tcPr>
          <w:p w14:paraId="256BA89B" w14:textId="097E921E" w:rsidR="00AA74B5" w:rsidRDefault="00AA74B5" w:rsidP="00AA74B5">
            <w:pPr>
              <w:keepNext/>
              <w:spacing w:before="100" w:after="0"/>
              <w:rPr>
                <w:rStyle w:val="Strong"/>
                <w:rFonts w:asciiTheme="minorHAnsi" w:hAnsiTheme="minorHAnsi"/>
              </w:rPr>
            </w:pPr>
            <w:r>
              <w:rPr>
                <w:rStyle w:val="Strong"/>
                <w:rFonts w:asciiTheme="minorHAnsi" w:hAnsiTheme="minorHAnsi"/>
              </w:rPr>
              <w:t>Estimate the number and type of families that will benefit from the proposed activities</w:t>
            </w:r>
          </w:p>
        </w:tc>
        <w:tc>
          <w:tcPr>
            <w:tcW w:w="0" w:type="auto"/>
          </w:tcPr>
          <w:p w14:paraId="2E2FF629" w14:textId="4675935C" w:rsidR="00AA74B5" w:rsidRDefault="008C0647" w:rsidP="00AA74B5">
            <w:pPr>
              <w:spacing w:before="100" w:after="0"/>
              <w:rPr>
                <w:color w:val="000000"/>
              </w:rPr>
            </w:pPr>
            <w:r>
              <w:rPr>
                <w:color w:val="000000"/>
              </w:rPr>
              <w:t>TBD</w:t>
            </w:r>
          </w:p>
        </w:tc>
      </w:tr>
      <w:tr w:rsidR="00AA74B5" w14:paraId="38A9D305" w14:textId="77777777" w:rsidTr="008C0647">
        <w:trPr>
          <w:cantSplit/>
        </w:trPr>
        <w:tc>
          <w:tcPr>
            <w:tcW w:w="0" w:type="auto"/>
            <w:tcBorders>
              <w:top w:val="nil"/>
              <w:left w:val="single" w:sz="2" w:space="0" w:color="auto"/>
              <w:bottom w:val="nil"/>
              <w:right w:val="single" w:sz="2" w:space="0" w:color="auto"/>
            </w:tcBorders>
          </w:tcPr>
          <w:p w14:paraId="5B9CF692" w14:textId="77777777" w:rsidR="00AA74B5" w:rsidRDefault="00AA74B5" w:rsidP="00AA74B5"/>
        </w:tc>
        <w:tc>
          <w:tcPr>
            <w:tcW w:w="0" w:type="auto"/>
            <w:tcBorders>
              <w:left w:val="single" w:sz="2" w:space="0" w:color="auto"/>
            </w:tcBorders>
          </w:tcPr>
          <w:p w14:paraId="2FAC36B3" w14:textId="57B84F08" w:rsidR="00AA74B5" w:rsidRDefault="00AA74B5" w:rsidP="00AA74B5">
            <w:pPr>
              <w:keepNext/>
              <w:spacing w:before="100" w:after="0"/>
              <w:rPr>
                <w:rStyle w:val="Strong"/>
                <w:rFonts w:asciiTheme="minorHAnsi" w:hAnsiTheme="minorHAnsi"/>
              </w:rPr>
            </w:pPr>
            <w:r>
              <w:rPr>
                <w:rStyle w:val="Strong"/>
                <w:rFonts w:asciiTheme="minorHAnsi" w:hAnsiTheme="minorHAnsi"/>
              </w:rPr>
              <w:t>Location Description</w:t>
            </w:r>
          </w:p>
        </w:tc>
        <w:tc>
          <w:tcPr>
            <w:tcW w:w="0" w:type="auto"/>
          </w:tcPr>
          <w:p w14:paraId="7CBB4DEF" w14:textId="490FDCFC" w:rsidR="00AA74B5" w:rsidRDefault="008C0647" w:rsidP="00AA74B5">
            <w:pPr>
              <w:spacing w:before="100" w:after="0"/>
              <w:rPr>
                <w:color w:val="000000"/>
              </w:rPr>
            </w:pPr>
            <w:r>
              <w:rPr>
                <w:color w:val="000000"/>
              </w:rPr>
              <w:t>Idaho</w:t>
            </w:r>
          </w:p>
        </w:tc>
      </w:tr>
      <w:tr w:rsidR="00AA74B5" w14:paraId="3223B7E8" w14:textId="77777777" w:rsidTr="008C0647">
        <w:trPr>
          <w:cantSplit/>
        </w:trPr>
        <w:tc>
          <w:tcPr>
            <w:tcW w:w="0" w:type="auto"/>
            <w:tcBorders>
              <w:top w:val="nil"/>
              <w:left w:val="single" w:sz="2" w:space="0" w:color="auto"/>
              <w:bottom w:val="single" w:sz="2" w:space="0" w:color="auto"/>
              <w:right w:val="single" w:sz="2" w:space="0" w:color="auto"/>
            </w:tcBorders>
          </w:tcPr>
          <w:p w14:paraId="3E4C53E5" w14:textId="77777777" w:rsidR="00AA74B5" w:rsidRDefault="00AA74B5" w:rsidP="00AA74B5"/>
        </w:tc>
        <w:tc>
          <w:tcPr>
            <w:tcW w:w="0" w:type="auto"/>
            <w:tcBorders>
              <w:left w:val="single" w:sz="2" w:space="0" w:color="auto"/>
            </w:tcBorders>
          </w:tcPr>
          <w:p w14:paraId="113B55A1" w14:textId="54BCC058" w:rsidR="00AA74B5" w:rsidRDefault="00AA74B5" w:rsidP="00AA74B5">
            <w:pPr>
              <w:keepNext/>
              <w:spacing w:before="100" w:after="0"/>
              <w:rPr>
                <w:rStyle w:val="Strong"/>
                <w:rFonts w:asciiTheme="minorHAnsi" w:hAnsiTheme="minorHAnsi"/>
              </w:rPr>
            </w:pPr>
            <w:r>
              <w:rPr>
                <w:rStyle w:val="Strong"/>
                <w:rFonts w:asciiTheme="minorHAnsi" w:hAnsiTheme="minorHAnsi"/>
              </w:rPr>
              <w:t>Planned Activities</w:t>
            </w:r>
          </w:p>
        </w:tc>
        <w:tc>
          <w:tcPr>
            <w:tcW w:w="0" w:type="auto"/>
          </w:tcPr>
          <w:p w14:paraId="2C50C85F" w14:textId="104FA99E" w:rsidR="00AA74B5" w:rsidRDefault="008C0647" w:rsidP="00AA74B5">
            <w:pPr>
              <w:spacing w:before="100" w:after="0"/>
              <w:rPr>
                <w:color w:val="000000"/>
              </w:rPr>
            </w:pPr>
            <w:r>
              <w:rPr>
                <w:color w:val="000000"/>
              </w:rPr>
              <w:t>Tenant-based rental assistance for low-moderate income households.</w:t>
            </w:r>
          </w:p>
        </w:tc>
      </w:tr>
      <w:tr w:rsidR="00C83593" w14:paraId="4EB1C668" w14:textId="77777777" w:rsidTr="008C0647">
        <w:trPr>
          <w:cantSplit/>
        </w:trPr>
        <w:tc>
          <w:tcPr>
            <w:tcW w:w="0" w:type="auto"/>
            <w:vMerge w:val="restart"/>
            <w:tcBorders>
              <w:top w:val="single" w:sz="2" w:space="0" w:color="auto"/>
            </w:tcBorders>
          </w:tcPr>
          <w:p w14:paraId="0F16F3D4" w14:textId="56737DBE" w:rsidR="009A2C2E" w:rsidRDefault="00BE2A39" w:rsidP="00E53512">
            <w:r>
              <w:rPr>
                <w:b/>
              </w:rPr>
              <w:t>12</w:t>
            </w:r>
          </w:p>
        </w:tc>
        <w:tc>
          <w:tcPr>
            <w:tcW w:w="0" w:type="auto"/>
            <w:shd w:val="clear" w:color="auto" w:fill="C5E0B3" w:themeFill="accent6" w:themeFillTint="66"/>
          </w:tcPr>
          <w:p w14:paraId="7E94D5BE" w14:textId="77777777" w:rsidR="009A2C2E" w:rsidRPr="00BE2A39" w:rsidRDefault="009A2C2E" w:rsidP="00E53512">
            <w:pPr>
              <w:keepNext/>
              <w:spacing w:before="100" w:after="0"/>
              <w:rPr>
                <w:b/>
              </w:rPr>
            </w:pPr>
            <w:r w:rsidRPr="00BE2A39">
              <w:rPr>
                <w:b/>
              </w:rPr>
              <w:t>Project Name</w:t>
            </w:r>
          </w:p>
        </w:tc>
        <w:tc>
          <w:tcPr>
            <w:tcW w:w="0" w:type="auto"/>
            <w:shd w:val="clear" w:color="auto" w:fill="C5E0B3" w:themeFill="accent6" w:themeFillTint="66"/>
          </w:tcPr>
          <w:p w14:paraId="2ED8D009" w14:textId="3D2EABF9" w:rsidR="009A2C2E" w:rsidRPr="00BE2A39" w:rsidRDefault="009A2C2E" w:rsidP="00E53512">
            <w:pPr>
              <w:spacing w:before="100" w:after="0"/>
              <w:rPr>
                <w:b/>
              </w:rPr>
            </w:pPr>
            <w:r w:rsidRPr="00BE2A39">
              <w:rPr>
                <w:b/>
                <w:color w:val="000000"/>
              </w:rPr>
              <w:t>202</w:t>
            </w:r>
            <w:r w:rsidR="003D336B" w:rsidRPr="00BE2A39">
              <w:rPr>
                <w:b/>
                <w:color w:val="000000"/>
              </w:rPr>
              <w:t>5</w:t>
            </w:r>
            <w:r w:rsidRPr="00BE2A39">
              <w:rPr>
                <w:b/>
                <w:color w:val="000000"/>
              </w:rPr>
              <w:t xml:space="preserve"> Single Family - Homebuyer - DPCC</w:t>
            </w:r>
          </w:p>
        </w:tc>
      </w:tr>
      <w:tr w:rsidR="00C83593" w14:paraId="1A19E0CC" w14:textId="77777777" w:rsidTr="00E53512">
        <w:trPr>
          <w:cantSplit/>
        </w:trPr>
        <w:tc>
          <w:tcPr>
            <w:tcW w:w="0" w:type="auto"/>
            <w:vMerge/>
          </w:tcPr>
          <w:p w14:paraId="15155528" w14:textId="77777777" w:rsidR="009A2C2E" w:rsidRDefault="009A2C2E" w:rsidP="00E53512"/>
        </w:tc>
        <w:tc>
          <w:tcPr>
            <w:tcW w:w="0" w:type="auto"/>
          </w:tcPr>
          <w:p w14:paraId="6E709D0B" w14:textId="77777777" w:rsidR="009A2C2E" w:rsidRDefault="009A2C2E" w:rsidP="00E53512">
            <w:pPr>
              <w:keepNext/>
              <w:spacing w:before="100" w:after="0"/>
              <w:rPr>
                <w:b/>
              </w:rPr>
            </w:pPr>
            <w:r>
              <w:rPr>
                <w:b/>
              </w:rPr>
              <w:t>Target Area</w:t>
            </w:r>
          </w:p>
        </w:tc>
        <w:tc>
          <w:tcPr>
            <w:tcW w:w="0" w:type="auto"/>
          </w:tcPr>
          <w:p w14:paraId="7145B411" w14:textId="6BEEB932" w:rsidR="009A2C2E" w:rsidRDefault="009A2C2E" w:rsidP="00E53512">
            <w:pPr>
              <w:spacing w:before="100" w:after="0"/>
            </w:pPr>
            <w:r>
              <w:rPr>
                <w:color w:val="000000"/>
              </w:rPr>
              <w:t xml:space="preserve"> </w:t>
            </w:r>
            <w:r w:rsidR="008C0647">
              <w:rPr>
                <w:color w:val="000000"/>
              </w:rPr>
              <w:t>N/A</w:t>
            </w:r>
          </w:p>
        </w:tc>
      </w:tr>
      <w:tr w:rsidR="00C83593" w14:paraId="547BA815" w14:textId="77777777" w:rsidTr="00E53512">
        <w:trPr>
          <w:cantSplit/>
        </w:trPr>
        <w:tc>
          <w:tcPr>
            <w:tcW w:w="0" w:type="auto"/>
            <w:vMerge/>
          </w:tcPr>
          <w:p w14:paraId="6DD1A5E2" w14:textId="77777777" w:rsidR="009A2C2E" w:rsidRDefault="009A2C2E" w:rsidP="00E53512"/>
        </w:tc>
        <w:tc>
          <w:tcPr>
            <w:tcW w:w="0" w:type="auto"/>
          </w:tcPr>
          <w:p w14:paraId="1ED5BCA6" w14:textId="77777777" w:rsidR="009A2C2E" w:rsidRDefault="009A2C2E" w:rsidP="00E53512">
            <w:pPr>
              <w:keepNext/>
              <w:spacing w:before="100" w:after="0"/>
              <w:rPr>
                <w:b/>
              </w:rPr>
            </w:pPr>
            <w:r>
              <w:rPr>
                <w:b/>
              </w:rPr>
              <w:t>Goals Supported</w:t>
            </w:r>
          </w:p>
        </w:tc>
        <w:tc>
          <w:tcPr>
            <w:tcW w:w="0" w:type="auto"/>
          </w:tcPr>
          <w:p w14:paraId="08B2F55D" w14:textId="77777777" w:rsidR="009A2C2E" w:rsidRDefault="009A2C2E" w:rsidP="00E53512">
            <w:pPr>
              <w:spacing w:before="100" w:after="0"/>
            </w:pPr>
            <w:r>
              <w:rPr>
                <w:color w:val="000000"/>
              </w:rPr>
              <w:t>Provide Decent Affordable Housing</w:t>
            </w:r>
          </w:p>
        </w:tc>
      </w:tr>
      <w:tr w:rsidR="00C83593" w14:paraId="1C474638" w14:textId="77777777" w:rsidTr="00E53512">
        <w:trPr>
          <w:cantSplit/>
        </w:trPr>
        <w:tc>
          <w:tcPr>
            <w:tcW w:w="0" w:type="auto"/>
            <w:vMerge/>
          </w:tcPr>
          <w:p w14:paraId="26EC096B" w14:textId="77777777" w:rsidR="009A2C2E" w:rsidRDefault="009A2C2E" w:rsidP="00E53512"/>
        </w:tc>
        <w:tc>
          <w:tcPr>
            <w:tcW w:w="0" w:type="auto"/>
          </w:tcPr>
          <w:p w14:paraId="483214E7" w14:textId="77777777" w:rsidR="009A2C2E" w:rsidRDefault="009A2C2E" w:rsidP="00E53512">
            <w:pPr>
              <w:keepNext/>
              <w:spacing w:before="100" w:after="0"/>
              <w:rPr>
                <w:b/>
              </w:rPr>
            </w:pPr>
            <w:r>
              <w:rPr>
                <w:b/>
              </w:rPr>
              <w:t>Needs Addressed</w:t>
            </w:r>
          </w:p>
        </w:tc>
        <w:tc>
          <w:tcPr>
            <w:tcW w:w="0" w:type="auto"/>
          </w:tcPr>
          <w:p w14:paraId="4458C340" w14:textId="27ABC8D4" w:rsidR="009A2C2E" w:rsidRDefault="009A2C2E" w:rsidP="00E53512">
            <w:pPr>
              <w:spacing w:before="100" w:after="0"/>
            </w:pPr>
            <w:r>
              <w:rPr>
                <w:color w:val="000000"/>
              </w:rPr>
              <w:t>Create Affordable Homeownership</w:t>
            </w:r>
            <w:r w:rsidR="00C77057">
              <w:rPr>
                <w:color w:val="000000"/>
              </w:rPr>
              <w:t xml:space="preserve"> Opportunities</w:t>
            </w:r>
          </w:p>
        </w:tc>
      </w:tr>
      <w:tr w:rsidR="00C83593" w14:paraId="7532623F" w14:textId="77777777" w:rsidTr="00E53512">
        <w:trPr>
          <w:cantSplit/>
        </w:trPr>
        <w:tc>
          <w:tcPr>
            <w:tcW w:w="0" w:type="auto"/>
            <w:vMerge/>
          </w:tcPr>
          <w:p w14:paraId="755D8F42" w14:textId="77777777" w:rsidR="009A2C2E" w:rsidRDefault="009A2C2E" w:rsidP="00E53512"/>
        </w:tc>
        <w:tc>
          <w:tcPr>
            <w:tcW w:w="0" w:type="auto"/>
          </w:tcPr>
          <w:p w14:paraId="214DCAAB" w14:textId="77777777" w:rsidR="009A2C2E" w:rsidRDefault="009A2C2E" w:rsidP="00E53512">
            <w:pPr>
              <w:keepNext/>
              <w:spacing w:before="100" w:after="0"/>
              <w:rPr>
                <w:b/>
              </w:rPr>
            </w:pPr>
            <w:r>
              <w:rPr>
                <w:b/>
              </w:rPr>
              <w:t>Funding</w:t>
            </w:r>
          </w:p>
        </w:tc>
        <w:tc>
          <w:tcPr>
            <w:tcW w:w="0" w:type="auto"/>
          </w:tcPr>
          <w:p w14:paraId="37BE126C" w14:textId="56199F3F" w:rsidR="00E46B10" w:rsidRDefault="009A2C2E" w:rsidP="00E46B10">
            <w:pPr>
              <w:spacing w:before="100" w:after="0"/>
              <w:rPr>
                <w:rFonts w:ascii="Aptos Narrow" w:eastAsia="Times New Roman" w:hAnsi="Aptos Narrow"/>
                <w:color w:val="000000"/>
              </w:rPr>
            </w:pPr>
            <w:r>
              <w:rPr>
                <w:color w:val="000000"/>
              </w:rPr>
              <w:t>HOME: $</w:t>
            </w:r>
            <w:r w:rsidR="00E46B10">
              <w:rPr>
                <w:rFonts w:ascii="Aptos Narrow" w:hAnsi="Aptos Narrow"/>
                <w:color w:val="000000"/>
              </w:rPr>
              <w:t xml:space="preserve"> 4,488,538 </w:t>
            </w:r>
          </w:p>
          <w:p w14:paraId="4064C6FB" w14:textId="3CA08D38" w:rsidR="009A2C2E" w:rsidRDefault="009A2C2E" w:rsidP="00E53512">
            <w:pPr>
              <w:spacing w:before="100" w:after="0"/>
            </w:pPr>
          </w:p>
        </w:tc>
      </w:tr>
      <w:tr w:rsidR="00C83593" w14:paraId="41E57BD6" w14:textId="77777777" w:rsidTr="00E53512">
        <w:trPr>
          <w:cantSplit/>
        </w:trPr>
        <w:tc>
          <w:tcPr>
            <w:tcW w:w="0" w:type="auto"/>
            <w:vMerge/>
          </w:tcPr>
          <w:p w14:paraId="28F00DA3" w14:textId="77777777" w:rsidR="009A2C2E" w:rsidRDefault="009A2C2E" w:rsidP="00E53512"/>
        </w:tc>
        <w:tc>
          <w:tcPr>
            <w:tcW w:w="0" w:type="auto"/>
          </w:tcPr>
          <w:p w14:paraId="1C47FEB5" w14:textId="77777777" w:rsidR="009A2C2E" w:rsidRDefault="009A2C2E" w:rsidP="00E53512">
            <w:pPr>
              <w:keepNext/>
              <w:spacing w:before="100" w:after="0"/>
              <w:rPr>
                <w:b/>
              </w:rPr>
            </w:pPr>
            <w:r>
              <w:rPr>
                <w:b/>
              </w:rPr>
              <w:t>Description</w:t>
            </w:r>
          </w:p>
        </w:tc>
        <w:tc>
          <w:tcPr>
            <w:tcW w:w="0" w:type="auto"/>
          </w:tcPr>
          <w:p w14:paraId="11032D17" w14:textId="2FFF057C" w:rsidR="009A2C2E" w:rsidRDefault="008C0647" w:rsidP="00E53512">
            <w:pPr>
              <w:spacing w:before="100" w:after="0"/>
            </w:pPr>
            <w:r>
              <w:rPr>
                <w:color w:val="000000"/>
              </w:rPr>
              <w:t>This Project will provide downpayment assistance and closing costs for low to moderate income homebuyers.</w:t>
            </w:r>
          </w:p>
        </w:tc>
      </w:tr>
      <w:tr w:rsidR="00C83593" w14:paraId="76B6E6D4" w14:textId="77777777" w:rsidTr="00E53512">
        <w:trPr>
          <w:cantSplit/>
        </w:trPr>
        <w:tc>
          <w:tcPr>
            <w:tcW w:w="0" w:type="auto"/>
            <w:vMerge/>
          </w:tcPr>
          <w:p w14:paraId="1BCC883A" w14:textId="77777777" w:rsidR="009A2C2E" w:rsidRDefault="009A2C2E" w:rsidP="00E53512"/>
        </w:tc>
        <w:tc>
          <w:tcPr>
            <w:tcW w:w="0" w:type="auto"/>
          </w:tcPr>
          <w:p w14:paraId="1092D77D" w14:textId="77777777" w:rsidR="009A2C2E" w:rsidRDefault="009A2C2E" w:rsidP="00E53512">
            <w:pPr>
              <w:keepNext/>
              <w:spacing w:before="100" w:after="0"/>
              <w:rPr>
                <w:b/>
              </w:rPr>
            </w:pPr>
            <w:r>
              <w:rPr>
                <w:b/>
              </w:rPr>
              <w:t>Target Date</w:t>
            </w:r>
          </w:p>
        </w:tc>
        <w:tc>
          <w:tcPr>
            <w:tcW w:w="0" w:type="auto"/>
          </w:tcPr>
          <w:p w14:paraId="6C6195A6" w14:textId="77777777" w:rsidR="009A2C2E" w:rsidRDefault="009A2C2E" w:rsidP="00E53512">
            <w:pPr>
              <w:spacing w:before="100" w:after="0"/>
            </w:pPr>
            <w:r>
              <w:rPr>
                <w:color w:val="000000"/>
              </w:rPr>
              <w:t>3/31/2029</w:t>
            </w:r>
          </w:p>
        </w:tc>
      </w:tr>
      <w:tr w:rsidR="00C83593" w14:paraId="087F12B7" w14:textId="77777777" w:rsidTr="00E53512">
        <w:trPr>
          <w:cantSplit/>
        </w:trPr>
        <w:tc>
          <w:tcPr>
            <w:tcW w:w="0" w:type="auto"/>
            <w:vMerge/>
          </w:tcPr>
          <w:p w14:paraId="61C25803" w14:textId="77777777" w:rsidR="009A2C2E" w:rsidRDefault="009A2C2E" w:rsidP="00E53512"/>
        </w:tc>
        <w:tc>
          <w:tcPr>
            <w:tcW w:w="0" w:type="auto"/>
          </w:tcPr>
          <w:p w14:paraId="77B754D0"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4F3D94B7" w14:textId="30C42518" w:rsidR="009A2C2E" w:rsidRDefault="003D336B" w:rsidP="00E53512">
            <w:pPr>
              <w:spacing w:before="100" w:after="0"/>
            </w:pPr>
            <w:r>
              <w:rPr>
                <w:color w:val="000000"/>
              </w:rPr>
              <w:t xml:space="preserve">Twenty-five (25) </w:t>
            </w:r>
            <w:r w:rsidR="009A2C2E">
              <w:rPr>
                <w:color w:val="000000"/>
              </w:rPr>
              <w:t>Low-income Households</w:t>
            </w:r>
          </w:p>
        </w:tc>
      </w:tr>
      <w:tr w:rsidR="00C83593" w14:paraId="36D0F2F9" w14:textId="77777777" w:rsidTr="00E53512">
        <w:trPr>
          <w:cantSplit/>
        </w:trPr>
        <w:tc>
          <w:tcPr>
            <w:tcW w:w="0" w:type="auto"/>
            <w:vMerge/>
          </w:tcPr>
          <w:p w14:paraId="0DFDAEFB" w14:textId="77777777" w:rsidR="009A2C2E" w:rsidRDefault="009A2C2E" w:rsidP="00E53512"/>
        </w:tc>
        <w:tc>
          <w:tcPr>
            <w:tcW w:w="0" w:type="auto"/>
          </w:tcPr>
          <w:p w14:paraId="582E8502"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0BB195EA" w14:textId="77777777" w:rsidR="009A2C2E" w:rsidRDefault="009A2C2E" w:rsidP="00E53512">
            <w:pPr>
              <w:spacing w:before="100" w:after="0"/>
            </w:pPr>
            <w:r>
              <w:rPr>
                <w:color w:val="000000"/>
              </w:rPr>
              <w:t>Idaho</w:t>
            </w:r>
          </w:p>
        </w:tc>
      </w:tr>
      <w:tr w:rsidR="00C83593" w14:paraId="23CBFB5A" w14:textId="77777777" w:rsidTr="00E53512">
        <w:trPr>
          <w:cantSplit/>
        </w:trPr>
        <w:tc>
          <w:tcPr>
            <w:tcW w:w="0" w:type="auto"/>
            <w:vMerge/>
          </w:tcPr>
          <w:p w14:paraId="09060072" w14:textId="77777777" w:rsidR="009A2C2E" w:rsidRDefault="009A2C2E" w:rsidP="00E53512"/>
        </w:tc>
        <w:tc>
          <w:tcPr>
            <w:tcW w:w="0" w:type="auto"/>
          </w:tcPr>
          <w:p w14:paraId="464BBB8D"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tcPr>
          <w:p w14:paraId="6266FB85" w14:textId="42C4291F" w:rsidR="009A2C2E" w:rsidRDefault="009A2C2E" w:rsidP="00E53512">
            <w:pPr>
              <w:spacing w:before="100" w:after="0"/>
            </w:pPr>
            <w:r>
              <w:rPr>
                <w:color w:val="000000"/>
              </w:rPr>
              <w:t xml:space="preserve"> </w:t>
            </w:r>
            <w:r w:rsidR="008C0647">
              <w:rPr>
                <w:color w:val="000000"/>
              </w:rPr>
              <w:t>Downpayment assistance and closing costs.</w:t>
            </w:r>
          </w:p>
        </w:tc>
      </w:tr>
      <w:tr w:rsidR="00C83593" w14:paraId="7F0C5D8A" w14:textId="77777777" w:rsidTr="007B7B72">
        <w:trPr>
          <w:cantSplit/>
        </w:trPr>
        <w:tc>
          <w:tcPr>
            <w:tcW w:w="0" w:type="auto"/>
            <w:vMerge w:val="restart"/>
          </w:tcPr>
          <w:p w14:paraId="199C787D" w14:textId="45D5C57A" w:rsidR="009A2C2E" w:rsidRDefault="00BE2A39" w:rsidP="00E53512">
            <w:r>
              <w:rPr>
                <w:b/>
              </w:rPr>
              <w:t>13</w:t>
            </w:r>
          </w:p>
        </w:tc>
        <w:tc>
          <w:tcPr>
            <w:tcW w:w="0" w:type="auto"/>
            <w:shd w:val="clear" w:color="auto" w:fill="C5E0B3" w:themeFill="accent6" w:themeFillTint="66"/>
          </w:tcPr>
          <w:p w14:paraId="22C70B62" w14:textId="77777777" w:rsidR="009A2C2E" w:rsidRPr="00BE2A39" w:rsidRDefault="009A2C2E" w:rsidP="00E53512">
            <w:pPr>
              <w:keepNext/>
              <w:spacing w:before="100" w:after="0"/>
              <w:rPr>
                <w:b/>
              </w:rPr>
            </w:pPr>
            <w:r w:rsidRPr="00BE2A39">
              <w:rPr>
                <w:b/>
              </w:rPr>
              <w:t>Project Name</w:t>
            </w:r>
          </w:p>
        </w:tc>
        <w:tc>
          <w:tcPr>
            <w:tcW w:w="0" w:type="auto"/>
            <w:shd w:val="clear" w:color="auto" w:fill="C5E0B3" w:themeFill="accent6" w:themeFillTint="66"/>
          </w:tcPr>
          <w:p w14:paraId="490C7C60" w14:textId="316F4605" w:rsidR="009A2C2E" w:rsidRPr="00BE2A39" w:rsidRDefault="009A2C2E" w:rsidP="00E53512">
            <w:pPr>
              <w:spacing w:before="100" w:after="0"/>
              <w:rPr>
                <w:b/>
              </w:rPr>
            </w:pPr>
            <w:r w:rsidRPr="00BE2A39">
              <w:rPr>
                <w:b/>
                <w:color w:val="000000"/>
              </w:rPr>
              <w:t>202</w:t>
            </w:r>
            <w:r w:rsidR="003D336B" w:rsidRPr="00BE2A39">
              <w:rPr>
                <w:b/>
                <w:color w:val="000000"/>
              </w:rPr>
              <w:t>5</w:t>
            </w:r>
            <w:r w:rsidRPr="00BE2A39">
              <w:rPr>
                <w:b/>
                <w:color w:val="000000"/>
              </w:rPr>
              <w:t xml:space="preserve"> HTF Administration</w:t>
            </w:r>
          </w:p>
        </w:tc>
      </w:tr>
      <w:tr w:rsidR="00C83593" w14:paraId="17A72DAF" w14:textId="77777777" w:rsidTr="00E53512">
        <w:trPr>
          <w:cantSplit/>
        </w:trPr>
        <w:tc>
          <w:tcPr>
            <w:tcW w:w="0" w:type="auto"/>
            <w:vMerge/>
          </w:tcPr>
          <w:p w14:paraId="186D8234" w14:textId="77777777" w:rsidR="009A2C2E" w:rsidRDefault="009A2C2E" w:rsidP="00E53512"/>
        </w:tc>
        <w:tc>
          <w:tcPr>
            <w:tcW w:w="0" w:type="auto"/>
          </w:tcPr>
          <w:p w14:paraId="3C28BD2A" w14:textId="77777777" w:rsidR="009A2C2E" w:rsidRDefault="009A2C2E" w:rsidP="00E53512">
            <w:pPr>
              <w:keepNext/>
              <w:spacing w:before="100" w:after="0"/>
              <w:rPr>
                <w:b/>
              </w:rPr>
            </w:pPr>
            <w:r>
              <w:rPr>
                <w:b/>
              </w:rPr>
              <w:t>Target Area</w:t>
            </w:r>
          </w:p>
        </w:tc>
        <w:tc>
          <w:tcPr>
            <w:tcW w:w="0" w:type="auto"/>
          </w:tcPr>
          <w:p w14:paraId="01EDB78C" w14:textId="2134FC91" w:rsidR="009A2C2E" w:rsidRDefault="009A2C2E" w:rsidP="00E53512">
            <w:pPr>
              <w:spacing w:before="100" w:after="0"/>
            </w:pPr>
            <w:r>
              <w:rPr>
                <w:color w:val="000000"/>
              </w:rPr>
              <w:t xml:space="preserve"> </w:t>
            </w:r>
            <w:r w:rsidR="008C0647">
              <w:rPr>
                <w:color w:val="000000"/>
              </w:rPr>
              <w:t>N/A</w:t>
            </w:r>
          </w:p>
        </w:tc>
      </w:tr>
      <w:tr w:rsidR="00C83593" w14:paraId="56106FBE" w14:textId="77777777" w:rsidTr="00E53512">
        <w:trPr>
          <w:cantSplit/>
        </w:trPr>
        <w:tc>
          <w:tcPr>
            <w:tcW w:w="0" w:type="auto"/>
            <w:vMerge/>
          </w:tcPr>
          <w:p w14:paraId="0390526B" w14:textId="77777777" w:rsidR="009A2C2E" w:rsidRDefault="009A2C2E" w:rsidP="00E53512"/>
        </w:tc>
        <w:tc>
          <w:tcPr>
            <w:tcW w:w="0" w:type="auto"/>
          </w:tcPr>
          <w:p w14:paraId="52B6940F" w14:textId="77777777" w:rsidR="009A2C2E" w:rsidRDefault="009A2C2E" w:rsidP="00E53512">
            <w:pPr>
              <w:keepNext/>
              <w:spacing w:before="100" w:after="0"/>
              <w:rPr>
                <w:b/>
              </w:rPr>
            </w:pPr>
            <w:r>
              <w:rPr>
                <w:b/>
              </w:rPr>
              <w:t>Goals Supported</w:t>
            </w:r>
          </w:p>
        </w:tc>
        <w:tc>
          <w:tcPr>
            <w:tcW w:w="0" w:type="auto"/>
          </w:tcPr>
          <w:p w14:paraId="415ADE56" w14:textId="77777777" w:rsidR="009A2C2E" w:rsidRDefault="009A2C2E" w:rsidP="00E53512">
            <w:pPr>
              <w:spacing w:before="100" w:after="0"/>
            </w:pPr>
            <w:r>
              <w:rPr>
                <w:color w:val="000000"/>
              </w:rPr>
              <w:t>Provide Decent Affordable Housing</w:t>
            </w:r>
          </w:p>
        </w:tc>
      </w:tr>
      <w:tr w:rsidR="00C83593" w14:paraId="40E0D334" w14:textId="77777777" w:rsidTr="00E53512">
        <w:trPr>
          <w:cantSplit/>
        </w:trPr>
        <w:tc>
          <w:tcPr>
            <w:tcW w:w="0" w:type="auto"/>
            <w:vMerge/>
          </w:tcPr>
          <w:p w14:paraId="4F9BB872" w14:textId="77777777" w:rsidR="009A2C2E" w:rsidRDefault="009A2C2E" w:rsidP="00E53512"/>
        </w:tc>
        <w:tc>
          <w:tcPr>
            <w:tcW w:w="0" w:type="auto"/>
          </w:tcPr>
          <w:p w14:paraId="23FFC0E3" w14:textId="77777777" w:rsidR="009A2C2E" w:rsidRDefault="009A2C2E" w:rsidP="00E53512">
            <w:pPr>
              <w:keepNext/>
              <w:spacing w:before="100" w:after="0"/>
              <w:rPr>
                <w:b/>
              </w:rPr>
            </w:pPr>
            <w:r>
              <w:rPr>
                <w:b/>
              </w:rPr>
              <w:t>Needs Addressed</w:t>
            </w:r>
          </w:p>
        </w:tc>
        <w:tc>
          <w:tcPr>
            <w:tcW w:w="0" w:type="auto"/>
          </w:tcPr>
          <w:p w14:paraId="25978548" w14:textId="47EC6DDB" w:rsidR="009A2C2E" w:rsidRDefault="009A2C2E" w:rsidP="00E53512">
            <w:pPr>
              <w:spacing w:before="100" w:after="0"/>
            </w:pPr>
            <w:r>
              <w:rPr>
                <w:color w:val="000000"/>
              </w:rPr>
              <w:t xml:space="preserve"> </w:t>
            </w:r>
            <w:r w:rsidR="008C0647">
              <w:rPr>
                <w:color w:val="000000"/>
              </w:rPr>
              <w:t>N/A</w:t>
            </w:r>
          </w:p>
        </w:tc>
      </w:tr>
      <w:tr w:rsidR="00C83593" w14:paraId="74938076" w14:textId="77777777" w:rsidTr="00E53512">
        <w:trPr>
          <w:cantSplit/>
        </w:trPr>
        <w:tc>
          <w:tcPr>
            <w:tcW w:w="0" w:type="auto"/>
            <w:vMerge/>
          </w:tcPr>
          <w:p w14:paraId="0C1346A3" w14:textId="77777777" w:rsidR="009A2C2E" w:rsidRDefault="009A2C2E" w:rsidP="00E53512"/>
        </w:tc>
        <w:tc>
          <w:tcPr>
            <w:tcW w:w="0" w:type="auto"/>
          </w:tcPr>
          <w:p w14:paraId="5A899F66" w14:textId="77777777" w:rsidR="009A2C2E" w:rsidRDefault="009A2C2E" w:rsidP="00E53512">
            <w:pPr>
              <w:keepNext/>
              <w:spacing w:before="100" w:after="0"/>
              <w:rPr>
                <w:b/>
              </w:rPr>
            </w:pPr>
            <w:r>
              <w:rPr>
                <w:b/>
              </w:rPr>
              <w:t>Funding</w:t>
            </w:r>
          </w:p>
        </w:tc>
        <w:tc>
          <w:tcPr>
            <w:tcW w:w="0" w:type="auto"/>
          </w:tcPr>
          <w:p w14:paraId="6CB4F121" w14:textId="3505C1FF" w:rsidR="009A2C2E" w:rsidRDefault="009A2C2E" w:rsidP="00E53512">
            <w:pPr>
              <w:spacing w:before="100" w:after="0"/>
            </w:pPr>
            <w:r>
              <w:rPr>
                <w:color w:val="000000"/>
              </w:rPr>
              <w:t>HTF: $</w:t>
            </w:r>
            <w:r w:rsidR="00FB1FA9">
              <w:rPr>
                <w:color w:val="000000"/>
              </w:rPr>
              <w:t>300,000</w:t>
            </w:r>
          </w:p>
        </w:tc>
      </w:tr>
      <w:tr w:rsidR="00C83593" w14:paraId="1A809405" w14:textId="77777777" w:rsidTr="00E53512">
        <w:trPr>
          <w:cantSplit/>
        </w:trPr>
        <w:tc>
          <w:tcPr>
            <w:tcW w:w="0" w:type="auto"/>
            <w:vMerge/>
          </w:tcPr>
          <w:p w14:paraId="59B42A46" w14:textId="77777777" w:rsidR="009A2C2E" w:rsidRDefault="009A2C2E" w:rsidP="00E53512"/>
        </w:tc>
        <w:tc>
          <w:tcPr>
            <w:tcW w:w="0" w:type="auto"/>
          </w:tcPr>
          <w:p w14:paraId="6FC69F8F" w14:textId="77777777" w:rsidR="009A2C2E" w:rsidRDefault="009A2C2E" w:rsidP="00E53512">
            <w:pPr>
              <w:keepNext/>
              <w:spacing w:before="100" w:after="0"/>
              <w:rPr>
                <w:b/>
              </w:rPr>
            </w:pPr>
            <w:r>
              <w:rPr>
                <w:b/>
              </w:rPr>
              <w:t>Description</w:t>
            </w:r>
          </w:p>
        </w:tc>
        <w:tc>
          <w:tcPr>
            <w:tcW w:w="0" w:type="auto"/>
          </w:tcPr>
          <w:p w14:paraId="31E432E0" w14:textId="77777777" w:rsidR="009A2C2E" w:rsidRDefault="009A2C2E" w:rsidP="00E53512">
            <w:pPr>
              <w:spacing w:before="100" w:after="0"/>
            </w:pPr>
            <w:r>
              <w:rPr>
                <w:color w:val="000000"/>
              </w:rPr>
              <w:t>Administration of Program</w:t>
            </w:r>
          </w:p>
        </w:tc>
      </w:tr>
      <w:tr w:rsidR="00C83593" w14:paraId="7FA9CBB1" w14:textId="77777777" w:rsidTr="00E53512">
        <w:trPr>
          <w:cantSplit/>
        </w:trPr>
        <w:tc>
          <w:tcPr>
            <w:tcW w:w="0" w:type="auto"/>
            <w:vMerge/>
          </w:tcPr>
          <w:p w14:paraId="51BB32B9" w14:textId="77777777" w:rsidR="009A2C2E" w:rsidRDefault="009A2C2E" w:rsidP="00E53512"/>
        </w:tc>
        <w:tc>
          <w:tcPr>
            <w:tcW w:w="0" w:type="auto"/>
          </w:tcPr>
          <w:p w14:paraId="1595B1CF" w14:textId="77777777" w:rsidR="009A2C2E" w:rsidRDefault="009A2C2E" w:rsidP="00E53512">
            <w:pPr>
              <w:keepNext/>
              <w:spacing w:before="100" w:after="0"/>
              <w:rPr>
                <w:b/>
              </w:rPr>
            </w:pPr>
            <w:r>
              <w:rPr>
                <w:b/>
              </w:rPr>
              <w:t>Target Date</w:t>
            </w:r>
          </w:p>
        </w:tc>
        <w:tc>
          <w:tcPr>
            <w:tcW w:w="0" w:type="auto"/>
          </w:tcPr>
          <w:p w14:paraId="2AD31A6F" w14:textId="38F023F6" w:rsidR="009A2C2E" w:rsidRDefault="009A2C2E" w:rsidP="00E53512">
            <w:pPr>
              <w:spacing w:before="100" w:after="0"/>
            </w:pPr>
            <w:r>
              <w:rPr>
                <w:color w:val="000000"/>
              </w:rPr>
              <w:t>3/31/</w:t>
            </w:r>
            <w:r w:rsidR="00FB1FA9">
              <w:rPr>
                <w:color w:val="000000"/>
              </w:rPr>
              <w:t>2026</w:t>
            </w:r>
          </w:p>
        </w:tc>
      </w:tr>
      <w:tr w:rsidR="00C83593" w14:paraId="76AC7B07" w14:textId="77777777" w:rsidTr="00E53512">
        <w:trPr>
          <w:cantSplit/>
        </w:trPr>
        <w:tc>
          <w:tcPr>
            <w:tcW w:w="0" w:type="auto"/>
            <w:vMerge/>
          </w:tcPr>
          <w:p w14:paraId="2FF84E6C" w14:textId="77777777" w:rsidR="009A2C2E" w:rsidRDefault="009A2C2E" w:rsidP="00E53512"/>
        </w:tc>
        <w:tc>
          <w:tcPr>
            <w:tcW w:w="0" w:type="auto"/>
          </w:tcPr>
          <w:p w14:paraId="63E5484B" w14:textId="77777777" w:rsidR="009A2C2E" w:rsidRDefault="009A2C2E" w:rsidP="00E53512">
            <w:pPr>
              <w:keepNext/>
              <w:spacing w:before="100" w:after="0"/>
              <w:rPr>
                <w:rFonts w:asciiTheme="minorHAnsi" w:hAnsiTheme="minorHAnsi"/>
                <w:b/>
              </w:rPr>
            </w:pPr>
            <w:r>
              <w:rPr>
                <w:rStyle w:val="Strong"/>
                <w:rFonts w:asciiTheme="minorHAnsi" w:hAnsiTheme="minorHAnsi"/>
              </w:rPr>
              <w:t>Estimate the number and type of families that will benefit from the proposed activities</w:t>
            </w:r>
          </w:p>
        </w:tc>
        <w:tc>
          <w:tcPr>
            <w:tcW w:w="0" w:type="auto"/>
          </w:tcPr>
          <w:p w14:paraId="6E1354E3" w14:textId="191DD4B9" w:rsidR="009A2C2E" w:rsidRDefault="009A2C2E" w:rsidP="00E53512">
            <w:pPr>
              <w:spacing w:before="100" w:after="0"/>
            </w:pPr>
            <w:r>
              <w:rPr>
                <w:color w:val="000000"/>
              </w:rPr>
              <w:t xml:space="preserve"> </w:t>
            </w:r>
            <w:r w:rsidR="008C0647">
              <w:rPr>
                <w:color w:val="000000"/>
              </w:rPr>
              <w:t>N/A</w:t>
            </w:r>
          </w:p>
        </w:tc>
      </w:tr>
      <w:tr w:rsidR="00C83593" w14:paraId="1C464C3E" w14:textId="77777777" w:rsidTr="00E53512">
        <w:trPr>
          <w:cantSplit/>
        </w:trPr>
        <w:tc>
          <w:tcPr>
            <w:tcW w:w="0" w:type="auto"/>
            <w:vMerge/>
          </w:tcPr>
          <w:p w14:paraId="51F8B168" w14:textId="77777777" w:rsidR="009A2C2E" w:rsidRDefault="009A2C2E" w:rsidP="00E53512"/>
        </w:tc>
        <w:tc>
          <w:tcPr>
            <w:tcW w:w="0" w:type="auto"/>
          </w:tcPr>
          <w:p w14:paraId="4CBAB1FB" w14:textId="77777777" w:rsidR="009A2C2E" w:rsidRDefault="009A2C2E" w:rsidP="00E53512">
            <w:pPr>
              <w:keepNext/>
              <w:spacing w:before="100" w:after="0"/>
              <w:rPr>
                <w:rFonts w:asciiTheme="minorHAnsi" w:hAnsiTheme="minorHAnsi"/>
                <w:b/>
              </w:rPr>
            </w:pPr>
            <w:r>
              <w:rPr>
                <w:rStyle w:val="Strong"/>
                <w:rFonts w:asciiTheme="minorHAnsi" w:hAnsiTheme="minorHAnsi"/>
              </w:rPr>
              <w:t>Location Description</w:t>
            </w:r>
          </w:p>
        </w:tc>
        <w:tc>
          <w:tcPr>
            <w:tcW w:w="0" w:type="auto"/>
          </w:tcPr>
          <w:p w14:paraId="314AC3CD" w14:textId="77777777" w:rsidR="009A2C2E" w:rsidRDefault="009A2C2E" w:rsidP="00E53512">
            <w:pPr>
              <w:spacing w:before="100" w:after="0"/>
            </w:pPr>
            <w:r>
              <w:rPr>
                <w:color w:val="000000"/>
              </w:rPr>
              <w:t>Idaho</w:t>
            </w:r>
          </w:p>
        </w:tc>
      </w:tr>
      <w:tr w:rsidR="00C83593" w14:paraId="50690DD7" w14:textId="77777777" w:rsidTr="00E53512">
        <w:trPr>
          <w:cantSplit/>
        </w:trPr>
        <w:tc>
          <w:tcPr>
            <w:tcW w:w="0" w:type="auto"/>
            <w:vMerge/>
          </w:tcPr>
          <w:p w14:paraId="4FE7A5EA" w14:textId="77777777" w:rsidR="009A2C2E" w:rsidRDefault="009A2C2E" w:rsidP="00E53512"/>
        </w:tc>
        <w:tc>
          <w:tcPr>
            <w:tcW w:w="0" w:type="auto"/>
          </w:tcPr>
          <w:p w14:paraId="04D4CF1D" w14:textId="77777777" w:rsidR="009A2C2E" w:rsidRDefault="009A2C2E" w:rsidP="00E53512">
            <w:pPr>
              <w:keepNext/>
              <w:spacing w:before="100" w:after="0"/>
              <w:rPr>
                <w:rFonts w:asciiTheme="minorHAnsi" w:hAnsiTheme="minorHAnsi"/>
                <w:b/>
              </w:rPr>
            </w:pPr>
            <w:r>
              <w:rPr>
                <w:rStyle w:val="Strong"/>
                <w:rFonts w:asciiTheme="minorHAnsi" w:hAnsiTheme="minorHAnsi"/>
              </w:rPr>
              <w:t>Planned Activities</w:t>
            </w:r>
          </w:p>
        </w:tc>
        <w:tc>
          <w:tcPr>
            <w:tcW w:w="0" w:type="auto"/>
          </w:tcPr>
          <w:p w14:paraId="731A3B7D" w14:textId="155BE8FC" w:rsidR="009A2C2E" w:rsidRDefault="009A2C2E" w:rsidP="00E53512">
            <w:pPr>
              <w:spacing w:before="100" w:after="0"/>
            </w:pPr>
            <w:r>
              <w:rPr>
                <w:color w:val="000000"/>
              </w:rPr>
              <w:t xml:space="preserve"> </w:t>
            </w:r>
            <w:r w:rsidR="008C0647">
              <w:rPr>
                <w:color w:val="000000"/>
              </w:rPr>
              <w:t>N/A</w:t>
            </w:r>
          </w:p>
        </w:tc>
      </w:tr>
    </w:tbl>
    <w:p w14:paraId="0F63F501" w14:textId="77777777" w:rsidR="009A2C2E" w:rsidRDefault="009A2C2E" w:rsidP="009A2C2E">
      <w:pPr>
        <w:pStyle w:val="Heading2"/>
        <w:pageBreakBefore/>
        <w:rPr>
          <w:rFonts w:ascii="Calibri" w:hAnsi="Calibri"/>
          <w:i/>
        </w:rPr>
      </w:pPr>
      <w:bookmarkStart w:id="124" w:name="_Toc191358755"/>
      <w:bookmarkStart w:id="125" w:name="_Toc194673879"/>
      <w:r>
        <w:rPr>
          <w:rFonts w:ascii="Calibri" w:hAnsi="Calibri"/>
        </w:rPr>
        <w:lastRenderedPageBreak/>
        <w:t xml:space="preserve">AP-40 Section 108 Loan Guarantee </w:t>
      </w:r>
      <w:bookmarkEnd w:id="121"/>
      <w:r>
        <w:rPr>
          <w:rFonts w:ascii="Calibri" w:hAnsi="Calibri"/>
        </w:rPr>
        <w:t>– 91.320(k)(1)(ii)</w:t>
      </w:r>
      <w:bookmarkEnd w:id="124"/>
      <w:bookmarkEnd w:id="125"/>
    </w:p>
    <w:p w14:paraId="08BAD4B3" w14:textId="77777777" w:rsidR="009A2C2E" w:rsidRPr="00C762FB" w:rsidRDefault="009A2C2E" w:rsidP="009A2C2E">
      <w:pPr>
        <w:keepNext/>
        <w:widowControl w:val="0"/>
        <w:rPr>
          <w:b/>
          <w:sz w:val="24"/>
          <w:szCs w:val="24"/>
        </w:rPr>
      </w:pPr>
      <w:r w:rsidRPr="00C762FB">
        <w:rPr>
          <w:b/>
          <w:sz w:val="24"/>
          <w:szCs w:val="24"/>
        </w:rPr>
        <w:t>Will the state help non-entitlement units of general local government to apply for Section 108 loan funds?</w:t>
      </w:r>
    </w:p>
    <w:p w14:paraId="027E8663" w14:textId="450527F1" w:rsidR="009A2C2E" w:rsidRPr="00C762FB" w:rsidRDefault="009A2C2E" w:rsidP="009A2C2E">
      <w:pPr>
        <w:keepNext/>
        <w:widowControl w:val="0"/>
        <w:spacing w:beforeAutospacing="1" w:afterAutospacing="1"/>
        <w:rPr>
          <w:sz w:val="24"/>
          <w:szCs w:val="24"/>
        </w:rPr>
      </w:pPr>
      <w:r w:rsidRPr="00C762FB">
        <w:rPr>
          <w:sz w:val="24"/>
          <w:szCs w:val="24"/>
        </w:rPr>
        <w:t>No</w:t>
      </w:r>
      <w:r w:rsidR="30516DC4" w:rsidRPr="00C762FB">
        <w:rPr>
          <w:sz w:val="24"/>
          <w:szCs w:val="24"/>
        </w:rPr>
        <w:t>.</w:t>
      </w:r>
    </w:p>
    <w:p w14:paraId="4AF62FA6" w14:textId="77777777" w:rsidR="009A2C2E" w:rsidRPr="00C762FB" w:rsidRDefault="009A2C2E" w:rsidP="009A2C2E">
      <w:pPr>
        <w:keepNext/>
        <w:widowControl w:val="0"/>
        <w:rPr>
          <w:b/>
          <w:sz w:val="24"/>
          <w:szCs w:val="24"/>
        </w:rPr>
      </w:pPr>
      <w:r w:rsidRPr="00C762FB">
        <w:rPr>
          <w:b/>
          <w:sz w:val="24"/>
          <w:szCs w:val="24"/>
        </w:rPr>
        <w:t xml:space="preserve">Available Grant Amounts </w:t>
      </w:r>
    </w:p>
    <w:p w14:paraId="618EC92C" w14:textId="77777777" w:rsidR="009A2C2E" w:rsidRPr="00C762FB" w:rsidRDefault="009A2C2E" w:rsidP="009A2C2E">
      <w:pPr>
        <w:keepNext/>
        <w:widowControl w:val="0"/>
        <w:spacing w:beforeAutospacing="1" w:afterAutospacing="1"/>
        <w:rPr>
          <w:rFonts w:cs="Arial"/>
          <w:sz w:val="24"/>
          <w:szCs w:val="24"/>
        </w:rPr>
      </w:pPr>
      <w:r w:rsidRPr="00C762FB">
        <w:rPr>
          <w:rFonts w:cs="Arial"/>
          <w:sz w:val="24"/>
          <w:szCs w:val="24"/>
        </w:rPr>
        <w:t>N/A</w:t>
      </w:r>
    </w:p>
    <w:p w14:paraId="3DC893F9" w14:textId="77777777" w:rsidR="009A2C2E" w:rsidRPr="00C762FB" w:rsidRDefault="009A2C2E" w:rsidP="009A2C2E">
      <w:pPr>
        <w:keepNext/>
        <w:widowControl w:val="0"/>
        <w:rPr>
          <w:b/>
          <w:sz w:val="24"/>
          <w:szCs w:val="24"/>
        </w:rPr>
      </w:pPr>
      <w:r w:rsidRPr="00C762FB">
        <w:rPr>
          <w:b/>
          <w:sz w:val="24"/>
          <w:szCs w:val="24"/>
        </w:rPr>
        <w:t xml:space="preserve">Acceptance process of applications </w:t>
      </w:r>
    </w:p>
    <w:p w14:paraId="52E17C04" w14:textId="77777777" w:rsidR="009A2C2E" w:rsidRPr="00C762FB" w:rsidRDefault="009A2C2E" w:rsidP="009A2C2E">
      <w:pPr>
        <w:keepNext/>
        <w:widowControl w:val="0"/>
        <w:spacing w:beforeAutospacing="1" w:afterAutospacing="1"/>
        <w:rPr>
          <w:rFonts w:cs="Arial"/>
          <w:sz w:val="24"/>
          <w:szCs w:val="24"/>
        </w:rPr>
      </w:pPr>
      <w:r w:rsidRPr="00C762FB">
        <w:rPr>
          <w:rFonts w:cs="Arial"/>
          <w:sz w:val="24"/>
          <w:szCs w:val="24"/>
        </w:rPr>
        <w:t>N/A</w:t>
      </w:r>
    </w:p>
    <w:p w14:paraId="2F5F8703" w14:textId="77777777" w:rsidR="009A2C2E" w:rsidRDefault="009A2C2E" w:rsidP="009A2C2E">
      <w:pPr>
        <w:pStyle w:val="Heading2"/>
        <w:pageBreakBefore/>
        <w:rPr>
          <w:rFonts w:ascii="Calibri" w:hAnsi="Calibri"/>
          <w:i/>
        </w:rPr>
      </w:pPr>
      <w:bookmarkStart w:id="126" w:name="_Toc191358756"/>
      <w:bookmarkStart w:id="127" w:name="_Toc194673880"/>
      <w:bookmarkStart w:id="128" w:name="_Toc309810476"/>
      <w:r>
        <w:rPr>
          <w:rFonts w:ascii="Calibri" w:hAnsi="Calibri"/>
        </w:rPr>
        <w:lastRenderedPageBreak/>
        <w:t>AP-45 Community Revitalization Strategies – 91.320(k)(1)(ii)</w:t>
      </w:r>
      <w:bookmarkEnd w:id="126"/>
      <w:bookmarkEnd w:id="127"/>
    </w:p>
    <w:p w14:paraId="7ECB4498" w14:textId="77777777" w:rsidR="009A2C2E" w:rsidRPr="00C762FB" w:rsidRDefault="009A2C2E" w:rsidP="009A2C2E">
      <w:pPr>
        <w:keepNext/>
        <w:widowControl w:val="0"/>
        <w:rPr>
          <w:b/>
          <w:sz w:val="24"/>
          <w:szCs w:val="24"/>
        </w:rPr>
      </w:pPr>
      <w:r w:rsidRPr="00C762FB">
        <w:rPr>
          <w:b/>
          <w:sz w:val="24"/>
          <w:szCs w:val="24"/>
        </w:rPr>
        <w:t>Will the state allow units of general local government to carry out community revitalization strategies?</w:t>
      </w:r>
    </w:p>
    <w:p w14:paraId="5713787F" w14:textId="3E2DA2B9" w:rsidR="009A2C2E" w:rsidRPr="00C762FB" w:rsidRDefault="009A2C2E" w:rsidP="009A2C2E">
      <w:pPr>
        <w:keepNext/>
        <w:widowControl w:val="0"/>
        <w:spacing w:beforeAutospacing="1" w:afterAutospacing="1"/>
        <w:rPr>
          <w:sz w:val="24"/>
          <w:szCs w:val="24"/>
        </w:rPr>
      </w:pPr>
      <w:r w:rsidRPr="00C762FB">
        <w:rPr>
          <w:sz w:val="24"/>
          <w:szCs w:val="24"/>
        </w:rPr>
        <w:t>No</w:t>
      </w:r>
      <w:r w:rsidR="20088B9B" w:rsidRPr="00C762FB">
        <w:rPr>
          <w:sz w:val="24"/>
          <w:szCs w:val="24"/>
        </w:rPr>
        <w:t>.</w:t>
      </w:r>
    </w:p>
    <w:p w14:paraId="210294F4" w14:textId="77777777" w:rsidR="009A2C2E" w:rsidRPr="00C762FB" w:rsidRDefault="009A2C2E" w:rsidP="009A2C2E">
      <w:pPr>
        <w:keepNext/>
        <w:widowControl w:val="0"/>
        <w:rPr>
          <w:b/>
          <w:sz w:val="24"/>
          <w:szCs w:val="24"/>
        </w:rPr>
      </w:pPr>
      <w:r w:rsidRPr="00C762FB">
        <w:rPr>
          <w:b/>
          <w:sz w:val="24"/>
          <w:szCs w:val="24"/>
        </w:rPr>
        <w:t>State’s Process and Criteria for approving local government revitalization strategies</w:t>
      </w:r>
    </w:p>
    <w:p w14:paraId="7B190EEE" w14:textId="77777777" w:rsidR="009A2C2E" w:rsidRPr="00C762FB" w:rsidRDefault="009A2C2E" w:rsidP="009A2C2E">
      <w:pPr>
        <w:keepNext/>
        <w:widowControl w:val="0"/>
        <w:spacing w:beforeAutospacing="1" w:afterAutospacing="1"/>
        <w:rPr>
          <w:rFonts w:cs="Arial"/>
          <w:sz w:val="24"/>
          <w:szCs w:val="24"/>
        </w:rPr>
      </w:pPr>
      <w:r w:rsidRPr="00C762FB">
        <w:rPr>
          <w:rFonts w:cs="Arial"/>
          <w:sz w:val="24"/>
          <w:szCs w:val="24"/>
        </w:rPr>
        <w:t>N/A</w:t>
      </w:r>
    </w:p>
    <w:p w14:paraId="0B5ECCCE" w14:textId="77777777" w:rsidR="009A2C2E" w:rsidRDefault="009A2C2E" w:rsidP="009A2C2E">
      <w:pPr>
        <w:rPr>
          <w:rFonts w:cs="Arial"/>
        </w:rPr>
      </w:pPr>
    </w:p>
    <w:bookmarkEnd w:id="128"/>
    <w:p w14:paraId="4EE3B68E" w14:textId="77777777" w:rsidR="009A2C2E" w:rsidRDefault="009A2C2E" w:rsidP="009A2C2E">
      <w:pPr>
        <w:keepNext/>
        <w:widowControl w:val="0"/>
        <w:rPr>
          <w:rFonts w:cs="Arial"/>
          <w:szCs w:val="24"/>
        </w:rPr>
      </w:pPr>
    </w:p>
    <w:p w14:paraId="10DF3683" w14:textId="77777777" w:rsidR="009A2C2E" w:rsidRDefault="009A2C2E" w:rsidP="009A2C2E">
      <w:pPr>
        <w:pStyle w:val="Heading2"/>
        <w:pageBreakBefore/>
        <w:widowControl w:val="0"/>
        <w:rPr>
          <w:rFonts w:ascii="Calibri" w:hAnsi="Calibri"/>
          <w:i/>
        </w:rPr>
      </w:pPr>
      <w:bookmarkStart w:id="129" w:name="_Toc309810477"/>
      <w:bookmarkStart w:id="130" w:name="_Toc191358757"/>
      <w:bookmarkStart w:id="131" w:name="_Toc194673881"/>
      <w:r>
        <w:rPr>
          <w:rFonts w:ascii="Calibri" w:hAnsi="Calibri"/>
        </w:rPr>
        <w:lastRenderedPageBreak/>
        <w:t xml:space="preserve">AP-50 Geographic Distribution </w:t>
      </w:r>
      <w:bookmarkEnd w:id="129"/>
      <w:r>
        <w:rPr>
          <w:rFonts w:ascii="Calibri" w:hAnsi="Calibri"/>
        </w:rPr>
        <w:t>– 91.320(f)</w:t>
      </w:r>
      <w:bookmarkEnd w:id="130"/>
      <w:bookmarkEnd w:id="131"/>
    </w:p>
    <w:p w14:paraId="5E3AF9A8" w14:textId="2B6909B0" w:rsidR="009A2C2E" w:rsidRPr="00C762FB" w:rsidRDefault="009A2C2E" w:rsidP="009A2C2E">
      <w:pPr>
        <w:keepNext/>
        <w:widowControl w:val="0"/>
        <w:rPr>
          <w:rFonts w:asciiTheme="minorHAnsi" w:hAnsiTheme="minorHAnsi" w:cstheme="minorHAnsi"/>
          <w:b/>
          <w:sz w:val="24"/>
          <w:szCs w:val="24"/>
        </w:rPr>
      </w:pPr>
      <w:r w:rsidRPr="00C762FB">
        <w:rPr>
          <w:rFonts w:asciiTheme="minorHAnsi" w:hAnsiTheme="minorHAnsi" w:cstheme="minorHAnsi"/>
          <w:b/>
          <w:sz w:val="24"/>
          <w:szCs w:val="24"/>
        </w:rPr>
        <w:t xml:space="preserve">Description of the geographic areas of the state (including areas of low-income and minority concentration) where assistance will be directed </w:t>
      </w:r>
    </w:p>
    <w:p w14:paraId="17889978" w14:textId="5225222F" w:rsidR="009A2C2E" w:rsidRPr="00C762FB" w:rsidRDefault="009A2C2E" w:rsidP="00C762FB">
      <w:pPr>
        <w:keepNext/>
        <w:widowControl w:val="0"/>
        <w:shd w:val="clear" w:color="auto" w:fill="FFFFFF" w:themeFill="background1"/>
        <w:spacing w:beforeAutospacing="1" w:afterAutospacing="1"/>
        <w:rPr>
          <w:rFonts w:asciiTheme="minorHAnsi" w:hAnsiTheme="minorHAnsi" w:cstheme="minorHAnsi"/>
          <w:sz w:val="24"/>
          <w:szCs w:val="24"/>
        </w:rPr>
      </w:pPr>
      <w:r w:rsidRPr="00C762FB">
        <w:rPr>
          <w:rFonts w:asciiTheme="minorHAnsi" w:hAnsiTheme="minorHAnsi" w:cstheme="minorHAnsi"/>
          <w:b/>
          <w:sz w:val="24"/>
          <w:szCs w:val="24"/>
        </w:rPr>
        <w:t xml:space="preserve">HOME and </w:t>
      </w:r>
      <w:r w:rsidR="00C762FB" w:rsidRPr="00C762FB">
        <w:rPr>
          <w:rFonts w:asciiTheme="minorHAnsi" w:hAnsiTheme="minorHAnsi" w:cstheme="minorHAnsi"/>
          <w:b/>
          <w:sz w:val="24"/>
          <w:szCs w:val="24"/>
        </w:rPr>
        <w:t>Housing Trust Fund (</w:t>
      </w:r>
      <w:r w:rsidRPr="00C762FB">
        <w:rPr>
          <w:rFonts w:asciiTheme="minorHAnsi" w:hAnsiTheme="minorHAnsi" w:cstheme="minorHAnsi"/>
          <w:b/>
          <w:sz w:val="24"/>
          <w:szCs w:val="24"/>
        </w:rPr>
        <w:t>HTF</w:t>
      </w:r>
      <w:r w:rsidR="00C762FB" w:rsidRPr="00C762FB">
        <w:rPr>
          <w:rFonts w:asciiTheme="minorHAnsi" w:hAnsiTheme="minorHAnsi" w:cstheme="minorHAnsi"/>
          <w:b/>
          <w:sz w:val="24"/>
          <w:szCs w:val="24"/>
        </w:rPr>
        <w:t>)</w:t>
      </w:r>
      <w:r w:rsidRPr="00C762FB">
        <w:rPr>
          <w:rFonts w:asciiTheme="minorHAnsi" w:hAnsiTheme="minorHAnsi" w:cstheme="minorHAnsi"/>
          <w:sz w:val="24"/>
          <w:szCs w:val="24"/>
        </w:rPr>
        <w:t xml:space="preserve"> - See Unique Appendices</w:t>
      </w:r>
    </w:p>
    <w:p w14:paraId="25EF69F4" w14:textId="77777777" w:rsidR="001770B0" w:rsidRDefault="00C762FB" w:rsidP="00C762FB">
      <w:pPr>
        <w:keepNext/>
        <w:widowControl w:val="0"/>
        <w:shd w:val="clear" w:color="auto" w:fill="FFFFFF" w:themeFill="background1"/>
        <w:spacing w:beforeAutospacing="1" w:afterAutospacing="1"/>
        <w:rPr>
          <w:rFonts w:asciiTheme="minorHAnsi" w:hAnsiTheme="minorHAnsi" w:cstheme="minorHAnsi"/>
          <w:sz w:val="24"/>
          <w:szCs w:val="24"/>
        </w:rPr>
      </w:pPr>
      <w:r w:rsidRPr="00C762FB">
        <w:rPr>
          <w:rFonts w:asciiTheme="minorHAnsi" w:hAnsiTheme="minorHAnsi" w:cstheme="minorHAnsi"/>
          <w:b/>
          <w:sz w:val="24"/>
          <w:szCs w:val="24"/>
        </w:rPr>
        <w:t>Emergency Solutions Grant (</w:t>
      </w:r>
      <w:r w:rsidR="009A2C2E" w:rsidRPr="00C762FB">
        <w:rPr>
          <w:rFonts w:asciiTheme="minorHAnsi" w:hAnsiTheme="minorHAnsi" w:cstheme="minorHAnsi"/>
          <w:b/>
          <w:sz w:val="24"/>
          <w:szCs w:val="24"/>
        </w:rPr>
        <w:t>ESG</w:t>
      </w:r>
      <w:r w:rsidRPr="00C762FB">
        <w:rPr>
          <w:rFonts w:asciiTheme="minorHAnsi" w:hAnsiTheme="minorHAnsi" w:cstheme="minorHAnsi"/>
          <w:b/>
          <w:sz w:val="24"/>
          <w:szCs w:val="24"/>
        </w:rPr>
        <w:t>)</w:t>
      </w:r>
      <w:r w:rsidR="009A2C2E" w:rsidRPr="00C762FB">
        <w:rPr>
          <w:rFonts w:asciiTheme="minorHAnsi" w:hAnsiTheme="minorHAnsi" w:cstheme="minorHAnsi"/>
          <w:b/>
          <w:sz w:val="24"/>
          <w:szCs w:val="24"/>
        </w:rPr>
        <w:t xml:space="preserve"> - </w:t>
      </w:r>
      <w:r w:rsidR="009A2C2E" w:rsidRPr="00C762FB">
        <w:rPr>
          <w:rFonts w:asciiTheme="minorHAnsi" w:hAnsiTheme="minorHAnsi" w:cstheme="minorHAnsi"/>
          <w:sz w:val="24"/>
          <w:szCs w:val="24"/>
        </w:rPr>
        <w:t xml:space="preserve">For community planning and development (CPD) program administration purposes, Idaho is divided into seven regions. See </w:t>
      </w:r>
      <w:r w:rsidR="001770B0">
        <w:rPr>
          <w:rFonts w:asciiTheme="minorHAnsi" w:hAnsiTheme="minorHAnsi" w:cstheme="minorHAnsi"/>
          <w:sz w:val="24"/>
          <w:szCs w:val="24"/>
        </w:rPr>
        <w:t>U</w:t>
      </w:r>
      <w:r w:rsidR="009A2C2E" w:rsidRPr="00C762FB">
        <w:rPr>
          <w:rFonts w:asciiTheme="minorHAnsi" w:hAnsiTheme="minorHAnsi" w:cstheme="minorHAnsi"/>
          <w:sz w:val="24"/>
          <w:szCs w:val="24"/>
        </w:rPr>
        <w:t xml:space="preserve">nique </w:t>
      </w:r>
      <w:r w:rsidR="001770B0">
        <w:rPr>
          <w:rFonts w:asciiTheme="minorHAnsi" w:hAnsiTheme="minorHAnsi" w:cstheme="minorHAnsi"/>
          <w:sz w:val="24"/>
          <w:szCs w:val="24"/>
        </w:rPr>
        <w:t>A</w:t>
      </w:r>
      <w:r w:rsidR="009A2C2E" w:rsidRPr="00C762FB">
        <w:rPr>
          <w:rFonts w:asciiTheme="minorHAnsi" w:hAnsiTheme="minorHAnsi" w:cstheme="minorHAnsi"/>
          <w:sz w:val="24"/>
          <w:szCs w:val="24"/>
        </w:rPr>
        <w:t>ppendices for a map with the regional break-down.</w:t>
      </w:r>
    </w:p>
    <w:p w14:paraId="1EFAC496" w14:textId="6CC06D29" w:rsidR="00C762FB" w:rsidRPr="00C762FB" w:rsidRDefault="009A2C2E" w:rsidP="00C762FB">
      <w:pPr>
        <w:keepNext/>
        <w:widowControl w:val="0"/>
        <w:shd w:val="clear" w:color="auto" w:fill="FFFFFF" w:themeFill="background1"/>
        <w:spacing w:beforeAutospacing="1" w:afterAutospacing="1"/>
        <w:rPr>
          <w:rFonts w:asciiTheme="minorHAnsi" w:hAnsiTheme="minorHAnsi" w:cstheme="minorHAnsi"/>
          <w:sz w:val="24"/>
          <w:szCs w:val="24"/>
        </w:rPr>
      </w:pPr>
      <w:r w:rsidRPr="00C762FB">
        <w:rPr>
          <w:rFonts w:asciiTheme="minorHAnsi" w:hAnsiTheme="minorHAnsi" w:cstheme="minorHAnsi"/>
          <w:sz w:val="24"/>
          <w:szCs w:val="24"/>
        </w:rPr>
        <w:t>The following notes the percentage of the population at or below poverty level, using the regions described above:</w:t>
      </w:r>
    </w:p>
    <w:p w14:paraId="6E745899" w14:textId="07E82EFF" w:rsidR="009A2C2E" w:rsidRPr="00C762FB" w:rsidRDefault="009A2C2E" w:rsidP="00C762FB">
      <w:pPr>
        <w:keepNext/>
        <w:widowControl w:val="0"/>
        <w:shd w:val="clear" w:color="auto" w:fill="FFFFFF" w:themeFill="background1"/>
        <w:spacing w:beforeAutospacing="1" w:afterAutospacing="1"/>
        <w:rPr>
          <w:rFonts w:asciiTheme="minorHAnsi" w:hAnsiTheme="minorHAnsi" w:cstheme="minorHAnsi"/>
          <w:sz w:val="24"/>
          <w:szCs w:val="24"/>
        </w:rPr>
      </w:pPr>
      <w:r w:rsidRPr="00C762FB">
        <w:rPr>
          <w:rFonts w:asciiTheme="minorHAnsi" w:hAnsiTheme="minorHAnsi" w:cstheme="minorHAnsi"/>
          <w:sz w:val="24"/>
          <w:szCs w:val="24"/>
        </w:rPr>
        <w:t xml:space="preserve"> Region 1: 13% </w:t>
      </w:r>
      <w:r w:rsidRPr="00C762FB">
        <w:rPr>
          <w:rFonts w:asciiTheme="minorHAnsi" w:hAnsiTheme="minorHAnsi" w:cstheme="minorHAnsi"/>
          <w:sz w:val="24"/>
          <w:szCs w:val="24"/>
        </w:rPr>
        <w:br/>
        <w:t xml:space="preserve"> Region 2: 15% </w:t>
      </w:r>
      <w:r w:rsidRPr="00C762FB">
        <w:rPr>
          <w:rFonts w:asciiTheme="minorHAnsi" w:hAnsiTheme="minorHAnsi" w:cstheme="minorHAnsi"/>
          <w:sz w:val="24"/>
          <w:szCs w:val="24"/>
        </w:rPr>
        <w:br/>
        <w:t xml:space="preserve"> Region 3: 14% </w:t>
      </w:r>
      <w:r w:rsidRPr="00C762FB">
        <w:rPr>
          <w:rFonts w:asciiTheme="minorHAnsi" w:hAnsiTheme="minorHAnsi" w:cstheme="minorHAnsi"/>
          <w:sz w:val="24"/>
          <w:szCs w:val="24"/>
        </w:rPr>
        <w:br/>
        <w:t xml:space="preserve"> Region 4: 15% </w:t>
      </w:r>
      <w:r w:rsidRPr="00C762FB">
        <w:rPr>
          <w:rFonts w:asciiTheme="minorHAnsi" w:hAnsiTheme="minorHAnsi" w:cstheme="minorHAnsi"/>
          <w:sz w:val="24"/>
          <w:szCs w:val="24"/>
        </w:rPr>
        <w:br/>
        <w:t xml:space="preserve"> Region 5: 14% </w:t>
      </w:r>
      <w:r w:rsidRPr="00C762FB">
        <w:rPr>
          <w:rFonts w:asciiTheme="minorHAnsi" w:hAnsiTheme="minorHAnsi" w:cstheme="minorHAnsi"/>
          <w:sz w:val="24"/>
          <w:szCs w:val="24"/>
        </w:rPr>
        <w:br/>
        <w:t xml:space="preserve"> Region 6: 14% </w:t>
      </w:r>
      <w:r w:rsidRPr="00C762FB">
        <w:rPr>
          <w:rFonts w:asciiTheme="minorHAnsi" w:hAnsiTheme="minorHAnsi" w:cstheme="minorHAnsi"/>
          <w:sz w:val="24"/>
          <w:szCs w:val="24"/>
        </w:rPr>
        <w:br/>
        <w:t xml:space="preserve"> Region 7: 11%</w:t>
      </w:r>
      <w:r w:rsidRPr="00C762FB">
        <w:rPr>
          <w:rFonts w:asciiTheme="minorHAnsi" w:hAnsiTheme="minorHAnsi" w:cstheme="minorHAnsi"/>
          <w:sz w:val="24"/>
          <w:szCs w:val="24"/>
        </w:rPr>
        <w:br/>
      </w:r>
      <w:r w:rsidR="00C762FB" w:rsidRPr="00C762FB">
        <w:rPr>
          <w:rFonts w:asciiTheme="minorHAnsi" w:hAnsiTheme="minorHAnsi" w:cstheme="minorHAnsi"/>
          <w:sz w:val="24"/>
          <w:szCs w:val="24"/>
        </w:rPr>
        <w:br/>
      </w:r>
      <w:r w:rsidRPr="00C762FB">
        <w:rPr>
          <w:rFonts w:asciiTheme="minorHAnsi" w:hAnsiTheme="minorHAnsi" w:cstheme="minorHAnsi"/>
          <w:sz w:val="24"/>
          <w:szCs w:val="24"/>
        </w:rPr>
        <w:t xml:space="preserve">As reported in the most recent census date for Idaho (census.gov) in 2023, Idaho’s population is 92.6% </w:t>
      </w:r>
      <w:r w:rsidR="6C1E9B0E" w:rsidRPr="00C762FB">
        <w:rPr>
          <w:rFonts w:asciiTheme="minorHAnsi" w:hAnsiTheme="minorHAnsi" w:cstheme="minorHAnsi"/>
          <w:sz w:val="24"/>
          <w:szCs w:val="24"/>
        </w:rPr>
        <w:t>W</w:t>
      </w:r>
      <w:r w:rsidR="7B270814" w:rsidRPr="00C762FB">
        <w:rPr>
          <w:rFonts w:asciiTheme="minorHAnsi" w:hAnsiTheme="minorHAnsi" w:cstheme="minorHAnsi"/>
          <w:sz w:val="24"/>
          <w:szCs w:val="24"/>
        </w:rPr>
        <w:t>hite</w:t>
      </w:r>
      <w:r w:rsidRPr="00C762FB">
        <w:rPr>
          <w:rFonts w:asciiTheme="minorHAnsi" w:hAnsiTheme="minorHAnsi" w:cstheme="minorHAnsi"/>
          <w:sz w:val="24"/>
          <w:szCs w:val="24"/>
        </w:rPr>
        <w:t>, and Hispanic or Latino residents comprise the largest ethnic minority group, at 13.5% of the population. As of the 2021 data, the majority of Hispanic residents, 61%, reside in metro as opposed to rural counties, and disproportionately reside in the southern part of the state, with the greatest concentration of Hispanic residents living in Regions 3 and 7.</w:t>
      </w:r>
      <w:r w:rsidRPr="00C762FB">
        <w:rPr>
          <w:rFonts w:asciiTheme="minorHAnsi" w:hAnsiTheme="minorHAnsi" w:cstheme="minorHAnsi"/>
          <w:sz w:val="24"/>
          <w:szCs w:val="24"/>
        </w:rPr>
        <w:br/>
        <w:t xml:space="preserve">While Idaho has no racially or ethnically concentrated areas of poverty </w:t>
      </w:r>
      <w:r w:rsidR="6D12E0B6" w:rsidRPr="00C762FB">
        <w:rPr>
          <w:rFonts w:asciiTheme="minorHAnsi" w:hAnsiTheme="minorHAnsi" w:cstheme="minorHAnsi"/>
          <w:sz w:val="24"/>
          <w:szCs w:val="24"/>
        </w:rPr>
        <w:t>(</w:t>
      </w:r>
      <w:r w:rsidRPr="00C762FB">
        <w:rPr>
          <w:rFonts w:asciiTheme="minorHAnsi" w:hAnsiTheme="minorHAnsi" w:cstheme="minorHAnsi"/>
          <w:sz w:val="24"/>
          <w:szCs w:val="24"/>
        </w:rPr>
        <w:t>areas of very high poverty and racial and ethnic minorities</w:t>
      </w:r>
      <w:r w:rsidR="5CAB2EDB" w:rsidRPr="00C762FB">
        <w:rPr>
          <w:rFonts w:asciiTheme="minorHAnsi" w:hAnsiTheme="minorHAnsi" w:cstheme="minorHAnsi"/>
          <w:sz w:val="24"/>
          <w:szCs w:val="24"/>
        </w:rPr>
        <w:t>)</w:t>
      </w:r>
      <w:r w:rsidR="7B270814" w:rsidRPr="00C762FB">
        <w:rPr>
          <w:rFonts w:asciiTheme="minorHAnsi" w:hAnsiTheme="minorHAnsi" w:cstheme="minorHAnsi"/>
          <w:sz w:val="24"/>
          <w:szCs w:val="24"/>
        </w:rPr>
        <w:t>,</w:t>
      </w:r>
      <w:r w:rsidRPr="00C762FB">
        <w:rPr>
          <w:rFonts w:asciiTheme="minorHAnsi" w:hAnsiTheme="minorHAnsi" w:cstheme="minorHAnsi"/>
          <w:sz w:val="24"/>
          <w:szCs w:val="24"/>
        </w:rPr>
        <w:t xml:space="preserve"> there are neighborhoods with more than 50% non-white Hispanic residents and high rates of poverty (between 23-37%). These areas are found within and near cities in </w:t>
      </w:r>
      <w:proofErr w:type="gramStart"/>
      <w:r w:rsidRPr="00C762FB">
        <w:rPr>
          <w:rFonts w:asciiTheme="minorHAnsi" w:hAnsiTheme="minorHAnsi" w:cstheme="minorHAnsi"/>
          <w:sz w:val="24"/>
          <w:szCs w:val="24"/>
        </w:rPr>
        <w:t>Regions</w:t>
      </w:r>
      <w:proofErr w:type="gramEnd"/>
      <w:r w:rsidRPr="00C762FB">
        <w:rPr>
          <w:rFonts w:asciiTheme="minorHAnsi" w:hAnsiTheme="minorHAnsi" w:cstheme="minorHAnsi"/>
          <w:sz w:val="24"/>
          <w:szCs w:val="24"/>
        </w:rPr>
        <w:t xml:space="preserve"> 3, 4 and 5</w:t>
      </w:r>
      <w:r w:rsidR="51CDB5BE" w:rsidRPr="00C762FB">
        <w:rPr>
          <w:rFonts w:asciiTheme="minorHAnsi" w:hAnsiTheme="minorHAnsi" w:cstheme="minorHAnsi"/>
          <w:sz w:val="24"/>
          <w:szCs w:val="24"/>
        </w:rPr>
        <w:t>.</w:t>
      </w:r>
    </w:p>
    <w:p w14:paraId="0077D4C8" w14:textId="77777777" w:rsidR="009A2C2E" w:rsidRPr="00C762FB" w:rsidRDefault="009A2C2E" w:rsidP="009A2C2E">
      <w:pPr>
        <w:keepNext/>
        <w:widowControl w:val="0"/>
        <w:rPr>
          <w:rFonts w:asciiTheme="minorHAnsi" w:hAnsiTheme="minorHAnsi" w:cstheme="minorHAnsi"/>
          <w:b/>
          <w:sz w:val="24"/>
          <w:szCs w:val="24"/>
        </w:rPr>
      </w:pPr>
      <w:r w:rsidRPr="00C762FB">
        <w:rPr>
          <w:rFonts w:asciiTheme="minorHAnsi" w:hAnsiTheme="minorHAnsi" w:cstheme="minorHAnsi"/>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242"/>
      </w:tblGrid>
      <w:tr w:rsidR="009A2C2E" w:rsidRPr="00C762FB" w14:paraId="6809ADFF" w14:textId="77777777" w:rsidTr="00E53512">
        <w:trPr>
          <w:cantSplit/>
          <w:tblHeader/>
        </w:trPr>
        <w:tc>
          <w:tcPr>
            <w:tcW w:w="0" w:type="auto"/>
          </w:tcPr>
          <w:p w14:paraId="102A9F0D" w14:textId="77777777" w:rsidR="009A2C2E" w:rsidRPr="00C762FB" w:rsidRDefault="009A2C2E" w:rsidP="00E53512">
            <w:pPr>
              <w:keepNext/>
              <w:widowControl w:val="0"/>
              <w:spacing w:after="0" w:line="240" w:lineRule="auto"/>
              <w:jc w:val="center"/>
              <w:rPr>
                <w:rFonts w:asciiTheme="minorHAnsi" w:hAnsiTheme="minorHAnsi" w:cstheme="minorHAnsi"/>
                <w:b/>
                <w:sz w:val="24"/>
                <w:szCs w:val="24"/>
              </w:rPr>
            </w:pPr>
            <w:r w:rsidRPr="00C762FB">
              <w:rPr>
                <w:rFonts w:asciiTheme="minorHAnsi" w:hAnsiTheme="minorHAnsi" w:cstheme="minorHAnsi"/>
                <w:b/>
                <w:sz w:val="24"/>
                <w:szCs w:val="24"/>
              </w:rPr>
              <w:t>Target Area</w:t>
            </w:r>
          </w:p>
        </w:tc>
        <w:tc>
          <w:tcPr>
            <w:tcW w:w="0" w:type="auto"/>
          </w:tcPr>
          <w:p w14:paraId="4E247783" w14:textId="77777777" w:rsidR="009A2C2E" w:rsidRPr="00C762FB" w:rsidRDefault="009A2C2E" w:rsidP="00E53512">
            <w:pPr>
              <w:keepNext/>
              <w:widowControl w:val="0"/>
              <w:spacing w:after="0" w:line="240" w:lineRule="auto"/>
              <w:jc w:val="center"/>
              <w:rPr>
                <w:rFonts w:asciiTheme="minorHAnsi" w:hAnsiTheme="minorHAnsi" w:cstheme="minorHAnsi"/>
                <w:b/>
                <w:sz w:val="24"/>
                <w:szCs w:val="24"/>
              </w:rPr>
            </w:pPr>
            <w:r w:rsidRPr="00C762FB">
              <w:rPr>
                <w:rFonts w:asciiTheme="minorHAnsi" w:hAnsiTheme="minorHAnsi" w:cstheme="minorHAnsi"/>
                <w:b/>
                <w:sz w:val="24"/>
                <w:szCs w:val="24"/>
              </w:rPr>
              <w:t>Percentage of Funds</w:t>
            </w:r>
          </w:p>
        </w:tc>
      </w:tr>
      <w:tr w:rsidR="009A2C2E" w:rsidRPr="00C762FB" w14:paraId="7DA7B1E1" w14:textId="77777777" w:rsidTr="00E53512">
        <w:trPr>
          <w:cantSplit/>
          <w:tblHeader/>
        </w:trPr>
        <w:tc>
          <w:tcPr>
            <w:tcW w:w="0" w:type="auto"/>
          </w:tcPr>
          <w:p w14:paraId="56650A38" w14:textId="0E8D21E7" w:rsidR="009A2C2E" w:rsidRPr="00C762FB" w:rsidRDefault="00DA2F97" w:rsidP="00E53512">
            <w:pPr>
              <w:keepNext/>
              <w:widowControl w:val="0"/>
              <w:spacing w:after="0" w:line="240" w:lineRule="auto"/>
              <w:rPr>
                <w:rFonts w:asciiTheme="minorHAnsi" w:hAnsiTheme="minorHAnsi" w:cstheme="minorHAnsi"/>
                <w:sz w:val="24"/>
                <w:szCs w:val="24"/>
              </w:rPr>
            </w:pPr>
            <w:r>
              <w:rPr>
                <w:rFonts w:asciiTheme="minorHAnsi" w:hAnsiTheme="minorHAnsi" w:cstheme="minorHAnsi"/>
                <w:sz w:val="24"/>
                <w:szCs w:val="24"/>
              </w:rPr>
              <w:t>N/A</w:t>
            </w:r>
          </w:p>
        </w:tc>
        <w:tc>
          <w:tcPr>
            <w:tcW w:w="0" w:type="auto"/>
          </w:tcPr>
          <w:p w14:paraId="7D45E679" w14:textId="0DCA033A" w:rsidR="009A2C2E" w:rsidRPr="00DA2F97" w:rsidRDefault="00DA2F97" w:rsidP="00E53512">
            <w:pPr>
              <w:keepNext/>
              <w:widowControl w:val="0"/>
              <w:spacing w:after="0" w:line="240" w:lineRule="auto"/>
              <w:jc w:val="center"/>
              <w:rPr>
                <w:rFonts w:asciiTheme="minorHAnsi" w:hAnsiTheme="minorHAnsi" w:cstheme="minorHAnsi"/>
                <w:bCs/>
                <w:sz w:val="24"/>
                <w:szCs w:val="24"/>
              </w:rPr>
            </w:pPr>
            <w:r w:rsidRPr="00DA2F97">
              <w:rPr>
                <w:rFonts w:asciiTheme="minorHAnsi" w:hAnsiTheme="minorHAnsi" w:cstheme="minorHAnsi"/>
                <w:bCs/>
                <w:sz w:val="24"/>
                <w:szCs w:val="24"/>
              </w:rPr>
              <w:t>N/A</w:t>
            </w:r>
          </w:p>
        </w:tc>
      </w:tr>
    </w:tbl>
    <w:p w14:paraId="256003BE" w14:textId="77777777" w:rsidR="009A2C2E" w:rsidRPr="00C762FB" w:rsidRDefault="009A2C2E" w:rsidP="787E070B">
      <w:pPr>
        <w:pStyle w:val="Caption"/>
        <w:rPr>
          <w:rFonts w:asciiTheme="minorHAnsi" w:hAnsiTheme="minorHAnsi" w:cstheme="minorHAnsi"/>
          <w:sz w:val="24"/>
          <w:szCs w:val="24"/>
        </w:rPr>
      </w:pPr>
      <w:r w:rsidRPr="00C762FB">
        <w:rPr>
          <w:rFonts w:asciiTheme="minorHAnsi" w:hAnsiTheme="minorHAnsi" w:cstheme="minorHAnsi"/>
          <w:sz w:val="24"/>
          <w:szCs w:val="24"/>
        </w:rPr>
        <w:t xml:space="preserve">Table </w:t>
      </w:r>
      <w:r w:rsidRPr="00C762FB">
        <w:rPr>
          <w:rFonts w:asciiTheme="minorHAnsi" w:hAnsiTheme="minorHAnsi" w:cstheme="minorHAnsi"/>
          <w:sz w:val="24"/>
          <w:szCs w:val="24"/>
        </w:rPr>
        <w:fldChar w:fldCharType="begin"/>
      </w:r>
      <w:r w:rsidRPr="00C762FB">
        <w:rPr>
          <w:rFonts w:asciiTheme="minorHAnsi" w:hAnsiTheme="minorHAnsi" w:cstheme="minorHAnsi"/>
          <w:sz w:val="24"/>
          <w:szCs w:val="24"/>
        </w:rPr>
        <w:instrText xml:space="preserve"> SEQ Table \* ARABIC </w:instrText>
      </w:r>
      <w:r w:rsidRPr="00C762FB">
        <w:rPr>
          <w:rFonts w:asciiTheme="minorHAnsi" w:hAnsiTheme="minorHAnsi" w:cstheme="minorHAnsi"/>
          <w:sz w:val="24"/>
          <w:szCs w:val="24"/>
        </w:rPr>
        <w:fldChar w:fldCharType="separate"/>
      </w:r>
      <w:r w:rsidRPr="00C762FB">
        <w:rPr>
          <w:rFonts w:asciiTheme="minorHAnsi" w:hAnsiTheme="minorHAnsi" w:cstheme="minorHAnsi"/>
          <w:sz w:val="24"/>
          <w:szCs w:val="24"/>
        </w:rPr>
        <w:t>6</w:t>
      </w:r>
      <w:r w:rsidRPr="00C762FB">
        <w:rPr>
          <w:rFonts w:asciiTheme="minorHAnsi" w:hAnsiTheme="minorHAnsi" w:cstheme="minorHAnsi"/>
          <w:sz w:val="24"/>
          <w:szCs w:val="24"/>
        </w:rPr>
        <w:fldChar w:fldCharType="end"/>
      </w:r>
      <w:r w:rsidRPr="00C762FB">
        <w:rPr>
          <w:rFonts w:asciiTheme="minorHAnsi" w:hAnsiTheme="minorHAnsi" w:cstheme="minorHAnsi"/>
          <w:sz w:val="24"/>
          <w:szCs w:val="24"/>
        </w:rPr>
        <w:t xml:space="preserve"> - Geographic Distribution </w:t>
      </w:r>
    </w:p>
    <w:p w14:paraId="6F7C655D" w14:textId="77777777" w:rsidR="009A2C2E" w:rsidRPr="00C762FB" w:rsidRDefault="009A2C2E" w:rsidP="009A2C2E">
      <w:pPr>
        <w:spacing w:after="0" w:line="240" w:lineRule="auto"/>
        <w:rPr>
          <w:rFonts w:asciiTheme="minorHAnsi" w:hAnsiTheme="minorHAnsi" w:cstheme="minorHAnsi"/>
          <w:b/>
          <w:sz w:val="24"/>
          <w:szCs w:val="24"/>
        </w:rPr>
      </w:pPr>
    </w:p>
    <w:p w14:paraId="12499CB8" w14:textId="77777777" w:rsidR="009A2C2E" w:rsidRPr="00C762FB" w:rsidRDefault="009A2C2E" w:rsidP="009A2C2E">
      <w:pPr>
        <w:keepNext/>
        <w:widowControl w:val="0"/>
        <w:rPr>
          <w:rFonts w:asciiTheme="minorHAnsi" w:hAnsiTheme="minorHAnsi" w:cstheme="minorHAnsi"/>
          <w:b/>
          <w:sz w:val="24"/>
          <w:szCs w:val="24"/>
        </w:rPr>
      </w:pPr>
      <w:r w:rsidRPr="00C762FB">
        <w:rPr>
          <w:rFonts w:asciiTheme="minorHAnsi" w:hAnsiTheme="minorHAnsi" w:cstheme="minorHAnsi"/>
          <w:b/>
          <w:sz w:val="24"/>
          <w:szCs w:val="24"/>
        </w:rPr>
        <w:lastRenderedPageBreak/>
        <w:t xml:space="preserve">Rationale for the priorities for allocating investments geographically </w:t>
      </w:r>
    </w:p>
    <w:p w14:paraId="22A544F4" w14:textId="77777777" w:rsidR="00C762FB" w:rsidRPr="00C762FB" w:rsidRDefault="009A2C2E" w:rsidP="009A2C2E">
      <w:pPr>
        <w:keepNext/>
        <w:widowControl w:val="0"/>
        <w:spacing w:beforeAutospacing="1" w:afterAutospacing="1"/>
        <w:rPr>
          <w:rFonts w:asciiTheme="minorHAnsi" w:hAnsiTheme="minorHAnsi" w:cstheme="minorHAnsi"/>
          <w:sz w:val="24"/>
          <w:szCs w:val="24"/>
        </w:rPr>
      </w:pPr>
      <w:r w:rsidRPr="00C762FB">
        <w:rPr>
          <w:rFonts w:asciiTheme="minorHAnsi" w:hAnsiTheme="minorHAnsi" w:cstheme="minorHAnsi"/>
          <w:b/>
          <w:sz w:val="24"/>
          <w:szCs w:val="24"/>
        </w:rPr>
        <w:t>ESG -</w:t>
      </w:r>
      <w:r w:rsidRPr="00C762FB">
        <w:rPr>
          <w:rFonts w:asciiTheme="minorHAnsi" w:hAnsiTheme="minorHAnsi" w:cstheme="minorHAnsi"/>
          <w:sz w:val="24"/>
          <w:szCs w:val="24"/>
        </w:rPr>
        <w:t xml:space="preserve"> Funds are distributed across the seven regions through a competitive application process, as described in AP-30. Final awards are based on a total application score, of which 20% is based on regional need. The regional need formula is calculated using four, equally weighted factors: </w:t>
      </w:r>
      <w:r w:rsidRPr="00C762FB">
        <w:rPr>
          <w:rFonts w:asciiTheme="minorHAnsi" w:hAnsiTheme="minorHAnsi" w:cstheme="minorHAnsi"/>
          <w:sz w:val="24"/>
          <w:szCs w:val="24"/>
        </w:rPr>
        <w:br/>
        <w:t xml:space="preserve"> • Percentage of Idaho population </w:t>
      </w:r>
      <w:r w:rsidRPr="00C762FB">
        <w:rPr>
          <w:rFonts w:asciiTheme="minorHAnsi" w:hAnsiTheme="minorHAnsi" w:cstheme="minorHAnsi"/>
          <w:sz w:val="24"/>
          <w:szCs w:val="24"/>
        </w:rPr>
        <w:br/>
        <w:t xml:space="preserve"> • Median rent-to-income ratio</w:t>
      </w:r>
      <w:r w:rsidRPr="00C762FB">
        <w:rPr>
          <w:rFonts w:asciiTheme="minorHAnsi" w:hAnsiTheme="minorHAnsi" w:cstheme="minorHAnsi"/>
          <w:sz w:val="24"/>
          <w:szCs w:val="24"/>
        </w:rPr>
        <w:br/>
        <w:t xml:space="preserve"> • Percentage of population at or below poverty level</w:t>
      </w:r>
      <w:r w:rsidRPr="00C762FB">
        <w:rPr>
          <w:rFonts w:asciiTheme="minorHAnsi" w:hAnsiTheme="minorHAnsi" w:cstheme="minorHAnsi"/>
          <w:sz w:val="24"/>
          <w:szCs w:val="24"/>
        </w:rPr>
        <w:br/>
        <w:t xml:space="preserve"> • Number of individuals experiencing homelessness</w:t>
      </w:r>
      <w:r w:rsidRPr="00C762FB">
        <w:rPr>
          <w:rFonts w:asciiTheme="minorHAnsi" w:hAnsiTheme="minorHAnsi" w:cstheme="minorHAnsi"/>
          <w:sz w:val="24"/>
          <w:szCs w:val="24"/>
        </w:rPr>
        <w:br/>
        <w:t>The usage of this formula currently reveals the following need break-down (minus IHFA admin):</w:t>
      </w:r>
    </w:p>
    <w:p w14:paraId="7EFA1B43" w14:textId="77777777" w:rsidR="00C762FB" w:rsidRPr="00C762FB" w:rsidRDefault="009A2C2E" w:rsidP="009A2C2E">
      <w:pPr>
        <w:keepNext/>
        <w:widowControl w:val="0"/>
        <w:spacing w:beforeAutospacing="1" w:afterAutospacing="1"/>
        <w:rPr>
          <w:rFonts w:asciiTheme="minorHAnsi" w:hAnsiTheme="minorHAnsi" w:cstheme="minorHAnsi"/>
          <w:sz w:val="24"/>
          <w:szCs w:val="24"/>
        </w:rPr>
      </w:pPr>
      <w:r w:rsidRPr="00C762FB">
        <w:rPr>
          <w:rFonts w:asciiTheme="minorHAnsi" w:hAnsiTheme="minorHAnsi" w:cstheme="minorHAnsi"/>
          <w:sz w:val="24"/>
          <w:szCs w:val="24"/>
        </w:rPr>
        <w:t xml:space="preserve"> Region 1: 16% </w:t>
      </w:r>
      <w:r w:rsidRPr="00C762FB">
        <w:rPr>
          <w:rFonts w:asciiTheme="minorHAnsi" w:hAnsiTheme="minorHAnsi" w:cstheme="minorHAnsi"/>
          <w:sz w:val="24"/>
          <w:szCs w:val="24"/>
        </w:rPr>
        <w:br/>
        <w:t xml:space="preserve"> Region 2: 10% </w:t>
      </w:r>
      <w:r w:rsidRPr="00C762FB">
        <w:rPr>
          <w:rFonts w:asciiTheme="minorHAnsi" w:hAnsiTheme="minorHAnsi" w:cstheme="minorHAnsi"/>
          <w:sz w:val="24"/>
          <w:szCs w:val="24"/>
        </w:rPr>
        <w:br/>
        <w:t xml:space="preserve"> Region 3: 18% </w:t>
      </w:r>
      <w:r w:rsidRPr="00C762FB">
        <w:rPr>
          <w:rFonts w:asciiTheme="minorHAnsi" w:hAnsiTheme="minorHAnsi" w:cstheme="minorHAnsi"/>
          <w:sz w:val="24"/>
          <w:szCs w:val="24"/>
        </w:rPr>
        <w:br/>
        <w:t xml:space="preserve"> Region 4: 3% </w:t>
      </w:r>
      <w:r w:rsidRPr="00C762FB">
        <w:rPr>
          <w:rFonts w:asciiTheme="minorHAnsi" w:hAnsiTheme="minorHAnsi" w:cstheme="minorHAnsi"/>
          <w:sz w:val="24"/>
          <w:szCs w:val="24"/>
        </w:rPr>
        <w:br/>
        <w:t xml:space="preserve"> Region 5: 15% </w:t>
      </w:r>
      <w:r w:rsidRPr="00C762FB">
        <w:rPr>
          <w:rFonts w:asciiTheme="minorHAnsi" w:hAnsiTheme="minorHAnsi" w:cstheme="minorHAnsi"/>
          <w:sz w:val="24"/>
          <w:szCs w:val="24"/>
        </w:rPr>
        <w:br/>
        <w:t xml:space="preserve"> Region 6: 3% </w:t>
      </w:r>
      <w:r w:rsidRPr="00C762FB">
        <w:rPr>
          <w:rFonts w:asciiTheme="minorHAnsi" w:hAnsiTheme="minorHAnsi" w:cstheme="minorHAnsi"/>
          <w:sz w:val="24"/>
          <w:szCs w:val="24"/>
        </w:rPr>
        <w:br/>
        <w:t xml:space="preserve"> Region 7: 20%</w:t>
      </w:r>
    </w:p>
    <w:p w14:paraId="2D0E031B" w14:textId="6B3C7539" w:rsidR="009A2C2E" w:rsidRPr="00C762FB" w:rsidRDefault="009A2C2E" w:rsidP="009A2C2E">
      <w:pPr>
        <w:keepNext/>
        <w:widowControl w:val="0"/>
        <w:spacing w:beforeAutospacing="1" w:afterAutospacing="1"/>
        <w:rPr>
          <w:rFonts w:asciiTheme="minorHAnsi" w:hAnsiTheme="minorHAnsi" w:cstheme="minorHAnsi"/>
          <w:sz w:val="24"/>
          <w:szCs w:val="24"/>
        </w:rPr>
      </w:pPr>
      <w:r w:rsidRPr="00C762FB">
        <w:rPr>
          <w:rFonts w:asciiTheme="minorHAnsi" w:hAnsiTheme="minorHAnsi" w:cstheme="minorHAnsi"/>
          <w:sz w:val="24"/>
          <w:szCs w:val="24"/>
        </w:rPr>
        <w:t>Because there are other factors considered during the award allocation, there is a slight (up to 8%) variance between the regional need and regional allocation.</w:t>
      </w:r>
    </w:p>
    <w:p w14:paraId="0D99E87F" w14:textId="77777777" w:rsidR="009A2C2E" w:rsidRPr="00C762FB" w:rsidRDefault="009A2C2E" w:rsidP="009A2C2E">
      <w:pPr>
        <w:keepNext/>
        <w:widowControl w:val="0"/>
        <w:spacing w:line="204" w:lineRule="auto"/>
        <w:rPr>
          <w:rFonts w:asciiTheme="minorHAnsi" w:hAnsiTheme="minorHAnsi" w:cstheme="minorHAnsi"/>
          <w:b/>
          <w:sz w:val="24"/>
          <w:szCs w:val="24"/>
        </w:rPr>
      </w:pPr>
      <w:r w:rsidRPr="00C762FB">
        <w:rPr>
          <w:rFonts w:asciiTheme="minorHAnsi" w:hAnsiTheme="minorHAnsi" w:cstheme="minorHAnsi"/>
          <w:b/>
          <w:sz w:val="24"/>
          <w:szCs w:val="24"/>
        </w:rPr>
        <w:t>Discussion</w:t>
      </w:r>
    </w:p>
    <w:p w14:paraId="647900C3" w14:textId="69755A17" w:rsidR="009A2C2E" w:rsidRPr="00C762FB" w:rsidRDefault="00C762FB" w:rsidP="009A2C2E">
      <w:pPr>
        <w:keepNext/>
        <w:widowControl w:val="0"/>
        <w:spacing w:beforeAutospacing="1" w:afterAutospacing="1"/>
        <w:rPr>
          <w:rFonts w:asciiTheme="minorHAnsi" w:hAnsiTheme="minorHAnsi" w:cstheme="minorHAnsi"/>
          <w:b/>
          <w:sz w:val="24"/>
          <w:szCs w:val="24"/>
        </w:rPr>
      </w:pPr>
      <w:r w:rsidRPr="00C762FB">
        <w:rPr>
          <w:rFonts w:asciiTheme="minorHAnsi" w:hAnsiTheme="minorHAnsi" w:cstheme="minorHAnsi"/>
          <w:sz w:val="24"/>
          <w:szCs w:val="24"/>
        </w:rPr>
        <w:t>None.</w:t>
      </w:r>
    </w:p>
    <w:p w14:paraId="111F34A0" w14:textId="77777777" w:rsidR="009A2C2E" w:rsidRDefault="009A2C2E" w:rsidP="009A2C2E">
      <w:pPr>
        <w:rPr>
          <w:rFonts w:cs="Arial"/>
        </w:rPr>
      </w:pPr>
    </w:p>
    <w:p w14:paraId="7532944C" w14:textId="77777777" w:rsidR="009A2C2E" w:rsidRDefault="009A2C2E" w:rsidP="009A2C2E">
      <w:pPr>
        <w:pStyle w:val="Heading1"/>
        <w:pageBreakBefore/>
        <w:jc w:val="center"/>
        <w:rPr>
          <w:rFonts w:ascii="Calibri" w:hAnsi="Calibri"/>
          <w:color w:val="auto"/>
          <w:sz w:val="32"/>
          <w:szCs w:val="32"/>
        </w:rPr>
      </w:pPr>
      <w:bookmarkStart w:id="132" w:name="_Toc191358758"/>
      <w:bookmarkStart w:id="133" w:name="_Toc194673882"/>
      <w:r>
        <w:rPr>
          <w:rFonts w:ascii="Calibri" w:hAnsi="Calibri"/>
          <w:color w:val="auto"/>
          <w:sz w:val="32"/>
          <w:szCs w:val="32"/>
        </w:rPr>
        <w:lastRenderedPageBreak/>
        <w:t>Affordable Housing</w:t>
      </w:r>
      <w:bookmarkEnd w:id="132"/>
      <w:bookmarkEnd w:id="133"/>
      <w:r>
        <w:rPr>
          <w:rFonts w:ascii="Calibri" w:hAnsi="Calibri"/>
          <w:color w:val="auto"/>
          <w:sz w:val="32"/>
          <w:szCs w:val="32"/>
        </w:rPr>
        <w:t xml:space="preserve"> </w:t>
      </w:r>
    </w:p>
    <w:p w14:paraId="30700DF6" w14:textId="77777777" w:rsidR="009A2C2E" w:rsidRDefault="009A2C2E" w:rsidP="009A2C2E">
      <w:pPr>
        <w:pStyle w:val="Heading2"/>
        <w:widowControl w:val="0"/>
        <w:rPr>
          <w:rFonts w:ascii="Calibri" w:hAnsi="Calibri"/>
          <w:i/>
        </w:rPr>
      </w:pPr>
      <w:bookmarkStart w:id="134" w:name="_Toc191358759"/>
      <w:bookmarkStart w:id="135" w:name="_Toc194673883"/>
      <w:r>
        <w:rPr>
          <w:rFonts w:ascii="Calibri" w:hAnsi="Calibri"/>
        </w:rPr>
        <w:t>AP-55 Affordable Housing – 24 CFR 91.320(g)</w:t>
      </w:r>
      <w:bookmarkEnd w:id="134"/>
      <w:bookmarkEnd w:id="135"/>
    </w:p>
    <w:p w14:paraId="55D47500" w14:textId="77777777" w:rsidR="009A2C2E" w:rsidRDefault="009A2C2E" w:rsidP="009A2C2E">
      <w:pPr>
        <w:keepNext/>
        <w:widowControl w:val="0"/>
        <w:spacing w:line="204" w:lineRule="auto"/>
        <w:rPr>
          <w:b/>
          <w:sz w:val="28"/>
          <w:szCs w:val="28"/>
        </w:rPr>
      </w:pPr>
      <w:r>
        <w:rPr>
          <w:b/>
          <w:sz w:val="24"/>
          <w:szCs w:val="24"/>
        </w:rPr>
        <w:t xml:space="preserve">Introduction: </w:t>
      </w:r>
    </w:p>
    <w:p w14:paraId="52996AA6" w14:textId="7712CB8C" w:rsidR="009A2C2E" w:rsidRPr="00C762FB" w:rsidRDefault="009A2C2E" w:rsidP="00DA2F97">
      <w:pPr>
        <w:keepNext/>
        <w:widowControl w:val="0"/>
        <w:spacing w:beforeAutospacing="1" w:afterAutospacing="1"/>
        <w:jc w:val="both"/>
        <w:rPr>
          <w:b/>
          <w:sz w:val="24"/>
          <w:szCs w:val="24"/>
        </w:rPr>
      </w:pPr>
      <w:r w:rsidRPr="00C762FB">
        <w:rPr>
          <w:sz w:val="24"/>
          <w:szCs w:val="24"/>
        </w:rPr>
        <w:t>The numbers below will reflect the one</w:t>
      </w:r>
      <w:r w:rsidR="003D336B" w:rsidRPr="00C762FB">
        <w:rPr>
          <w:sz w:val="24"/>
          <w:szCs w:val="24"/>
        </w:rPr>
        <w:t>-</w:t>
      </w:r>
      <w:r w:rsidRPr="00C762FB">
        <w:rPr>
          <w:sz w:val="24"/>
          <w:szCs w:val="24"/>
        </w:rPr>
        <w:t xml:space="preserve">year goals for the provision of affordable housing to benefit low, very low, and extremely low-income families and individuals through the State of Idaho's HOME and HTF Programs. Goals will be based on final allocation amounts and the annual per unit subsidy limits that are available at https://www.idahohousing.com/federal-programs/home-program/. IHFA expects HOME to apply </w:t>
      </w:r>
      <w:r w:rsidR="00FB1FA9" w:rsidRPr="00C762FB">
        <w:rPr>
          <w:sz w:val="24"/>
          <w:szCs w:val="24"/>
          <w:shd w:val="clear" w:color="auto" w:fill="FFFFFF" w:themeFill="background1"/>
        </w:rPr>
        <w:t>90</w:t>
      </w:r>
      <w:r w:rsidRPr="00C762FB">
        <w:rPr>
          <w:sz w:val="24"/>
          <w:szCs w:val="24"/>
          <w:shd w:val="clear" w:color="auto" w:fill="FFFFFF" w:themeFill="background1"/>
        </w:rPr>
        <w:t>%</w:t>
      </w:r>
      <w:r w:rsidRPr="00C762FB">
        <w:rPr>
          <w:sz w:val="24"/>
          <w:szCs w:val="24"/>
        </w:rPr>
        <w:t xml:space="preserve"> of the awarded allocation</w:t>
      </w:r>
      <w:r w:rsidR="00FB1FA9" w:rsidRPr="00C762FB">
        <w:rPr>
          <w:sz w:val="24"/>
          <w:szCs w:val="24"/>
        </w:rPr>
        <w:t xml:space="preserve"> for downpayment assistance/closing costs</w:t>
      </w:r>
      <w:r w:rsidRPr="00C762FB">
        <w:rPr>
          <w:sz w:val="24"/>
          <w:szCs w:val="24"/>
        </w:rPr>
        <w:t xml:space="preserve"> and </w:t>
      </w:r>
      <w:r w:rsidR="00FB1FA9" w:rsidRPr="00C762FB">
        <w:rPr>
          <w:sz w:val="24"/>
          <w:szCs w:val="24"/>
        </w:rPr>
        <w:t>10</w:t>
      </w:r>
      <w:r w:rsidRPr="00C762FB">
        <w:rPr>
          <w:sz w:val="24"/>
          <w:szCs w:val="24"/>
        </w:rPr>
        <w:t>0% of receipted 2024</w:t>
      </w:r>
      <w:r w:rsidR="003D336B" w:rsidRPr="00C762FB">
        <w:rPr>
          <w:sz w:val="24"/>
          <w:szCs w:val="24"/>
        </w:rPr>
        <w:t xml:space="preserve"> </w:t>
      </w:r>
      <w:r w:rsidRPr="00C762FB">
        <w:rPr>
          <w:sz w:val="24"/>
          <w:szCs w:val="24"/>
        </w:rPr>
        <w:t>Program income</w:t>
      </w:r>
      <w:r w:rsidR="00FB1FA9" w:rsidRPr="00C762FB">
        <w:rPr>
          <w:sz w:val="24"/>
          <w:szCs w:val="24"/>
        </w:rPr>
        <w:t xml:space="preserve"> for multi-family rental housing construction</w:t>
      </w:r>
      <w:r w:rsidRPr="00C762FB">
        <w:rPr>
          <w:sz w:val="24"/>
          <w:szCs w:val="24"/>
        </w:rPr>
        <w:t>, and 90% of the HTF allocation on housing projects. That amount will then be used based on allocation priorities. </w:t>
      </w:r>
      <w:r w:rsidRPr="00C762FB">
        <w:rPr>
          <w:sz w:val="24"/>
          <w:szCs w:val="24"/>
        </w:rPr>
        <w:br/>
      </w:r>
      <w:r w:rsidRPr="00C762FB">
        <w:rPr>
          <w:sz w:val="24"/>
          <w:szCs w:val="24"/>
        </w:rPr>
        <w:br/>
        <w:t xml:space="preserve">ESG's goal of </w:t>
      </w:r>
      <w:r w:rsidR="003D336B" w:rsidRPr="00C762FB">
        <w:rPr>
          <w:sz w:val="24"/>
          <w:szCs w:val="24"/>
        </w:rPr>
        <w:t>220</w:t>
      </w:r>
      <w:r w:rsidRPr="00C762FB">
        <w:rPr>
          <w:sz w:val="24"/>
          <w:szCs w:val="24"/>
        </w:rPr>
        <w:t xml:space="preserve"> individuals for Homeless and Rental Assistance in the tables above corresponds with the number of individuals assisted with ESG TBRA. HOME/HTF will construct</w:t>
      </w:r>
      <w:r w:rsidR="003D336B" w:rsidRPr="00C762FB">
        <w:rPr>
          <w:sz w:val="24"/>
          <w:szCs w:val="24"/>
        </w:rPr>
        <w:t xml:space="preserve"> 30</w:t>
      </w:r>
      <w:r w:rsidRPr="00C762FB">
        <w:rPr>
          <w:sz w:val="24"/>
          <w:szCs w:val="24"/>
        </w:rPr>
        <w:t xml:space="preserve"> units of housing and assist </w:t>
      </w:r>
      <w:r w:rsidR="003D336B" w:rsidRPr="00C762FB">
        <w:rPr>
          <w:sz w:val="24"/>
          <w:szCs w:val="24"/>
        </w:rPr>
        <w:t>25</w:t>
      </w:r>
      <w:r w:rsidRPr="00C762FB">
        <w:rPr>
          <w:sz w:val="24"/>
          <w:szCs w:val="24"/>
        </w:rPr>
        <w:t xml:space="preserve"> households with financial assistance to purchase a single</w:t>
      </w:r>
      <w:r w:rsidR="003D336B" w:rsidRPr="00C762FB">
        <w:rPr>
          <w:sz w:val="24"/>
          <w:szCs w:val="24"/>
        </w:rPr>
        <w:t>-</w:t>
      </w:r>
      <w:r w:rsidRPr="00C762FB">
        <w:rPr>
          <w:sz w:val="24"/>
          <w:szCs w:val="24"/>
        </w:rPr>
        <w:t>family housing unit.</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A2C2E" w14:paraId="45BFE19D" w14:textId="77777777" w:rsidTr="00E53512">
        <w:trPr>
          <w:cantSplit/>
          <w:tblHeader/>
        </w:trPr>
        <w:tc>
          <w:tcPr>
            <w:tcW w:w="6473" w:type="dxa"/>
            <w:gridSpan w:val="2"/>
          </w:tcPr>
          <w:p w14:paraId="629D407D" w14:textId="77777777" w:rsidR="009A2C2E" w:rsidRDefault="009A2C2E" w:rsidP="00E53512">
            <w:pPr>
              <w:keepNext/>
              <w:widowControl w:val="0"/>
              <w:spacing w:after="0" w:line="240" w:lineRule="auto"/>
              <w:jc w:val="center"/>
              <w:rPr>
                <w:b/>
                <w:szCs w:val="24"/>
              </w:rPr>
            </w:pPr>
            <w:r>
              <w:rPr>
                <w:b/>
              </w:rPr>
              <w:t>One Year Goals for the Number of Households to be Supported</w:t>
            </w:r>
          </w:p>
        </w:tc>
      </w:tr>
      <w:tr w:rsidR="009A2C2E" w14:paraId="75761774" w14:textId="77777777" w:rsidTr="00E53512">
        <w:trPr>
          <w:cantSplit/>
        </w:trPr>
        <w:tc>
          <w:tcPr>
            <w:tcW w:w="4853" w:type="dxa"/>
            <w:tcBorders>
              <w:top w:val="nil"/>
              <w:bottom w:val="nil"/>
            </w:tcBorders>
            <w:vAlign w:val="bottom"/>
          </w:tcPr>
          <w:p w14:paraId="6D3F1495" w14:textId="77777777" w:rsidR="009A2C2E" w:rsidRDefault="009A2C2E" w:rsidP="00E53512">
            <w:pPr>
              <w:spacing w:beforeAutospacing="1" w:afterAutospacing="1"/>
            </w:pPr>
            <w:r>
              <w:rPr>
                <w:color w:val="000000"/>
              </w:rPr>
              <w:t>Homeless</w:t>
            </w:r>
          </w:p>
        </w:tc>
        <w:tc>
          <w:tcPr>
            <w:tcW w:w="1620" w:type="dxa"/>
            <w:tcBorders>
              <w:top w:val="nil"/>
              <w:bottom w:val="nil"/>
            </w:tcBorders>
            <w:vAlign w:val="bottom"/>
          </w:tcPr>
          <w:p w14:paraId="28057C16" w14:textId="275CEFCC" w:rsidR="009A2C2E" w:rsidRDefault="003D336B" w:rsidP="00E53512">
            <w:pPr>
              <w:spacing w:beforeAutospacing="1" w:afterAutospacing="1"/>
              <w:jc w:val="right"/>
            </w:pPr>
            <w:r>
              <w:t>220</w:t>
            </w:r>
          </w:p>
        </w:tc>
      </w:tr>
      <w:tr w:rsidR="009A2C2E" w14:paraId="7E111520" w14:textId="77777777" w:rsidTr="00E53512">
        <w:trPr>
          <w:cantSplit/>
        </w:trPr>
        <w:tc>
          <w:tcPr>
            <w:tcW w:w="4853" w:type="dxa"/>
            <w:tcBorders>
              <w:top w:val="nil"/>
              <w:bottom w:val="nil"/>
            </w:tcBorders>
            <w:vAlign w:val="bottom"/>
          </w:tcPr>
          <w:p w14:paraId="4E6EB793" w14:textId="77777777" w:rsidR="009A2C2E" w:rsidRDefault="009A2C2E" w:rsidP="00E53512">
            <w:pPr>
              <w:spacing w:beforeAutospacing="1" w:afterAutospacing="1"/>
            </w:pPr>
            <w:r>
              <w:rPr>
                <w:color w:val="000000"/>
              </w:rPr>
              <w:t>Non-Homeless</w:t>
            </w:r>
          </w:p>
        </w:tc>
        <w:tc>
          <w:tcPr>
            <w:tcW w:w="1620" w:type="dxa"/>
            <w:tcBorders>
              <w:top w:val="nil"/>
              <w:bottom w:val="nil"/>
            </w:tcBorders>
            <w:vAlign w:val="bottom"/>
          </w:tcPr>
          <w:p w14:paraId="088554C1" w14:textId="61D33453" w:rsidR="009A2C2E" w:rsidRDefault="003D336B" w:rsidP="00E53512">
            <w:pPr>
              <w:spacing w:beforeAutospacing="1" w:afterAutospacing="1"/>
              <w:jc w:val="right"/>
            </w:pPr>
            <w:r>
              <w:t>55</w:t>
            </w:r>
          </w:p>
        </w:tc>
      </w:tr>
      <w:tr w:rsidR="009A2C2E" w14:paraId="1D404E5D" w14:textId="77777777" w:rsidTr="00E53512">
        <w:trPr>
          <w:cantSplit/>
        </w:trPr>
        <w:tc>
          <w:tcPr>
            <w:tcW w:w="4853" w:type="dxa"/>
            <w:tcBorders>
              <w:top w:val="nil"/>
              <w:bottom w:val="nil"/>
            </w:tcBorders>
            <w:vAlign w:val="bottom"/>
          </w:tcPr>
          <w:p w14:paraId="7064627C" w14:textId="77777777" w:rsidR="009A2C2E" w:rsidRDefault="009A2C2E" w:rsidP="00E53512">
            <w:pPr>
              <w:spacing w:beforeAutospacing="1" w:afterAutospacing="1"/>
            </w:pPr>
            <w:r>
              <w:rPr>
                <w:color w:val="000000"/>
              </w:rPr>
              <w:t>Special-Needs</w:t>
            </w:r>
          </w:p>
        </w:tc>
        <w:tc>
          <w:tcPr>
            <w:tcW w:w="1620" w:type="dxa"/>
            <w:tcBorders>
              <w:top w:val="nil"/>
              <w:bottom w:val="nil"/>
            </w:tcBorders>
            <w:vAlign w:val="bottom"/>
          </w:tcPr>
          <w:p w14:paraId="5623249C" w14:textId="7E8B36D4" w:rsidR="009A2C2E" w:rsidRDefault="003D336B" w:rsidP="00E53512">
            <w:pPr>
              <w:spacing w:beforeAutospacing="1" w:afterAutospacing="1"/>
              <w:jc w:val="right"/>
            </w:pPr>
            <w:r>
              <w:t>0</w:t>
            </w:r>
          </w:p>
        </w:tc>
      </w:tr>
      <w:tr w:rsidR="009A2C2E" w14:paraId="79257BC0" w14:textId="77777777" w:rsidTr="00E53512">
        <w:trPr>
          <w:cantSplit/>
        </w:trPr>
        <w:tc>
          <w:tcPr>
            <w:tcW w:w="4853" w:type="dxa"/>
            <w:tcBorders>
              <w:top w:val="nil"/>
              <w:bottom w:val="nil"/>
            </w:tcBorders>
            <w:vAlign w:val="bottom"/>
          </w:tcPr>
          <w:p w14:paraId="470B0985" w14:textId="77777777" w:rsidR="009A2C2E" w:rsidRDefault="009A2C2E" w:rsidP="00E53512">
            <w:pPr>
              <w:spacing w:beforeAutospacing="1" w:afterAutospacing="1"/>
            </w:pPr>
            <w:r>
              <w:rPr>
                <w:color w:val="000000"/>
              </w:rPr>
              <w:t>Total</w:t>
            </w:r>
          </w:p>
        </w:tc>
        <w:tc>
          <w:tcPr>
            <w:tcW w:w="1620" w:type="dxa"/>
            <w:tcBorders>
              <w:top w:val="nil"/>
              <w:bottom w:val="nil"/>
            </w:tcBorders>
            <w:vAlign w:val="bottom"/>
          </w:tcPr>
          <w:p w14:paraId="0D7914F4" w14:textId="605A897C" w:rsidR="009A2C2E" w:rsidRDefault="003D336B" w:rsidP="00E53512">
            <w:pPr>
              <w:spacing w:beforeAutospacing="1" w:afterAutospacing="1"/>
              <w:jc w:val="right"/>
            </w:pPr>
            <w:r>
              <w:t>275</w:t>
            </w:r>
          </w:p>
        </w:tc>
      </w:tr>
    </w:tbl>
    <w:p w14:paraId="2E096DE9" w14:textId="77777777" w:rsidR="009A2C2E" w:rsidRDefault="009A2C2E" w:rsidP="009A2C2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One Year Goals for Affordable Housing by Support Requirement</w:t>
      </w:r>
    </w:p>
    <w:p w14:paraId="3ACA528B" w14:textId="77777777" w:rsidR="009A2C2E" w:rsidRDefault="009A2C2E" w:rsidP="009A2C2E">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9A2C2E" w14:paraId="2D181B33" w14:textId="77777777" w:rsidTr="00E53512">
        <w:trPr>
          <w:cantSplit/>
          <w:tblHeader/>
        </w:trPr>
        <w:tc>
          <w:tcPr>
            <w:tcW w:w="6473" w:type="dxa"/>
            <w:gridSpan w:val="2"/>
          </w:tcPr>
          <w:p w14:paraId="7ECD8299" w14:textId="77777777" w:rsidR="009A2C2E" w:rsidRDefault="009A2C2E" w:rsidP="00E53512">
            <w:pPr>
              <w:keepNext/>
              <w:widowControl w:val="0"/>
              <w:spacing w:after="0" w:line="240" w:lineRule="auto"/>
              <w:jc w:val="center"/>
              <w:rPr>
                <w:b/>
                <w:szCs w:val="24"/>
              </w:rPr>
            </w:pPr>
            <w:r>
              <w:rPr>
                <w:b/>
              </w:rPr>
              <w:t>One Year Goals for the Number of Households Supported Through</w:t>
            </w:r>
          </w:p>
        </w:tc>
      </w:tr>
      <w:tr w:rsidR="009A2C2E" w14:paraId="1197D25B" w14:textId="77777777" w:rsidTr="00E53512">
        <w:trPr>
          <w:cantSplit/>
        </w:trPr>
        <w:tc>
          <w:tcPr>
            <w:tcW w:w="4853" w:type="dxa"/>
            <w:tcBorders>
              <w:top w:val="nil"/>
              <w:bottom w:val="nil"/>
            </w:tcBorders>
            <w:vAlign w:val="bottom"/>
          </w:tcPr>
          <w:p w14:paraId="10D8317F" w14:textId="77777777" w:rsidR="009A2C2E" w:rsidRDefault="009A2C2E" w:rsidP="00E53512">
            <w:pPr>
              <w:spacing w:beforeAutospacing="1" w:afterAutospacing="1"/>
            </w:pPr>
            <w:r>
              <w:rPr>
                <w:color w:val="000000"/>
              </w:rPr>
              <w:t>Rental Assistance</w:t>
            </w:r>
          </w:p>
        </w:tc>
        <w:tc>
          <w:tcPr>
            <w:tcW w:w="1620" w:type="dxa"/>
            <w:tcBorders>
              <w:top w:val="nil"/>
              <w:bottom w:val="nil"/>
            </w:tcBorders>
            <w:vAlign w:val="bottom"/>
          </w:tcPr>
          <w:p w14:paraId="50EF90EE" w14:textId="254F7847" w:rsidR="009A2C2E" w:rsidRDefault="003D336B" w:rsidP="00E53512">
            <w:pPr>
              <w:spacing w:beforeAutospacing="1" w:afterAutospacing="1"/>
              <w:jc w:val="right"/>
            </w:pPr>
            <w:r>
              <w:t>220</w:t>
            </w:r>
          </w:p>
        </w:tc>
      </w:tr>
      <w:tr w:rsidR="009A2C2E" w14:paraId="0DB763D6" w14:textId="77777777" w:rsidTr="00E53512">
        <w:trPr>
          <w:cantSplit/>
        </w:trPr>
        <w:tc>
          <w:tcPr>
            <w:tcW w:w="4853" w:type="dxa"/>
            <w:tcBorders>
              <w:top w:val="nil"/>
              <w:bottom w:val="nil"/>
            </w:tcBorders>
            <w:vAlign w:val="bottom"/>
          </w:tcPr>
          <w:p w14:paraId="086DA303" w14:textId="77777777" w:rsidR="009A2C2E" w:rsidRDefault="009A2C2E" w:rsidP="00E53512">
            <w:pPr>
              <w:spacing w:beforeAutospacing="1" w:afterAutospacing="1"/>
            </w:pPr>
            <w:r>
              <w:rPr>
                <w:color w:val="000000"/>
              </w:rPr>
              <w:t>The Production of New Units</w:t>
            </w:r>
          </w:p>
        </w:tc>
        <w:tc>
          <w:tcPr>
            <w:tcW w:w="1620" w:type="dxa"/>
            <w:tcBorders>
              <w:top w:val="nil"/>
              <w:bottom w:val="nil"/>
            </w:tcBorders>
            <w:vAlign w:val="bottom"/>
          </w:tcPr>
          <w:p w14:paraId="7113552C" w14:textId="6C80ED4F" w:rsidR="009A2C2E" w:rsidRDefault="003D336B" w:rsidP="00E53512">
            <w:pPr>
              <w:spacing w:beforeAutospacing="1" w:afterAutospacing="1"/>
              <w:jc w:val="right"/>
            </w:pPr>
            <w:r>
              <w:t>30</w:t>
            </w:r>
          </w:p>
        </w:tc>
      </w:tr>
      <w:tr w:rsidR="009A2C2E" w14:paraId="4497A388" w14:textId="77777777" w:rsidTr="00E53512">
        <w:trPr>
          <w:cantSplit/>
        </w:trPr>
        <w:tc>
          <w:tcPr>
            <w:tcW w:w="4853" w:type="dxa"/>
            <w:tcBorders>
              <w:top w:val="nil"/>
              <w:bottom w:val="nil"/>
            </w:tcBorders>
            <w:vAlign w:val="bottom"/>
          </w:tcPr>
          <w:p w14:paraId="4F7DBD1E" w14:textId="77777777" w:rsidR="009A2C2E" w:rsidRDefault="009A2C2E" w:rsidP="00E53512">
            <w:pPr>
              <w:spacing w:beforeAutospacing="1" w:afterAutospacing="1"/>
            </w:pPr>
            <w:r>
              <w:rPr>
                <w:color w:val="000000"/>
              </w:rPr>
              <w:t>Rehab of Existing Units</w:t>
            </w:r>
          </w:p>
        </w:tc>
        <w:tc>
          <w:tcPr>
            <w:tcW w:w="1620" w:type="dxa"/>
            <w:tcBorders>
              <w:top w:val="nil"/>
              <w:bottom w:val="nil"/>
            </w:tcBorders>
            <w:vAlign w:val="bottom"/>
          </w:tcPr>
          <w:p w14:paraId="25CD0077" w14:textId="77777777" w:rsidR="009A2C2E" w:rsidRDefault="009A2C2E" w:rsidP="00E53512">
            <w:pPr>
              <w:spacing w:beforeAutospacing="1" w:afterAutospacing="1"/>
              <w:jc w:val="right"/>
            </w:pPr>
          </w:p>
        </w:tc>
      </w:tr>
      <w:tr w:rsidR="009A2C2E" w14:paraId="55D777BA" w14:textId="77777777" w:rsidTr="00E53512">
        <w:trPr>
          <w:cantSplit/>
        </w:trPr>
        <w:tc>
          <w:tcPr>
            <w:tcW w:w="4853" w:type="dxa"/>
            <w:tcBorders>
              <w:top w:val="nil"/>
              <w:bottom w:val="nil"/>
            </w:tcBorders>
            <w:vAlign w:val="bottom"/>
          </w:tcPr>
          <w:p w14:paraId="08696B21" w14:textId="77777777" w:rsidR="009A2C2E" w:rsidRDefault="009A2C2E" w:rsidP="00E53512">
            <w:pPr>
              <w:spacing w:beforeAutospacing="1" w:afterAutospacing="1"/>
            </w:pPr>
            <w:r>
              <w:rPr>
                <w:color w:val="000000"/>
              </w:rPr>
              <w:t>Acquisition of Existing Units</w:t>
            </w:r>
          </w:p>
        </w:tc>
        <w:tc>
          <w:tcPr>
            <w:tcW w:w="1620" w:type="dxa"/>
            <w:tcBorders>
              <w:top w:val="nil"/>
              <w:bottom w:val="nil"/>
            </w:tcBorders>
            <w:vAlign w:val="bottom"/>
          </w:tcPr>
          <w:p w14:paraId="4F3F98D8" w14:textId="52DF28B0" w:rsidR="009A2C2E" w:rsidRDefault="003D336B" w:rsidP="00E53512">
            <w:pPr>
              <w:spacing w:beforeAutospacing="1" w:afterAutospacing="1"/>
              <w:jc w:val="right"/>
            </w:pPr>
            <w:r>
              <w:t>25</w:t>
            </w:r>
          </w:p>
        </w:tc>
      </w:tr>
      <w:tr w:rsidR="009A2C2E" w14:paraId="5EC02937" w14:textId="77777777" w:rsidTr="00E53512">
        <w:trPr>
          <w:cantSplit/>
        </w:trPr>
        <w:tc>
          <w:tcPr>
            <w:tcW w:w="4853" w:type="dxa"/>
            <w:tcBorders>
              <w:top w:val="nil"/>
              <w:bottom w:val="nil"/>
            </w:tcBorders>
            <w:vAlign w:val="bottom"/>
          </w:tcPr>
          <w:p w14:paraId="4618EB91" w14:textId="77777777" w:rsidR="009A2C2E" w:rsidRDefault="009A2C2E" w:rsidP="00E53512">
            <w:pPr>
              <w:spacing w:beforeAutospacing="1" w:afterAutospacing="1"/>
            </w:pPr>
            <w:r>
              <w:rPr>
                <w:color w:val="000000"/>
              </w:rPr>
              <w:t>Total</w:t>
            </w:r>
          </w:p>
        </w:tc>
        <w:tc>
          <w:tcPr>
            <w:tcW w:w="1620" w:type="dxa"/>
            <w:tcBorders>
              <w:top w:val="nil"/>
              <w:bottom w:val="nil"/>
            </w:tcBorders>
            <w:vAlign w:val="bottom"/>
          </w:tcPr>
          <w:p w14:paraId="45120114" w14:textId="546F1501" w:rsidR="009A2C2E" w:rsidRDefault="003D336B" w:rsidP="00E53512">
            <w:pPr>
              <w:spacing w:beforeAutospacing="1" w:afterAutospacing="1"/>
              <w:jc w:val="right"/>
            </w:pPr>
            <w:r>
              <w:t>275</w:t>
            </w:r>
          </w:p>
        </w:tc>
      </w:tr>
    </w:tbl>
    <w:p w14:paraId="0CFA11BA" w14:textId="77777777" w:rsidR="009A2C2E" w:rsidRDefault="009A2C2E" w:rsidP="009A2C2E">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One Year Goals for Affordable Housing by Support Type</w:t>
      </w:r>
    </w:p>
    <w:p w14:paraId="7086D1E0" w14:textId="77777777" w:rsidR="009A2C2E" w:rsidRDefault="009A2C2E" w:rsidP="009A2C2E">
      <w:pPr>
        <w:keepNext/>
        <w:widowControl w:val="0"/>
        <w:spacing w:line="204" w:lineRule="auto"/>
        <w:rPr>
          <w:b/>
          <w:sz w:val="24"/>
          <w:szCs w:val="24"/>
        </w:rPr>
      </w:pPr>
    </w:p>
    <w:p w14:paraId="7F2E7F40" w14:textId="77777777" w:rsidR="009A2C2E" w:rsidRDefault="009A2C2E" w:rsidP="009A2C2E">
      <w:pPr>
        <w:keepNext/>
        <w:widowControl w:val="0"/>
        <w:spacing w:line="204" w:lineRule="auto"/>
        <w:rPr>
          <w:b/>
          <w:sz w:val="24"/>
          <w:szCs w:val="24"/>
        </w:rPr>
      </w:pPr>
      <w:r>
        <w:rPr>
          <w:b/>
          <w:sz w:val="24"/>
          <w:szCs w:val="24"/>
        </w:rPr>
        <w:t xml:space="preserve">Discussion: </w:t>
      </w:r>
    </w:p>
    <w:p w14:paraId="35D4A446" w14:textId="0DE5A8ED" w:rsidR="009A2C2E" w:rsidRPr="00C762FB" w:rsidRDefault="009A2C2E" w:rsidP="00C762FB">
      <w:pPr>
        <w:keepNext/>
        <w:widowControl w:val="0"/>
        <w:spacing w:beforeAutospacing="1" w:afterAutospacing="1"/>
        <w:jc w:val="both"/>
        <w:rPr>
          <w:b/>
          <w:sz w:val="24"/>
          <w:szCs w:val="24"/>
        </w:rPr>
      </w:pPr>
      <w:r w:rsidRPr="00C762FB">
        <w:rPr>
          <w:rFonts w:cs="Arial"/>
          <w:sz w:val="24"/>
          <w:szCs w:val="24"/>
        </w:rPr>
        <w:t>The tables above indicate the number of estimated HOME and Housing Trust Funds rental and homebuyer units to be preserved or created during Program Year 2025.</w:t>
      </w:r>
      <w:r w:rsidR="003D336B" w:rsidRPr="00C762FB">
        <w:rPr>
          <w:rFonts w:cs="Arial"/>
          <w:sz w:val="24"/>
          <w:szCs w:val="24"/>
        </w:rPr>
        <w:t xml:space="preserve"> The 25 units under </w:t>
      </w:r>
      <w:r w:rsidR="003D336B" w:rsidRPr="00C762FB">
        <w:rPr>
          <w:rFonts w:cs="Arial"/>
          <w:sz w:val="24"/>
          <w:szCs w:val="24"/>
        </w:rPr>
        <w:lastRenderedPageBreak/>
        <w:t>acquisition of existing units related to downpayment assistance for homebuyers.</w:t>
      </w:r>
    </w:p>
    <w:p w14:paraId="39AEEC2B" w14:textId="77777777" w:rsidR="009A2C2E" w:rsidRDefault="009A2C2E" w:rsidP="009A2C2E">
      <w:pPr>
        <w:rPr>
          <w:rFonts w:cs="Arial"/>
        </w:rPr>
      </w:pPr>
    </w:p>
    <w:p w14:paraId="06A70631" w14:textId="77777777" w:rsidR="009A2C2E" w:rsidRDefault="009A2C2E" w:rsidP="009A2C2E">
      <w:pPr>
        <w:rPr>
          <w:rFonts w:cs="Arial"/>
        </w:rPr>
      </w:pPr>
    </w:p>
    <w:p w14:paraId="50A52DBD" w14:textId="77777777" w:rsidR="009A2C2E" w:rsidRDefault="009A2C2E" w:rsidP="009A2C2E">
      <w:pPr>
        <w:pStyle w:val="Heading2"/>
        <w:pageBreakBefore/>
        <w:widowControl w:val="0"/>
        <w:rPr>
          <w:rFonts w:ascii="Calibri" w:hAnsi="Calibri"/>
          <w:i/>
        </w:rPr>
      </w:pPr>
      <w:bookmarkStart w:id="136" w:name="_Toc191358760"/>
      <w:bookmarkStart w:id="137" w:name="_Toc194673884"/>
      <w:r>
        <w:rPr>
          <w:rFonts w:ascii="Calibri" w:hAnsi="Calibri"/>
        </w:rPr>
        <w:lastRenderedPageBreak/>
        <w:t>AP-60 Public Housing - 24 CFR 91.320(j)</w:t>
      </w:r>
      <w:bookmarkEnd w:id="136"/>
      <w:bookmarkEnd w:id="137"/>
    </w:p>
    <w:p w14:paraId="6BD87E61" w14:textId="3E8E3DC7" w:rsidR="009A2C2E" w:rsidRDefault="009A2C2E" w:rsidP="009A2C2E">
      <w:pPr>
        <w:keepNext/>
        <w:widowControl w:val="0"/>
        <w:spacing w:line="204" w:lineRule="auto"/>
        <w:rPr>
          <w:b/>
          <w:sz w:val="24"/>
          <w:szCs w:val="24"/>
        </w:rPr>
      </w:pPr>
      <w:r>
        <w:rPr>
          <w:b/>
          <w:sz w:val="24"/>
          <w:szCs w:val="24"/>
        </w:rPr>
        <w:t xml:space="preserve">Introduction: </w:t>
      </w:r>
    </w:p>
    <w:p w14:paraId="6B753D75" w14:textId="4CE66BB2" w:rsidR="009A2C2E" w:rsidRPr="00C762FB" w:rsidRDefault="009A2C2E" w:rsidP="00C762FB">
      <w:pPr>
        <w:keepNext/>
        <w:widowControl w:val="0"/>
        <w:spacing w:beforeAutospacing="1" w:afterAutospacing="1"/>
        <w:jc w:val="both"/>
        <w:rPr>
          <w:b/>
          <w:sz w:val="24"/>
          <w:szCs w:val="24"/>
        </w:rPr>
      </w:pPr>
      <w:r w:rsidRPr="00C762FB">
        <w:rPr>
          <w:rFonts w:cs="Arial"/>
          <w:sz w:val="24"/>
          <w:szCs w:val="24"/>
        </w:rPr>
        <w:t xml:space="preserve">Idaho Housing and Finance Association (IHFA) administers the Section 8 Housing Choice Voucher </w:t>
      </w:r>
      <w:r w:rsidR="5E9A6617" w:rsidRPr="00C762FB">
        <w:rPr>
          <w:rFonts w:cs="Arial"/>
          <w:sz w:val="24"/>
          <w:szCs w:val="24"/>
        </w:rPr>
        <w:t>(HCV)</w:t>
      </w:r>
      <w:r w:rsidR="7B270814" w:rsidRPr="00C762FB">
        <w:rPr>
          <w:rFonts w:cs="Arial"/>
          <w:sz w:val="24"/>
          <w:szCs w:val="24"/>
        </w:rPr>
        <w:t xml:space="preserve"> </w:t>
      </w:r>
      <w:r w:rsidRPr="00C762FB">
        <w:rPr>
          <w:rFonts w:cs="Arial"/>
          <w:sz w:val="24"/>
          <w:szCs w:val="24"/>
        </w:rPr>
        <w:t xml:space="preserve">program in 34 of 44 Idaho counties and encourages housing programs statewide, as IHFA is only one in a statewide network of housing providers. IHFA does not oversee any citywide or countywide Participating Jurisdictions (PJs) for public housing. These jurisdictions have local official governing boards responsible to appoint the board of a Public Housing Authority (PHA) and direct PHA activities. </w:t>
      </w:r>
    </w:p>
    <w:p w14:paraId="0BC392D7" w14:textId="77777777" w:rsidR="009A2C2E" w:rsidRPr="00C762FB" w:rsidRDefault="009A2C2E" w:rsidP="00C762FB">
      <w:pPr>
        <w:keepNext/>
        <w:widowControl w:val="0"/>
        <w:jc w:val="both"/>
        <w:rPr>
          <w:b/>
          <w:sz w:val="24"/>
          <w:szCs w:val="24"/>
        </w:rPr>
      </w:pPr>
      <w:r w:rsidRPr="00C762FB">
        <w:rPr>
          <w:b/>
          <w:sz w:val="24"/>
          <w:szCs w:val="24"/>
        </w:rPr>
        <w:t>Actions planned during the next year to address the needs to public housing</w:t>
      </w:r>
    </w:p>
    <w:p w14:paraId="68E4F3C8" w14:textId="3DD85876" w:rsidR="009A2C2E" w:rsidRPr="00C762FB" w:rsidRDefault="009A2C2E" w:rsidP="00C762FB">
      <w:pPr>
        <w:pStyle w:val="ListParagraph"/>
        <w:keepNext/>
        <w:widowControl w:val="0"/>
        <w:numPr>
          <w:ilvl w:val="0"/>
          <w:numId w:val="32"/>
        </w:numPr>
        <w:spacing w:beforeAutospacing="1" w:afterAutospacing="1"/>
        <w:jc w:val="both"/>
        <w:rPr>
          <w:rFonts w:cs="Arial"/>
          <w:sz w:val="24"/>
          <w:szCs w:val="24"/>
        </w:rPr>
      </w:pPr>
      <w:r w:rsidRPr="00C762FB">
        <w:rPr>
          <w:rFonts w:cs="Arial"/>
          <w:sz w:val="24"/>
          <w:szCs w:val="24"/>
        </w:rPr>
        <w:t xml:space="preserve">IHFA will actively apply for additional voucher funding when available and appropriate for its program. </w:t>
      </w:r>
    </w:p>
    <w:p w14:paraId="326929E8" w14:textId="390691EB" w:rsidR="009A2C2E" w:rsidRPr="00C762FB" w:rsidRDefault="00C762FB" w:rsidP="00C762FB">
      <w:pPr>
        <w:pStyle w:val="ListParagraph"/>
        <w:keepNext/>
        <w:widowControl w:val="0"/>
        <w:numPr>
          <w:ilvl w:val="0"/>
          <w:numId w:val="32"/>
        </w:numPr>
        <w:spacing w:beforeAutospacing="1" w:afterAutospacing="1"/>
        <w:jc w:val="both"/>
        <w:rPr>
          <w:rFonts w:cs="Arial"/>
          <w:sz w:val="24"/>
          <w:szCs w:val="24"/>
        </w:rPr>
      </w:pPr>
      <w:r w:rsidRPr="00C762FB">
        <w:rPr>
          <w:rFonts w:cs="Arial"/>
          <w:sz w:val="24"/>
          <w:szCs w:val="24"/>
        </w:rPr>
        <w:t>To</w:t>
      </w:r>
      <w:r w:rsidR="009A2C2E" w:rsidRPr="00C762FB">
        <w:rPr>
          <w:rFonts w:cs="Arial"/>
          <w:sz w:val="24"/>
          <w:szCs w:val="24"/>
        </w:rPr>
        <w:t xml:space="preserve"> provide more housing opportunities for voucher holders, IHFA will continue to assess opportunities to develop additional PBV projects in 2024. These projects may be limited to certain targeted populations such as persons with disabilities, veterans, or persons experiencing homelessness. </w:t>
      </w:r>
    </w:p>
    <w:p w14:paraId="0779727D" w14:textId="692E3D08" w:rsidR="009A2C2E" w:rsidRPr="00C762FB" w:rsidRDefault="009A2C2E" w:rsidP="00C762FB">
      <w:pPr>
        <w:pStyle w:val="ListParagraph"/>
        <w:keepNext/>
        <w:widowControl w:val="0"/>
        <w:numPr>
          <w:ilvl w:val="0"/>
          <w:numId w:val="32"/>
        </w:numPr>
        <w:spacing w:beforeAutospacing="1" w:afterAutospacing="1"/>
        <w:jc w:val="both"/>
        <w:rPr>
          <w:rFonts w:cs="Arial"/>
          <w:sz w:val="24"/>
          <w:szCs w:val="24"/>
        </w:rPr>
      </w:pPr>
      <w:r w:rsidRPr="00C762FB">
        <w:rPr>
          <w:rFonts w:cs="Arial"/>
          <w:sz w:val="24"/>
          <w:szCs w:val="24"/>
        </w:rPr>
        <w:t xml:space="preserve">IHFA will continue to administer the Section 8 Housing Choice Voucher Homeownership program, which is currently available only to disabled households and elderly households. This will expand to qualified households in the </w:t>
      </w:r>
      <w:r w:rsidR="5068C07D" w:rsidRPr="00C762FB">
        <w:rPr>
          <w:rFonts w:cs="Arial"/>
          <w:sz w:val="24"/>
          <w:szCs w:val="24"/>
        </w:rPr>
        <w:t>Family Self-Sufficiency</w:t>
      </w:r>
      <w:r w:rsidR="7B270814" w:rsidRPr="00C762FB">
        <w:rPr>
          <w:rFonts w:cs="Arial"/>
          <w:sz w:val="24"/>
          <w:szCs w:val="24"/>
        </w:rPr>
        <w:t xml:space="preserve"> </w:t>
      </w:r>
      <w:r w:rsidR="3BBA3059" w:rsidRPr="00C762FB">
        <w:rPr>
          <w:rFonts w:cs="Arial"/>
          <w:sz w:val="24"/>
          <w:szCs w:val="24"/>
        </w:rPr>
        <w:t>(</w:t>
      </w:r>
      <w:r w:rsidRPr="00C762FB">
        <w:rPr>
          <w:rFonts w:cs="Arial"/>
          <w:sz w:val="24"/>
          <w:szCs w:val="24"/>
        </w:rPr>
        <w:t>FSS</w:t>
      </w:r>
      <w:r w:rsidR="51B6B893" w:rsidRPr="00C762FB">
        <w:rPr>
          <w:rFonts w:cs="Arial"/>
          <w:sz w:val="24"/>
          <w:szCs w:val="24"/>
        </w:rPr>
        <w:t>)</w:t>
      </w:r>
      <w:r w:rsidR="7B270814" w:rsidRPr="00C762FB">
        <w:rPr>
          <w:rFonts w:cs="Arial"/>
          <w:sz w:val="24"/>
          <w:szCs w:val="24"/>
        </w:rPr>
        <w:t xml:space="preserve"> </w:t>
      </w:r>
      <w:r w:rsidR="7152F321" w:rsidRPr="00C762FB">
        <w:rPr>
          <w:rFonts w:cs="Arial"/>
          <w:sz w:val="24"/>
          <w:szCs w:val="24"/>
        </w:rPr>
        <w:t>P</w:t>
      </w:r>
      <w:r w:rsidR="7B270814" w:rsidRPr="00C762FB">
        <w:rPr>
          <w:rFonts w:cs="Arial"/>
          <w:sz w:val="24"/>
          <w:szCs w:val="24"/>
        </w:rPr>
        <w:t>rogram</w:t>
      </w:r>
      <w:r w:rsidRPr="00C762FB">
        <w:rPr>
          <w:rFonts w:cs="Arial"/>
          <w:sz w:val="24"/>
          <w:szCs w:val="24"/>
        </w:rPr>
        <w:t xml:space="preserve">, as well, when </w:t>
      </w:r>
      <w:r w:rsidR="7FC2BFDD" w:rsidRPr="00C762FB">
        <w:rPr>
          <w:rFonts w:cs="Arial"/>
          <w:sz w:val="24"/>
          <w:szCs w:val="24"/>
        </w:rPr>
        <w:t>Housing Opportunity Through Modernization Act</w:t>
      </w:r>
      <w:r w:rsidR="7B270814" w:rsidRPr="00C762FB">
        <w:rPr>
          <w:rFonts w:cs="Arial"/>
          <w:sz w:val="24"/>
          <w:szCs w:val="24"/>
        </w:rPr>
        <w:t xml:space="preserve"> </w:t>
      </w:r>
      <w:r w:rsidR="126A6F0F" w:rsidRPr="00C762FB">
        <w:rPr>
          <w:rFonts w:cs="Arial"/>
          <w:sz w:val="24"/>
          <w:szCs w:val="24"/>
        </w:rPr>
        <w:t>(</w:t>
      </w:r>
      <w:r w:rsidRPr="00C762FB">
        <w:rPr>
          <w:rFonts w:cs="Arial"/>
          <w:sz w:val="24"/>
          <w:szCs w:val="24"/>
        </w:rPr>
        <w:t>HOTMA</w:t>
      </w:r>
      <w:r w:rsidR="740C9488" w:rsidRPr="00C762FB">
        <w:rPr>
          <w:rFonts w:cs="Arial"/>
          <w:sz w:val="24"/>
          <w:szCs w:val="24"/>
        </w:rPr>
        <w:t>)</w:t>
      </w:r>
      <w:r w:rsidRPr="00C762FB">
        <w:rPr>
          <w:rFonts w:cs="Arial"/>
          <w:sz w:val="24"/>
          <w:szCs w:val="24"/>
        </w:rPr>
        <w:t xml:space="preserve"> regulations go into effect. To date, </w:t>
      </w:r>
      <w:proofErr w:type="gramStart"/>
      <w:r w:rsidR="3EC5C20B" w:rsidRPr="00C762FB">
        <w:rPr>
          <w:rFonts w:cs="Arial"/>
          <w:sz w:val="24"/>
          <w:szCs w:val="24"/>
        </w:rPr>
        <w:t>forty four</w:t>
      </w:r>
      <w:proofErr w:type="gramEnd"/>
      <w:r w:rsidR="3EC5C20B" w:rsidRPr="00C762FB">
        <w:rPr>
          <w:rFonts w:cs="Arial"/>
          <w:sz w:val="24"/>
          <w:szCs w:val="24"/>
        </w:rPr>
        <w:t xml:space="preserve"> (</w:t>
      </w:r>
      <w:r w:rsidR="7B270814" w:rsidRPr="00C762FB">
        <w:rPr>
          <w:rFonts w:cs="Arial"/>
          <w:sz w:val="24"/>
          <w:szCs w:val="24"/>
        </w:rPr>
        <w:t>4</w:t>
      </w:r>
      <w:r w:rsidR="2250CC95" w:rsidRPr="00C762FB">
        <w:rPr>
          <w:rFonts w:cs="Arial"/>
          <w:sz w:val="24"/>
          <w:szCs w:val="24"/>
        </w:rPr>
        <w:t>)</w:t>
      </w:r>
      <w:r w:rsidR="00C762FB">
        <w:rPr>
          <w:rFonts w:cs="Arial"/>
          <w:sz w:val="24"/>
          <w:szCs w:val="24"/>
        </w:rPr>
        <w:t xml:space="preserve"> </w:t>
      </w:r>
      <w:r w:rsidRPr="00C762FB">
        <w:rPr>
          <w:rFonts w:cs="Arial"/>
          <w:sz w:val="24"/>
          <w:szCs w:val="24"/>
        </w:rPr>
        <w:t xml:space="preserve">participants have successfully purchased a home using IHFA’s Section 8 Housing Choice Voucher Homeownership program, which can provide mortgage payment subsidy on a long-term basis. </w:t>
      </w:r>
    </w:p>
    <w:p w14:paraId="5929EAA5" w14:textId="77777777" w:rsidR="009A2C2E" w:rsidRPr="00C762FB" w:rsidRDefault="009A2C2E" w:rsidP="00C762FB">
      <w:pPr>
        <w:keepNext/>
        <w:widowControl w:val="0"/>
        <w:jc w:val="both"/>
        <w:rPr>
          <w:b/>
          <w:sz w:val="24"/>
          <w:szCs w:val="24"/>
        </w:rPr>
      </w:pPr>
      <w:r w:rsidRPr="00C762FB">
        <w:rPr>
          <w:b/>
          <w:sz w:val="24"/>
          <w:szCs w:val="24"/>
        </w:rPr>
        <w:t>Actions to encourage public housing residents to become more involved in management and participate in homeownership</w:t>
      </w:r>
    </w:p>
    <w:p w14:paraId="381B8F7D" w14:textId="77777777" w:rsidR="009A2C2E" w:rsidRPr="00C762FB" w:rsidRDefault="009A2C2E" w:rsidP="00C762FB">
      <w:pPr>
        <w:keepNext/>
        <w:widowControl w:val="0"/>
        <w:spacing w:beforeAutospacing="1" w:afterAutospacing="1"/>
        <w:jc w:val="both"/>
        <w:rPr>
          <w:rFonts w:cs="Arial"/>
          <w:sz w:val="24"/>
          <w:szCs w:val="24"/>
        </w:rPr>
      </w:pPr>
      <w:r w:rsidRPr="00C762FB">
        <w:rPr>
          <w:rFonts w:cs="Arial"/>
          <w:sz w:val="24"/>
          <w:szCs w:val="24"/>
        </w:rPr>
        <w:t>IHFA will hold regional PHA Plan hearings and perform outreach to encourage participation in a Resident Advisory Board in each area that has an IHFA branch office that administers Housing Choice vouchers. </w:t>
      </w:r>
    </w:p>
    <w:p w14:paraId="145C7632" w14:textId="77777777" w:rsidR="009A2C2E" w:rsidRPr="00C762FB" w:rsidRDefault="009A2C2E" w:rsidP="00C762FB">
      <w:pPr>
        <w:keepNext/>
        <w:widowControl w:val="0"/>
        <w:jc w:val="both"/>
        <w:rPr>
          <w:b/>
          <w:sz w:val="24"/>
          <w:szCs w:val="24"/>
        </w:rPr>
      </w:pPr>
      <w:r w:rsidRPr="00C762FB">
        <w:rPr>
          <w:b/>
          <w:sz w:val="24"/>
          <w:szCs w:val="24"/>
        </w:rPr>
        <w:t xml:space="preserve">If the PHA is designated as troubled, describe the </w:t>
      </w:r>
      <w:proofErr w:type="gramStart"/>
      <w:r w:rsidRPr="00C762FB">
        <w:rPr>
          <w:b/>
          <w:sz w:val="24"/>
          <w:szCs w:val="24"/>
        </w:rPr>
        <w:t>manner in which</w:t>
      </w:r>
      <w:proofErr w:type="gramEnd"/>
      <w:r w:rsidRPr="00C762FB">
        <w:rPr>
          <w:b/>
          <w:sz w:val="24"/>
          <w:szCs w:val="24"/>
        </w:rPr>
        <w:t xml:space="preserve"> financial assistance will be provided or other assistance </w:t>
      </w:r>
    </w:p>
    <w:p w14:paraId="3A2F1017" w14:textId="03657780" w:rsidR="009A2C2E" w:rsidRPr="00C762FB" w:rsidRDefault="009A2C2E" w:rsidP="00C762FB">
      <w:pPr>
        <w:keepNext/>
        <w:widowControl w:val="0"/>
        <w:spacing w:beforeAutospacing="1" w:afterAutospacing="1"/>
        <w:jc w:val="both"/>
        <w:rPr>
          <w:rFonts w:cs="Arial"/>
          <w:sz w:val="24"/>
          <w:szCs w:val="24"/>
        </w:rPr>
      </w:pPr>
      <w:r w:rsidRPr="00C762FB">
        <w:rPr>
          <w:rFonts w:cs="Arial"/>
          <w:sz w:val="24"/>
          <w:szCs w:val="24"/>
        </w:rPr>
        <w:t xml:space="preserve">IHFA’s rental assistance program is not designated as troubled and currently maintains a designation as a High Performer per HUD definitions and recent </w:t>
      </w:r>
      <w:r w:rsidR="2CB65D0E" w:rsidRPr="00C762FB">
        <w:rPr>
          <w:rFonts w:cs="Arial"/>
          <w:sz w:val="24"/>
          <w:szCs w:val="24"/>
        </w:rPr>
        <w:t xml:space="preserve">Section 8 Management </w:t>
      </w:r>
      <w:r w:rsidR="2CB65D0E" w:rsidRPr="00C762FB">
        <w:rPr>
          <w:rFonts w:cs="Arial"/>
          <w:sz w:val="24"/>
          <w:szCs w:val="24"/>
        </w:rPr>
        <w:lastRenderedPageBreak/>
        <w:t>Assessment Program</w:t>
      </w:r>
      <w:r w:rsidR="7B270814" w:rsidRPr="00C762FB">
        <w:rPr>
          <w:rFonts w:cs="Arial"/>
          <w:sz w:val="24"/>
          <w:szCs w:val="24"/>
        </w:rPr>
        <w:t xml:space="preserve"> </w:t>
      </w:r>
      <w:r w:rsidR="13C2AF28" w:rsidRPr="00C762FB">
        <w:rPr>
          <w:rFonts w:cs="Arial"/>
          <w:sz w:val="24"/>
          <w:szCs w:val="24"/>
        </w:rPr>
        <w:t>(</w:t>
      </w:r>
      <w:r w:rsidRPr="00C762FB">
        <w:rPr>
          <w:rFonts w:cs="Arial"/>
          <w:sz w:val="24"/>
          <w:szCs w:val="24"/>
        </w:rPr>
        <w:t>SEMAP</w:t>
      </w:r>
      <w:r w:rsidR="1EB3FEDB" w:rsidRPr="00C762FB">
        <w:rPr>
          <w:rFonts w:cs="Arial"/>
          <w:sz w:val="24"/>
          <w:szCs w:val="24"/>
        </w:rPr>
        <w:t>)</w:t>
      </w:r>
      <w:r w:rsidRPr="00C762FB">
        <w:rPr>
          <w:rFonts w:cs="Arial"/>
          <w:sz w:val="24"/>
          <w:szCs w:val="24"/>
        </w:rPr>
        <w:t xml:space="preserve"> scores. </w:t>
      </w:r>
    </w:p>
    <w:p w14:paraId="3A89177A" w14:textId="77777777" w:rsidR="009A2C2E" w:rsidRDefault="009A2C2E" w:rsidP="00C762FB">
      <w:pPr>
        <w:keepNext/>
        <w:widowControl w:val="0"/>
        <w:spacing w:line="204" w:lineRule="auto"/>
        <w:jc w:val="both"/>
        <w:rPr>
          <w:b/>
          <w:sz w:val="24"/>
          <w:szCs w:val="24"/>
        </w:rPr>
      </w:pPr>
      <w:r w:rsidRPr="00C762FB">
        <w:rPr>
          <w:b/>
          <w:sz w:val="24"/>
          <w:szCs w:val="24"/>
        </w:rPr>
        <w:t xml:space="preserve">Discussion: </w:t>
      </w:r>
    </w:p>
    <w:p w14:paraId="1398F518" w14:textId="40BB92FC" w:rsidR="00C762FB" w:rsidRPr="00C762FB" w:rsidRDefault="00C762FB" w:rsidP="00C762FB">
      <w:pPr>
        <w:keepNext/>
        <w:widowControl w:val="0"/>
        <w:spacing w:line="204" w:lineRule="auto"/>
        <w:jc w:val="both"/>
        <w:rPr>
          <w:bCs/>
          <w:sz w:val="24"/>
          <w:szCs w:val="24"/>
        </w:rPr>
      </w:pPr>
      <w:r w:rsidRPr="00C762FB">
        <w:rPr>
          <w:bCs/>
          <w:sz w:val="24"/>
          <w:szCs w:val="24"/>
        </w:rPr>
        <w:t>None.</w:t>
      </w:r>
    </w:p>
    <w:p w14:paraId="385663FC" w14:textId="77777777" w:rsidR="009A2C2E" w:rsidRDefault="009A2C2E" w:rsidP="009A2C2E">
      <w:pPr>
        <w:keepNext/>
        <w:widowControl w:val="0"/>
        <w:spacing w:line="204" w:lineRule="auto"/>
        <w:rPr>
          <w:b/>
          <w:sz w:val="24"/>
          <w:szCs w:val="24"/>
        </w:rPr>
      </w:pPr>
    </w:p>
    <w:p w14:paraId="65468B05" w14:textId="77777777" w:rsidR="009A2C2E" w:rsidRDefault="009A2C2E" w:rsidP="009A2C2E">
      <w:pPr>
        <w:rPr>
          <w:rFonts w:cs="Arial"/>
        </w:rPr>
      </w:pPr>
    </w:p>
    <w:p w14:paraId="5E501BCD" w14:textId="77777777" w:rsidR="009A2C2E" w:rsidRDefault="009A2C2E" w:rsidP="009A2C2E">
      <w:pPr>
        <w:rPr>
          <w:rFonts w:cs="Arial"/>
        </w:rPr>
      </w:pPr>
    </w:p>
    <w:p w14:paraId="42477146" w14:textId="77777777" w:rsidR="009A2C2E" w:rsidRDefault="009A2C2E" w:rsidP="787E070B">
      <w:pPr>
        <w:pStyle w:val="Heading2"/>
        <w:pageBreakBefore/>
        <w:widowControl w:val="0"/>
        <w:rPr>
          <w:rFonts w:ascii="Calibri" w:hAnsi="Calibri"/>
          <w:i/>
          <w:iCs/>
        </w:rPr>
      </w:pPr>
      <w:bookmarkStart w:id="138" w:name="_Toc191358761"/>
      <w:bookmarkStart w:id="139" w:name="_Toc194673885"/>
      <w:r w:rsidRPr="787E070B">
        <w:rPr>
          <w:rFonts w:ascii="Calibri" w:hAnsi="Calibri"/>
        </w:rPr>
        <w:lastRenderedPageBreak/>
        <w:t>AP-65 Homeless and Other Special Needs Activities – 91.320(h)</w:t>
      </w:r>
      <w:bookmarkEnd w:id="138"/>
      <w:bookmarkEnd w:id="139"/>
    </w:p>
    <w:p w14:paraId="49D15030" w14:textId="4D238D71" w:rsidR="009A2C2E" w:rsidRDefault="009A2C2E" w:rsidP="009A2C2E">
      <w:pPr>
        <w:keepNext/>
        <w:widowControl w:val="0"/>
        <w:spacing w:line="204" w:lineRule="auto"/>
        <w:rPr>
          <w:b/>
          <w:sz w:val="24"/>
          <w:szCs w:val="24"/>
        </w:rPr>
      </w:pPr>
      <w:r>
        <w:rPr>
          <w:b/>
          <w:sz w:val="24"/>
          <w:szCs w:val="24"/>
        </w:rPr>
        <w:t>Introduction</w:t>
      </w:r>
    </w:p>
    <w:p w14:paraId="19075D5B" w14:textId="77777777" w:rsidR="009A2C2E" w:rsidRDefault="009A2C2E" w:rsidP="009A2C2E">
      <w:pPr>
        <w:keepNext/>
        <w:widowControl w:val="0"/>
        <w:rPr>
          <w:b/>
          <w:sz w:val="24"/>
          <w:szCs w:val="24"/>
        </w:rPr>
      </w:pPr>
      <w:r>
        <w:rPr>
          <w:b/>
          <w:sz w:val="24"/>
          <w:szCs w:val="24"/>
        </w:rPr>
        <w:t>Describe the jurisdictions one-year goals and actions for reducing and ending homelessness including</w:t>
      </w:r>
    </w:p>
    <w:p w14:paraId="4A9522AE" w14:textId="77777777" w:rsidR="009A2C2E" w:rsidRDefault="009A2C2E" w:rsidP="787E070B">
      <w:pPr>
        <w:keepNext/>
        <w:widowControl w:val="0"/>
        <w:rPr>
          <w:b/>
          <w:bCs/>
          <w:sz w:val="24"/>
          <w:szCs w:val="24"/>
        </w:rPr>
      </w:pPr>
      <w:r w:rsidRPr="787E070B">
        <w:rPr>
          <w:b/>
          <w:bCs/>
          <w:sz w:val="24"/>
          <w:szCs w:val="24"/>
        </w:rPr>
        <w:t>Reaching out to homeless persons (especially unsheltered persons) and assessing their individual needs</w:t>
      </w:r>
    </w:p>
    <w:p w14:paraId="68AB407A" w14:textId="77777777" w:rsidR="00364BF3" w:rsidRPr="00EE3624" w:rsidRDefault="00364BF3" w:rsidP="00364BF3">
      <w:pPr>
        <w:keepNext/>
        <w:widowControl w:val="0"/>
        <w:spacing w:beforeAutospacing="1" w:afterAutospacing="1"/>
        <w:jc w:val="both"/>
        <w:rPr>
          <w:rFonts w:cs="Arial"/>
          <w:sz w:val="24"/>
          <w:szCs w:val="24"/>
        </w:rPr>
      </w:pPr>
      <w:r w:rsidRPr="00EE3624">
        <w:rPr>
          <w:rFonts w:cs="Arial"/>
          <w:sz w:val="24"/>
          <w:szCs w:val="24"/>
        </w:rPr>
        <w:t>To execute outreach efforts across the Balance of State Continuum of Care (BoS CoC’s) broad geographic area, which spans 82,582 square miles, the recipient leverages partnerships with nonprofit organizations throughout Idaho. In the upcoming years, the IHFA recipient will continue to support these agencies in their efforts to ensure persons experiencing unsheltered homelessness are identified and assessed. Many agencies utilize staff, advocates, and volunteers to provide outreach efforts. Agencies also leverage partnerships with organizations including school districts, law enforcement agencies, healthcare providers, parks and recreational departments, libraries, food pantries, emergency shelters, and others to facilitate outreach efforts. (A COC is a local or regional planning body that coordinates funding and services for people experiencing homelessness, aiming to end homelessness and provide stable housing and support. A BoS COC is a system, often encompassing rural areas and smaller cities, that addresses homelessness by coordinating efforts to provide housing and services, often in areas not covered by other COCs.)</w:t>
      </w:r>
    </w:p>
    <w:p w14:paraId="0CD57D70" w14:textId="77777777" w:rsidR="00364BF3" w:rsidRDefault="00364BF3" w:rsidP="00364BF3">
      <w:pPr>
        <w:keepNext/>
        <w:widowControl w:val="0"/>
        <w:spacing w:beforeAutospacing="1" w:afterAutospacing="1"/>
        <w:jc w:val="both"/>
        <w:rPr>
          <w:rFonts w:cs="Arial"/>
          <w:sz w:val="24"/>
          <w:szCs w:val="24"/>
        </w:rPr>
      </w:pPr>
      <w:r w:rsidRPr="00EE3624">
        <w:rPr>
          <w:rFonts w:cs="Arial"/>
          <w:sz w:val="24"/>
          <w:szCs w:val="24"/>
        </w:rPr>
        <w:t>Outreach is conducted during the annual Point-In- Time (PIT) Count through identification of those experiencing unsheltered homelessness in geographically diverse locations. Partner agency staff and PIT count volunteers are trained to “meet” individuals experiencing homelessness where they are physically located and to assess their level of readiness to engage in services. During initial conversations, representatives provide helpful information based on an individual’s specific need.</w:t>
      </w:r>
    </w:p>
    <w:p w14:paraId="7539E17D" w14:textId="0941360E" w:rsidR="00364BF3" w:rsidRPr="00EE3624" w:rsidRDefault="00364BF3" w:rsidP="00364BF3">
      <w:pPr>
        <w:keepNext/>
        <w:widowControl w:val="0"/>
        <w:spacing w:beforeAutospacing="1" w:afterAutospacing="1"/>
        <w:jc w:val="both"/>
        <w:rPr>
          <w:rFonts w:cs="Arial"/>
          <w:sz w:val="24"/>
          <w:szCs w:val="24"/>
        </w:rPr>
      </w:pPr>
      <w:r w:rsidRPr="00EE3624">
        <w:rPr>
          <w:rFonts w:cs="Arial"/>
          <w:sz w:val="24"/>
          <w:szCs w:val="24"/>
        </w:rPr>
        <w:t xml:space="preserve">The recipient will continue to administer the Coordinated Entry system, which ensures homeless </w:t>
      </w:r>
      <w:proofErr w:type="gramStart"/>
      <w:r w:rsidRPr="00EE3624">
        <w:rPr>
          <w:rFonts w:cs="Arial"/>
          <w:sz w:val="24"/>
          <w:szCs w:val="24"/>
        </w:rPr>
        <w:t>persons</w:t>
      </w:r>
      <w:proofErr w:type="gramEnd"/>
      <w:r w:rsidRPr="00EE3624">
        <w:rPr>
          <w:rFonts w:cs="Arial"/>
          <w:sz w:val="24"/>
          <w:szCs w:val="24"/>
        </w:rPr>
        <w:t xml:space="preserve"> are directed towards the resources that have the highest likelihood of reducing their extent of </w:t>
      </w:r>
      <w:proofErr w:type="gramStart"/>
      <w:r w:rsidRPr="00EE3624">
        <w:rPr>
          <w:rFonts w:cs="Arial"/>
          <w:sz w:val="24"/>
          <w:szCs w:val="24"/>
        </w:rPr>
        <w:t>homelessness, or</w:t>
      </w:r>
      <w:proofErr w:type="gramEnd"/>
      <w:r w:rsidRPr="00EE3624">
        <w:rPr>
          <w:rFonts w:cs="Arial"/>
          <w:sz w:val="24"/>
          <w:szCs w:val="24"/>
        </w:rPr>
        <w:t xml:space="preserve"> diverted from homelessness altogether. Using a consistent and well-coordinated approach, the process relies on streamlining access to housing assistance, screening applicants for eligibility, and assessing their needs to determine which interventions are most appropriate. This has proved to be an invaluable tool in assessing the vulnerability, needs, and extent of barriers of those experiencing homelessness. To reach people least likely to seek homelessness assistance, the recipient works in collaboration with the Idaho Department of Health and Welfare’s 211 Care Line, Health and Welfare Navigators, Regional Coalition members, </w:t>
      </w:r>
      <w:r w:rsidRPr="00EE3624">
        <w:rPr>
          <w:rFonts w:cs="Arial"/>
          <w:sz w:val="24"/>
          <w:szCs w:val="24"/>
        </w:rPr>
        <w:lastRenderedPageBreak/>
        <w:t>United Way’s FindhelpIdaho.org, and PATH peer specialists to ensure people throughout the CoC’s geographic area are aware of, and have access to, the Coordinated Entry system.</w:t>
      </w:r>
    </w:p>
    <w:p w14:paraId="4F553848" w14:textId="77777777" w:rsidR="00364BF3" w:rsidRPr="00EE3624" w:rsidRDefault="00364BF3" w:rsidP="00364BF3">
      <w:pPr>
        <w:spacing w:after="150"/>
        <w:jc w:val="both"/>
        <w:rPr>
          <w:rFonts w:asciiTheme="minorHAnsi" w:eastAsiaTheme="minorEastAsia" w:hAnsiTheme="minorHAnsi" w:cstheme="minorBidi"/>
          <w:color w:val="000000" w:themeColor="text1"/>
          <w:sz w:val="24"/>
          <w:szCs w:val="24"/>
        </w:rPr>
      </w:pPr>
      <w:r w:rsidRPr="00EE3624">
        <w:rPr>
          <w:rFonts w:asciiTheme="minorHAnsi" w:eastAsiaTheme="minorEastAsia" w:hAnsiTheme="minorHAnsi" w:cstheme="minorBidi"/>
          <w:color w:val="000000" w:themeColor="text1"/>
          <w:sz w:val="24"/>
          <w:szCs w:val="24"/>
        </w:rPr>
        <w:t>In addition to the outreach efforts above, the BoS CoC has created compensated subcommittees to gather information from adults and youth with Lived Experience (LE) of unsheltered homelessness. These subcommittees are the Lived Experience Panel (LEP) and the Youth Action Board (YAB). Between the two subcommittees, there are more than 35 representatives across all six regions of the BoS CoC that provide LE feedback on outreach and resources to the continuum. Many CoC policies and governing documents have been revised by members of the LEP and YAB.</w:t>
      </w:r>
    </w:p>
    <w:p w14:paraId="3FFD42C8" w14:textId="77777777" w:rsidR="00364BF3" w:rsidRDefault="00364BF3" w:rsidP="009A2C2E">
      <w:pPr>
        <w:keepNext/>
        <w:widowControl w:val="0"/>
        <w:rPr>
          <w:b/>
          <w:sz w:val="24"/>
          <w:szCs w:val="24"/>
        </w:rPr>
      </w:pPr>
    </w:p>
    <w:p w14:paraId="296C575B" w14:textId="77777777" w:rsidR="005F2A7D" w:rsidRPr="00EE3624" w:rsidRDefault="005F2A7D" w:rsidP="005F2A7D">
      <w:pPr>
        <w:keepNext/>
        <w:widowControl w:val="0"/>
        <w:jc w:val="both"/>
        <w:rPr>
          <w:b/>
          <w:sz w:val="24"/>
          <w:szCs w:val="24"/>
        </w:rPr>
      </w:pPr>
      <w:r w:rsidRPr="00EE3624">
        <w:rPr>
          <w:b/>
          <w:sz w:val="24"/>
          <w:szCs w:val="24"/>
        </w:rPr>
        <w:t>Addressing the emergency shelter and transitional housing needs of homeless persons</w:t>
      </w:r>
    </w:p>
    <w:p w14:paraId="3C600C82" w14:textId="77777777" w:rsidR="005F2A7D" w:rsidRPr="00EE3624" w:rsidRDefault="005F2A7D" w:rsidP="005F2A7D">
      <w:pPr>
        <w:keepNext/>
        <w:widowControl w:val="0"/>
        <w:spacing w:beforeAutospacing="1" w:afterAutospacing="1"/>
        <w:jc w:val="both"/>
        <w:rPr>
          <w:rFonts w:cs="Arial"/>
          <w:sz w:val="24"/>
          <w:szCs w:val="24"/>
        </w:rPr>
      </w:pPr>
      <w:r w:rsidRPr="00EE3624">
        <w:rPr>
          <w:rFonts w:cs="Arial"/>
          <w:sz w:val="24"/>
          <w:szCs w:val="24"/>
        </w:rPr>
        <w:t xml:space="preserve">Although ESG funding awards can vary year to year, roughly 45% of annual ESG funding is allocated to emergency shelters. During the last grant term, of the 14 emergency shelters receiving funding in Idaho, five (5) focused on domestic violence survivors, two (2) focused on runaway/homeless youth, and one (1) focused on veterans. Representatives from the subrecipients managing these shelters, as well as representatives from transitional housing agencies not funded through ESG, participate in Regional Coalition meetings. Coalitions provide a forum for the recipient, subrecipients, and other community stakeholders to collectively address needs of homeless persons. Regional Coalition meetings </w:t>
      </w:r>
      <w:proofErr w:type="gramStart"/>
      <w:r w:rsidRPr="00EE3624">
        <w:rPr>
          <w:rFonts w:cs="Arial"/>
          <w:sz w:val="24"/>
          <w:szCs w:val="24"/>
        </w:rPr>
        <w:t>continue on</w:t>
      </w:r>
      <w:proofErr w:type="gramEnd"/>
      <w:r w:rsidRPr="00EE3624">
        <w:rPr>
          <w:rFonts w:cs="Arial"/>
          <w:sz w:val="24"/>
          <w:szCs w:val="24"/>
        </w:rPr>
        <w:t xml:space="preserve"> a monthly or quarterly basis.</w:t>
      </w:r>
    </w:p>
    <w:p w14:paraId="4BCCB7E2" w14:textId="77777777" w:rsidR="005F2A7D" w:rsidRPr="00EE3624" w:rsidRDefault="005F2A7D" w:rsidP="005F2A7D">
      <w:pPr>
        <w:keepNext/>
        <w:widowControl w:val="0"/>
        <w:spacing w:after="150"/>
        <w:jc w:val="both"/>
        <w:rPr>
          <w:rFonts w:asciiTheme="minorHAnsi" w:eastAsiaTheme="minorEastAsia" w:hAnsiTheme="minorHAnsi" w:cstheme="minorBidi"/>
          <w:color w:val="000000" w:themeColor="text1"/>
          <w:sz w:val="24"/>
          <w:szCs w:val="24"/>
        </w:rPr>
      </w:pPr>
      <w:r w:rsidRPr="00EE3624">
        <w:rPr>
          <w:rFonts w:asciiTheme="minorHAnsi" w:eastAsiaTheme="minorEastAsia" w:hAnsiTheme="minorHAnsi" w:cstheme="minorBidi"/>
          <w:color w:val="000000" w:themeColor="text1"/>
          <w:sz w:val="24"/>
          <w:szCs w:val="24"/>
        </w:rPr>
        <w:t>Qualitative data on emergency shelters and transitional housing programs is gathered through the Lived Experience Panel (LEP), comprised of individuals with lived experience (LE) of homelessness, many being participants in ESG emergency shelter projects. LE feedback is also gathered via annual CE participant surveys, wherein the BoS CoC gains feedback from participants regarding how they feel they have been treated by CE agencies.</w:t>
      </w:r>
    </w:p>
    <w:p w14:paraId="07B73F15" w14:textId="77777777" w:rsidR="005F2A7D" w:rsidRPr="00EE3624" w:rsidRDefault="005F2A7D" w:rsidP="005F2A7D">
      <w:pPr>
        <w:keepNext/>
        <w:widowControl w:val="0"/>
        <w:spacing w:after="150"/>
        <w:jc w:val="both"/>
        <w:rPr>
          <w:rFonts w:asciiTheme="minorHAnsi" w:eastAsiaTheme="minorEastAsia" w:hAnsiTheme="minorHAnsi" w:cstheme="minorBidi"/>
          <w:color w:val="000000" w:themeColor="text1"/>
          <w:sz w:val="24"/>
          <w:szCs w:val="24"/>
        </w:rPr>
      </w:pPr>
      <w:r w:rsidRPr="00EE3624">
        <w:rPr>
          <w:rFonts w:cs="Arial"/>
          <w:sz w:val="24"/>
          <w:szCs w:val="24"/>
        </w:rPr>
        <w:t>Throughout the year, the recipient collects and analyzes data to gain a better understanding of the needs among individuals utilizing emergency shelters and transitional housing in Idaho. This data also informs decisions pertaining to the Coordinated Entry system.</w:t>
      </w:r>
    </w:p>
    <w:p w14:paraId="1BFBC446" w14:textId="77777777" w:rsidR="005F2A7D" w:rsidRPr="00EE3624" w:rsidRDefault="005F2A7D" w:rsidP="005F2A7D">
      <w:pPr>
        <w:keepNext/>
        <w:widowControl w:val="0"/>
        <w:jc w:val="both"/>
        <w:rPr>
          <w:b/>
          <w:sz w:val="24"/>
          <w:szCs w:val="24"/>
        </w:rPr>
      </w:pPr>
      <w:r w:rsidRPr="00EE3624">
        <w:rPr>
          <w:b/>
          <w:sz w:val="24"/>
          <w:szCs w:val="24"/>
        </w:rPr>
        <w:t xml:space="preserve">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w:t>
      </w:r>
      <w:r w:rsidRPr="00EE3624">
        <w:rPr>
          <w:b/>
          <w:sz w:val="24"/>
          <w:szCs w:val="24"/>
        </w:rPr>
        <w:lastRenderedPageBreak/>
        <w:t>recently homeless from becoming homeless again</w:t>
      </w:r>
    </w:p>
    <w:p w14:paraId="24A57B63" w14:textId="77777777" w:rsidR="005F2A7D" w:rsidRPr="00EE3624" w:rsidRDefault="005F2A7D" w:rsidP="005F2A7D">
      <w:pPr>
        <w:keepNext/>
        <w:widowControl w:val="0"/>
        <w:spacing w:beforeAutospacing="1" w:afterAutospacing="1"/>
        <w:jc w:val="both"/>
        <w:rPr>
          <w:rFonts w:cs="Arial"/>
          <w:sz w:val="24"/>
          <w:szCs w:val="24"/>
        </w:rPr>
      </w:pPr>
      <w:r w:rsidRPr="00EE3624">
        <w:rPr>
          <w:rFonts w:cs="Arial"/>
          <w:sz w:val="24"/>
          <w:szCs w:val="24"/>
        </w:rPr>
        <w:t>The Idaho BoS CoC provides grants to 12 permanent supportive housing (PSH) projects throughout the state. In addition, the CoC and ESG programs fund 16 rapid rehousing (RRH) projects. Many of these projects employ a housing specialist, who works with landlords to facilitate access to affordable housing within the community.</w:t>
      </w:r>
    </w:p>
    <w:p w14:paraId="7B7B4327" w14:textId="77777777" w:rsidR="005F2A7D" w:rsidRPr="005F2A7D" w:rsidRDefault="005F2A7D" w:rsidP="005F2A7D">
      <w:pPr>
        <w:keepNext/>
        <w:widowControl w:val="0"/>
        <w:spacing w:beforeAutospacing="1" w:afterAutospacing="1"/>
        <w:jc w:val="both"/>
        <w:rPr>
          <w:rFonts w:cs="Arial"/>
          <w:sz w:val="24"/>
          <w:szCs w:val="24"/>
        </w:rPr>
      </w:pPr>
      <w:r w:rsidRPr="00EE3624">
        <w:rPr>
          <w:rFonts w:cs="Arial"/>
          <w:sz w:val="24"/>
          <w:szCs w:val="24"/>
        </w:rPr>
        <w:t>Subrecipients that receive ESG and CoC funding are required to use a Coordinated Entry system for housing prioritization. Coordinated Entry utilizes Access Points to administer assessments. Through this system, individuals experiencing chronic homelessness are prioritized. This is further refined by prioritizing subgroups, including households with pregnant members, individuals within the justice system, survivors of domestic violence, youth, households with children, and households with persons aged (62) and older. Assessments also identify if a client has recently left a mental or physical health facility, and ensure they receive the appropriate supportive housing. Through Access Points, those at risk of homelessness are referred to agencies engaged in homelessness prevention services.</w:t>
      </w:r>
    </w:p>
    <w:p w14:paraId="42CC263B" w14:textId="77777777" w:rsidR="005F2A7D" w:rsidRPr="005F2A7D" w:rsidRDefault="005F2A7D" w:rsidP="005F2A7D">
      <w:pPr>
        <w:spacing w:after="150"/>
        <w:jc w:val="both"/>
        <w:rPr>
          <w:rFonts w:asciiTheme="minorHAnsi" w:eastAsiaTheme="minorEastAsia" w:hAnsiTheme="minorHAnsi" w:cstheme="minorBidi"/>
          <w:color w:val="000000" w:themeColor="text1"/>
          <w:sz w:val="24"/>
          <w:szCs w:val="24"/>
        </w:rPr>
      </w:pPr>
      <w:r w:rsidRPr="00EE3624">
        <w:rPr>
          <w:rFonts w:asciiTheme="minorHAnsi" w:eastAsiaTheme="minorEastAsia" w:hAnsiTheme="minorHAnsi" w:cstheme="minorBidi"/>
          <w:color w:val="000000" w:themeColor="text1"/>
          <w:sz w:val="24"/>
          <w:szCs w:val="24"/>
        </w:rPr>
        <w:t xml:space="preserve">Additionally, the BoS CoC has two lived </w:t>
      </w:r>
      <w:proofErr w:type="gramStart"/>
      <w:r w:rsidRPr="00EE3624">
        <w:rPr>
          <w:rFonts w:asciiTheme="minorHAnsi" w:eastAsiaTheme="minorEastAsia" w:hAnsiTheme="minorHAnsi" w:cstheme="minorBidi"/>
          <w:color w:val="000000" w:themeColor="text1"/>
          <w:sz w:val="24"/>
          <w:szCs w:val="24"/>
        </w:rPr>
        <w:t>experience</w:t>
      </w:r>
      <w:proofErr w:type="gramEnd"/>
      <w:r w:rsidRPr="00EE3624">
        <w:rPr>
          <w:rFonts w:asciiTheme="minorHAnsi" w:eastAsiaTheme="minorEastAsia" w:hAnsiTheme="minorHAnsi" w:cstheme="minorBidi"/>
          <w:color w:val="000000" w:themeColor="text1"/>
          <w:sz w:val="24"/>
          <w:szCs w:val="24"/>
        </w:rPr>
        <w:t xml:space="preserve"> (LE) of homelessness subcommittees: the Lived Experience Panel (LEP) and the Youth Action Board (YAB). The LEP and YAB are statewide groups designed to integrate the feedback of individuals and families with LE. The LEP and YAB have input on the CE assessment rating and ranking scale. Additionally, they share how to improve the transition to PSH programs. There are currently more than 35 members between the two subcommittees.</w:t>
      </w:r>
    </w:p>
    <w:p w14:paraId="2CE3710A" w14:textId="77777777" w:rsidR="005F2A7D" w:rsidRPr="00EE3624" w:rsidRDefault="005F2A7D" w:rsidP="005F2A7D">
      <w:pPr>
        <w:keepNext/>
        <w:widowControl w:val="0"/>
        <w:jc w:val="both"/>
        <w:rPr>
          <w:b/>
          <w:sz w:val="24"/>
          <w:szCs w:val="24"/>
        </w:rPr>
      </w:pPr>
      <w:r w:rsidRPr="00EE3624">
        <w:rPr>
          <w:b/>
          <w:sz w:val="24"/>
          <w:szCs w:val="24"/>
        </w:rPr>
        <w:t>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2C744AAD" w14:textId="77777777" w:rsidR="005F2A7D" w:rsidRPr="00EE3624" w:rsidRDefault="005F2A7D" w:rsidP="005F2A7D">
      <w:pPr>
        <w:keepNext/>
        <w:widowControl w:val="0"/>
        <w:spacing w:beforeAutospacing="1" w:afterAutospacing="1"/>
        <w:jc w:val="both"/>
        <w:rPr>
          <w:rFonts w:cs="Arial"/>
          <w:sz w:val="24"/>
          <w:szCs w:val="24"/>
        </w:rPr>
      </w:pPr>
      <w:r w:rsidRPr="00EE3624">
        <w:rPr>
          <w:rFonts w:cs="Arial"/>
          <w:sz w:val="24"/>
          <w:szCs w:val="24"/>
        </w:rPr>
        <w:t xml:space="preserve">The BoS CoC continues to work to help low-income individuals and families avoid becoming homeless, especially extremely low-income individuals and families and (1) those who are being discharged from publicly funded institutions and systems of care (such as health care facilities, mental health facilities, foster care and other youth facilities, and corrections programs and institutions); and (2) those who are receiving assistance from public or private agencies that address housing, health, social services, employment, education, or youth needs. The following </w:t>
      </w:r>
      <w:r w:rsidRPr="00EE3624">
        <w:rPr>
          <w:rFonts w:cs="Arial"/>
          <w:sz w:val="24"/>
          <w:szCs w:val="24"/>
        </w:rPr>
        <w:lastRenderedPageBreak/>
        <w:t>goals and strategies guide this work:</w:t>
      </w:r>
    </w:p>
    <w:p w14:paraId="0461919D" w14:textId="079BD07A" w:rsidR="005F2A7D" w:rsidRPr="00EE3624" w:rsidRDefault="005F2A7D" w:rsidP="005F2A7D">
      <w:pPr>
        <w:keepNext/>
        <w:widowControl w:val="0"/>
        <w:spacing w:beforeAutospacing="1" w:afterAutospacing="1"/>
        <w:jc w:val="both"/>
        <w:rPr>
          <w:rFonts w:cs="Arial"/>
          <w:sz w:val="24"/>
          <w:szCs w:val="24"/>
        </w:rPr>
      </w:pPr>
      <w:r w:rsidRPr="00EE3624">
        <w:rPr>
          <w:rFonts w:cs="Arial"/>
          <w:sz w:val="24"/>
          <w:szCs w:val="24"/>
        </w:rPr>
        <w:t>1. The recipient will, over the next five (5) years, leverage the work IHFA does in administering the HUD Housing Choice Voucher (HCV) rental assistance program in 34 of the 44 counties in Idaho. The program helps low-income families, the elderly, and disabled individuals obtain decent, safe, and affordable rental housing. IHFA was awarded Mainstream Vouchers which target non-elderly disabled individuals who are either chronically homeless or are exiting institutions. Mainstream vouchers have been allocated throughout the CoC’s six regions, with clients identified and prioritized in collaboration with the CoC’s Coordinated Entry system. This ensures all housing options are made available to clients within this population and facilitates the goal of filling all the mainstream voucher slots to house as many clients as possible within this population.</w:t>
      </w:r>
    </w:p>
    <w:p w14:paraId="2E1BE171" w14:textId="77777777" w:rsidR="005F2A7D" w:rsidRPr="00EE3624" w:rsidRDefault="005F2A7D" w:rsidP="005F2A7D">
      <w:pPr>
        <w:keepNext/>
        <w:widowControl w:val="0"/>
        <w:spacing w:beforeAutospacing="1" w:afterAutospacing="1"/>
        <w:jc w:val="both"/>
        <w:rPr>
          <w:rFonts w:cs="Arial"/>
          <w:sz w:val="24"/>
          <w:szCs w:val="24"/>
        </w:rPr>
      </w:pPr>
      <w:r w:rsidRPr="00EE3624">
        <w:rPr>
          <w:rFonts w:cs="Arial"/>
          <w:sz w:val="24"/>
          <w:szCs w:val="24"/>
        </w:rPr>
        <w:t xml:space="preserve">2. The recipient will continue, over the next five (5) years, to strengthen relationships with school systems and the foster care system in Idaho to prevent homelessness among youth aging out of foster care. The recipient received Youth Homeless System Improvement (YHSI) funds </w:t>
      </w:r>
      <w:proofErr w:type="gramStart"/>
      <w:r w:rsidRPr="00EE3624">
        <w:rPr>
          <w:rFonts w:cs="Arial"/>
          <w:sz w:val="24"/>
          <w:szCs w:val="24"/>
        </w:rPr>
        <w:t>in order to</w:t>
      </w:r>
      <w:proofErr w:type="gramEnd"/>
      <w:r w:rsidRPr="00EE3624">
        <w:rPr>
          <w:rFonts w:cs="Arial"/>
          <w:sz w:val="24"/>
          <w:szCs w:val="24"/>
        </w:rPr>
        <w:t xml:space="preserve"> build capacity to increase partnerships with these entities and other stakeholders in youth homelessness prevention and response. They also received Youth Homeless Development Planning (YHDP) grant funding to assist youth exiting the foster care system transition into more permanent housing. </w:t>
      </w:r>
    </w:p>
    <w:p w14:paraId="7EA488BC" w14:textId="77777777" w:rsidR="005F2A7D" w:rsidRPr="00EE3624" w:rsidRDefault="005F2A7D" w:rsidP="005F2A7D">
      <w:pPr>
        <w:keepNext/>
        <w:widowControl w:val="0"/>
        <w:spacing w:after="150"/>
        <w:jc w:val="both"/>
        <w:rPr>
          <w:rFonts w:asciiTheme="minorHAnsi" w:eastAsiaTheme="minorEastAsia" w:hAnsiTheme="minorHAnsi" w:cstheme="minorBidi"/>
          <w:color w:val="000000" w:themeColor="text1"/>
          <w:sz w:val="24"/>
          <w:szCs w:val="24"/>
        </w:rPr>
      </w:pPr>
      <w:r w:rsidRPr="00EE3624">
        <w:rPr>
          <w:rFonts w:cs="Arial"/>
          <w:sz w:val="24"/>
          <w:szCs w:val="24"/>
        </w:rPr>
        <w:t>3.</w:t>
      </w:r>
      <w:r w:rsidRPr="00EE3624">
        <w:rPr>
          <w:rFonts w:asciiTheme="minorHAnsi" w:eastAsiaTheme="minorEastAsia" w:hAnsiTheme="minorHAnsi" w:cstheme="minorBidi"/>
          <w:sz w:val="24"/>
          <w:szCs w:val="24"/>
        </w:rPr>
        <w:t xml:space="preserve"> </w:t>
      </w:r>
      <w:r w:rsidRPr="00EE3624">
        <w:rPr>
          <w:rFonts w:asciiTheme="minorHAnsi" w:eastAsiaTheme="minorEastAsia" w:hAnsiTheme="minorHAnsi" w:cstheme="minorBidi"/>
          <w:color w:val="000000" w:themeColor="text1"/>
          <w:sz w:val="24"/>
          <w:szCs w:val="24"/>
        </w:rPr>
        <w:t>The recipient will continue to let the Youth Action Board (YAB) lead YHSI and YHDP initiatives. The YAB is comprised of many youths who have exited foster care, corrections programs, and other institutions or have exited from homelessness. The YAB use their insight to guide program development and keep other youths from experiencing homelessness.</w:t>
      </w:r>
    </w:p>
    <w:p w14:paraId="091E8897" w14:textId="19DFDF27" w:rsidR="005F2A7D" w:rsidRPr="00EE3624" w:rsidRDefault="005F2A7D" w:rsidP="005F2A7D">
      <w:pPr>
        <w:keepNext/>
        <w:widowControl w:val="0"/>
        <w:spacing w:beforeAutospacing="1" w:afterAutospacing="1"/>
        <w:jc w:val="both"/>
        <w:rPr>
          <w:rFonts w:cs="Arial"/>
          <w:sz w:val="24"/>
          <w:szCs w:val="24"/>
        </w:rPr>
      </w:pPr>
      <w:r w:rsidRPr="00EE3624">
        <w:rPr>
          <w:rFonts w:cs="Arial"/>
          <w:sz w:val="24"/>
          <w:szCs w:val="24"/>
        </w:rPr>
        <w:t>4. Over the next five (5) years, the recipient will ensure that all agencies receiving ESG funds in Idaho offer services that educate and counsel individuals and families to develop skills that promote self-sufficiency, including connecting to SOAR resources when appropriate.</w:t>
      </w:r>
    </w:p>
    <w:p w14:paraId="736AB8BB" w14:textId="77777777" w:rsidR="005F2A7D" w:rsidRPr="00EE3624" w:rsidRDefault="005F2A7D" w:rsidP="005F2A7D">
      <w:pPr>
        <w:keepNext/>
        <w:widowControl w:val="0"/>
        <w:spacing w:beforeAutospacing="1" w:afterAutospacing="1"/>
        <w:jc w:val="both"/>
        <w:rPr>
          <w:rFonts w:cs="Arial"/>
          <w:sz w:val="24"/>
          <w:szCs w:val="24"/>
        </w:rPr>
      </w:pPr>
      <w:r w:rsidRPr="00EE3624">
        <w:rPr>
          <w:rFonts w:cs="Arial"/>
          <w:sz w:val="24"/>
          <w:szCs w:val="24"/>
        </w:rPr>
        <w:t xml:space="preserve">5. Approximately 59% of the ESG funding not associated with shelter activities is used to fund Homelessness Prevention or Rapid Rehousing (RRH) efforts. This funding allocation will remain </w:t>
      </w:r>
      <w:proofErr w:type="gramStart"/>
      <w:r w:rsidRPr="00EE3624">
        <w:rPr>
          <w:rFonts w:cs="Arial"/>
          <w:sz w:val="24"/>
          <w:szCs w:val="24"/>
        </w:rPr>
        <w:t>fairly consistent</w:t>
      </w:r>
      <w:proofErr w:type="gramEnd"/>
      <w:r w:rsidRPr="00EE3624">
        <w:rPr>
          <w:rFonts w:cs="Arial"/>
          <w:sz w:val="24"/>
          <w:szCs w:val="24"/>
        </w:rPr>
        <w:t xml:space="preserve"> over the coming year. These funds are leveraged with services to assist families or individuals in evaluating their primary cause(s) of becoming or being at risk of homelessness.</w:t>
      </w:r>
    </w:p>
    <w:p w14:paraId="603DE0C2" w14:textId="77777777" w:rsidR="005F2A7D" w:rsidRPr="00EE3624" w:rsidRDefault="005F2A7D" w:rsidP="005F2A7D">
      <w:pPr>
        <w:keepNext/>
        <w:widowControl w:val="0"/>
        <w:spacing w:beforeAutospacing="1" w:afterAutospacing="1"/>
        <w:jc w:val="both"/>
        <w:rPr>
          <w:rFonts w:cs="Arial"/>
          <w:sz w:val="24"/>
          <w:szCs w:val="24"/>
        </w:rPr>
      </w:pPr>
      <w:r w:rsidRPr="00EE3624">
        <w:rPr>
          <w:rFonts w:cs="Arial"/>
          <w:sz w:val="24"/>
          <w:szCs w:val="24"/>
        </w:rPr>
        <w:t xml:space="preserve">6. Over the next five (5) years, the recipient will continue to work with public and private agencies that address housing, health, social services, employment, education, or youth needs in making them aware of the Coordinated Entry system so that those needing housing assistance can be </w:t>
      </w:r>
      <w:r w:rsidRPr="00EE3624">
        <w:rPr>
          <w:rFonts w:cs="Arial"/>
          <w:sz w:val="24"/>
          <w:szCs w:val="24"/>
        </w:rPr>
        <w:lastRenderedPageBreak/>
        <w:t>referred and assessed and have access to appropriate programs as they are available.</w:t>
      </w:r>
    </w:p>
    <w:p w14:paraId="7A3F844B" w14:textId="77777777" w:rsidR="009A2C2E" w:rsidRDefault="009A2C2E" w:rsidP="009A2C2E">
      <w:pPr>
        <w:keepNext/>
        <w:widowControl w:val="0"/>
        <w:spacing w:line="204" w:lineRule="auto"/>
        <w:rPr>
          <w:b/>
          <w:sz w:val="24"/>
          <w:szCs w:val="24"/>
        </w:rPr>
      </w:pPr>
      <w:r>
        <w:rPr>
          <w:b/>
          <w:sz w:val="24"/>
          <w:szCs w:val="24"/>
        </w:rPr>
        <w:t>Discussion</w:t>
      </w:r>
    </w:p>
    <w:p w14:paraId="71C32994" w14:textId="7EAFB1D1" w:rsidR="009A2C2E" w:rsidRPr="005F2A7D" w:rsidRDefault="005F2A7D" w:rsidP="009A2C2E">
      <w:pPr>
        <w:keepNext/>
        <w:widowControl w:val="0"/>
        <w:spacing w:line="204" w:lineRule="auto"/>
        <w:rPr>
          <w:bCs/>
          <w:sz w:val="24"/>
          <w:szCs w:val="24"/>
        </w:rPr>
      </w:pPr>
      <w:r w:rsidRPr="005F2A7D">
        <w:rPr>
          <w:bCs/>
          <w:sz w:val="24"/>
          <w:szCs w:val="24"/>
        </w:rPr>
        <w:t>None.</w:t>
      </w:r>
    </w:p>
    <w:p w14:paraId="671F082D" w14:textId="77777777" w:rsidR="009A2C2E" w:rsidRDefault="009A2C2E" w:rsidP="009A2C2E">
      <w:pPr>
        <w:keepNext/>
        <w:widowControl w:val="0"/>
        <w:spacing w:after="0" w:line="240" w:lineRule="auto"/>
        <w:jc w:val="center"/>
        <w:rPr>
          <w:rFonts w:cs="Arial"/>
        </w:rPr>
      </w:pPr>
    </w:p>
    <w:p w14:paraId="2C899877" w14:textId="77777777" w:rsidR="009A2C2E" w:rsidRDefault="009A2C2E" w:rsidP="009A2C2E">
      <w:pPr>
        <w:pStyle w:val="Heading2"/>
        <w:pageBreakBefore/>
        <w:widowControl w:val="0"/>
        <w:rPr>
          <w:rFonts w:ascii="Calibri" w:hAnsi="Calibri"/>
          <w:i/>
        </w:rPr>
      </w:pPr>
      <w:bookmarkStart w:id="140" w:name="_Toc191358762"/>
      <w:bookmarkStart w:id="141" w:name="_Toc194673886"/>
      <w:r>
        <w:rPr>
          <w:rFonts w:ascii="Calibri" w:hAnsi="Calibri"/>
        </w:rPr>
        <w:lastRenderedPageBreak/>
        <w:t>AP-75 Barriers to affordable housing – 91.320(i)</w:t>
      </w:r>
      <w:bookmarkEnd w:id="140"/>
      <w:bookmarkEnd w:id="141"/>
    </w:p>
    <w:p w14:paraId="35AAD935" w14:textId="35512F4E" w:rsidR="009A2C2E" w:rsidRDefault="009A2C2E" w:rsidP="009A2C2E">
      <w:pPr>
        <w:keepNext/>
        <w:widowControl w:val="0"/>
        <w:spacing w:line="204" w:lineRule="auto"/>
        <w:rPr>
          <w:b/>
          <w:sz w:val="24"/>
          <w:szCs w:val="24"/>
        </w:rPr>
      </w:pPr>
      <w:r>
        <w:rPr>
          <w:b/>
          <w:sz w:val="24"/>
          <w:szCs w:val="24"/>
        </w:rPr>
        <w:t xml:space="preserve">Introduction: </w:t>
      </w:r>
    </w:p>
    <w:p w14:paraId="01EB0B1A" w14:textId="77777777" w:rsidR="003D336B" w:rsidRPr="005F2A7D" w:rsidRDefault="003D336B" w:rsidP="005F2A7D">
      <w:pPr>
        <w:spacing w:beforeAutospacing="1" w:afterAutospacing="1"/>
        <w:jc w:val="both"/>
        <w:rPr>
          <w:rFonts w:cs="Arial"/>
          <w:sz w:val="24"/>
          <w:szCs w:val="24"/>
        </w:rPr>
      </w:pPr>
      <w:r w:rsidRPr="005F2A7D">
        <w:rPr>
          <w:rFonts w:cs="Arial"/>
          <w:sz w:val="24"/>
          <w:szCs w:val="24"/>
        </w:rPr>
        <w:t xml:space="preserve">A barrier to affordable housing in an action, omission, or decision (1) taken because of race, color, religion, sex, disability, familial status, or national origin (referred to as protected classes) that restrict housing choices or the availability of housing choices, (2) that have the effect of restricting housing choices or the availability of housing choices based on a protected class, or (3) that constitutes or contributes to a denial of housing. Beyond basic education and outreach, any recipient of federal funds from the U.S. Department of Housing and Urban Development must document actions that ‘affirmatively further fair housing.’ The State’s 2022-2027 Analysis of Impediments to Fair Housing (AI) provides an overview of impediments to housing access and fair housing compliance.  The AI also sets forth action steps to address these impediments over the next five years.  These impediments and actions are summarized below.  </w:t>
      </w:r>
    </w:p>
    <w:p w14:paraId="3527BE3C" w14:textId="77777777" w:rsidR="009A2C2E" w:rsidRPr="005F2A7D" w:rsidRDefault="009A2C2E" w:rsidP="787E070B">
      <w:pPr>
        <w:keepNext/>
        <w:widowControl w:val="0"/>
        <w:rPr>
          <w:b/>
          <w:bCs/>
          <w:sz w:val="24"/>
          <w:szCs w:val="24"/>
        </w:rPr>
      </w:pPr>
      <w:r w:rsidRPr="005F2A7D">
        <w:rPr>
          <w:b/>
          <w:bCs/>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690BAEEE" w14:textId="77777777" w:rsidR="003D336B" w:rsidRPr="005F2A7D" w:rsidRDefault="003D336B" w:rsidP="005F2A7D">
      <w:pPr>
        <w:jc w:val="both"/>
        <w:rPr>
          <w:bCs/>
          <w:sz w:val="24"/>
          <w:szCs w:val="24"/>
        </w:rPr>
      </w:pPr>
      <w:r w:rsidRPr="005F2A7D">
        <w:rPr>
          <w:bCs/>
          <w:sz w:val="24"/>
          <w:szCs w:val="24"/>
        </w:rPr>
        <w:t xml:space="preserve">Below are key impediments and corresponding broad action items identified in the 2022-2027 AI. These actions will be carried out during the period of this Consolidated Plan to address barriers to affordable housing.  </w:t>
      </w:r>
    </w:p>
    <w:p w14:paraId="0042D2E1" w14:textId="77777777" w:rsidR="003D336B" w:rsidRPr="005F2A7D" w:rsidRDefault="003D336B" w:rsidP="003D336B">
      <w:pPr>
        <w:rPr>
          <w:bCs/>
          <w:sz w:val="24"/>
          <w:szCs w:val="24"/>
        </w:rPr>
      </w:pPr>
      <w:r w:rsidRPr="005F2A7D">
        <w:rPr>
          <w:b/>
          <w:i/>
          <w:iCs/>
          <w:sz w:val="24"/>
          <w:szCs w:val="24"/>
        </w:rPr>
        <w:t xml:space="preserve">Impediment No. 1: </w:t>
      </w:r>
      <w:r w:rsidRPr="005F2A7D">
        <w:rPr>
          <w:bCs/>
          <w:sz w:val="24"/>
          <w:szCs w:val="24"/>
        </w:rPr>
        <w:t xml:space="preserve">Many Idaho workers earn low wages that have failed to keep pace with housing cost increases and some residents remain unemployed despite a strong labor market. These residents face persistent cost burden. </w:t>
      </w:r>
    </w:p>
    <w:p w14:paraId="1EA0C33A" w14:textId="77777777" w:rsidR="003D336B" w:rsidRPr="005F2A7D" w:rsidRDefault="003D336B" w:rsidP="003D336B">
      <w:pPr>
        <w:ind w:left="720"/>
        <w:rPr>
          <w:bCs/>
          <w:sz w:val="24"/>
          <w:szCs w:val="24"/>
        </w:rPr>
      </w:pPr>
      <w:r w:rsidRPr="005F2A7D">
        <w:rPr>
          <w:bCs/>
          <w:sz w:val="24"/>
          <w:szCs w:val="24"/>
        </w:rPr>
        <w:t xml:space="preserve">Action item No. 1: Address workers’ and residents’ housing needs through incentives, funding, and technical assistance. </w:t>
      </w:r>
    </w:p>
    <w:p w14:paraId="186E5879" w14:textId="77777777" w:rsidR="003D336B" w:rsidRPr="005F2A7D" w:rsidRDefault="003D336B" w:rsidP="003D336B">
      <w:pPr>
        <w:rPr>
          <w:bCs/>
          <w:sz w:val="24"/>
          <w:szCs w:val="24"/>
        </w:rPr>
      </w:pPr>
      <w:r w:rsidRPr="005F2A7D">
        <w:rPr>
          <w:bCs/>
          <w:sz w:val="24"/>
          <w:szCs w:val="24"/>
        </w:rPr>
        <w:t>I</w:t>
      </w:r>
      <w:r w:rsidRPr="005F2A7D">
        <w:rPr>
          <w:b/>
          <w:i/>
          <w:iCs/>
          <w:sz w:val="24"/>
          <w:szCs w:val="24"/>
        </w:rPr>
        <w:t xml:space="preserve">mpediment No. 2: </w:t>
      </w:r>
      <w:r w:rsidRPr="005F2A7D">
        <w:rPr>
          <w:bCs/>
          <w:sz w:val="24"/>
          <w:szCs w:val="24"/>
        </w:rPr>
        <w:t xml:space="preserve">Housing needs persist—and disproportionately affect persons with disabilities and racial and ethnic minority households. </w:t>
      </w:r>
    </w:p>
    <w:p w14:paraId="5C44D7FF" w14:textId="77777777" w:rsidR="003D336B" w:rsidRPr="005F2A7D" w:rsidRDefault="003D336B" w:rsidP="003D336B">
      <w:pPr>
        <w:ind w:left="720"/>
        <w:rPr>
          <w:bCs/>
          <w:sz w:val="24"/>
          <w:szCs w:val="24"/>
        </w:rPr>
      </w:pPr>
      <w:r w:rsidRPr="005F2A7D">
        <w:rPr>
          <w:bCs/>
          <w:sz w:val="24"/>
          <w:szCs w:val="24"/>
        </w:rPr>
        <w:t xml:space="preserve">Action item No. 2a: Reduce disparities in housing needs among persons with disabilities and racial and ethnic minority households. </w:t>
      </w:r>
    </w:p>
    <w:p w14:paraId="581F3AC3" w14:textId="77777777" w:rsidR="003D336B" w:rsidRPr="005F2A7D" w:rsidRDefault="003D336B" w:rsidP="003D336B">
      <w:pPr>
        <w:ind w:left="720"/>
        <w:rPr>
          <w:bCs/>
          <w:sz w:val="24"/>
          <w:szCs w:val="24"/>
        </w:rPr>
      </w:pPr>
      <w:r w:rsidRPr="005F2A7D">
        <w:rPr>
          <w:bCs/>
          <w:sz w:val="24"/>
          <w:szCs w:val="24"/>
        </w:rPr>
        <w:t xml:space="preserve">Action item No. 2b: Increase the number of accessible and visitable housing units and accessible neighborhoods for persons with disabilities. </w:t>
      </w:r>
    </w:p>
    <w:p w14:paraId="411E1E9C" w14:textId="77777777" w:rsidR="003D336B" w:rsidRPr="005F2A7D" w:rsidRDefault="003D336B" w:rsidP="003D336B">
      <w:pPr>
        <w:rPr>
          <w:bCs/>
          <w:sz w:val="24"/>
          <w:szCs w:val="24"/>
        </w:rPr>
      </w:pPr>
      <w:r w:rsidRPr="005F2A7D">
        <w:rPr>
          <w:b/>
          <w:i/>
          <w:iCs/>
          <w:sz w:val="24"/>
          <w:szCs w:val="24"/>
        </w:rPr>
        <w:t xml:space="preserve">Impediment No. 3: </w:t>
      </w:r>
      <w:r w:rsidRPr="005F2A7D">
        <w:rPr>
          <w:bCs/>
          <w:sz w:val="24"/>
          <w:szCs w:val="24"/>
        </w:rPr>
        <w:t xml:space="preserve">Idaho’s regulatory stance on laws affecting affordable housing does not actively facilitate housing production. </w:t>
      </w:r>
    </w:p>
    <w:p w14:paraId="3B89235C" w14:textId="77777777" w:rsidR="003D336B" w:rsidRPr="005F2A7D" w:rsidRDefault="003D336B" w:rsidP="003D336B">
      <w:pPr>
        <w:ind w:firstLine="720"/>
        <w:rPr>
          <w:bCs/>
          <w:sz w:val="24"/>
          <w:szCs w:val="24"/>
        </w:rPr>
      </w:pPr>
      <w:r w:rsidRPr="005F2A7D">
        <w:rPr>
          <w:bCs/>
          <w:sz w:val="24"/>
          <w:szCs w:val="24"/>
        </w:rPr>
        <w:lastRenderedPageBreak/>
        <w:t xml:space="preserve">Action item No. 3: Support legislative efforts to expand housing choice. </w:t>
      </w:r>
    </w:p>
    <w:p w14:paraId="5C9ABEFA" w14:textId="77777777" w:rsidR="009A2C2E" w:rsidRPr="005F2A7D" w:rsidRDefault="009A2C2E" w:rsidP="009A2C2E">
      <w:pPr>
        <w:keepNext/>
        <w:widowControl w:val="0"/>
        <w:spacing w:line="204" w:lineRule="auto"/>
        <w:rPr>
          <w:b/>
          <w:sz w:val="24"/>
          <w:szCs w:val="24"/>
        </w:rPr>
      </w:pPr>
    </w:p>
    <w:p w14:paraId="379D5C6E" w14:textId="77777777" w:rsidR="009A2C2E" w:rsidRDefault="009A2C2E" w:rsidP="009A2C2E">
      <w:pPr>
        <w:pStyle w:val="Heading2"/>
        <w:pageBreakBefore/>
        <w:widowControl w:val="0"/>
        <w:rPr>
          <w:rFonts w:ascii="Calibri" w:hAnsi="Calibri"/>
          <w:i/>
        </w:rPr>
      </w:pPr>
      <w:bookmarkStart w:id="142" w:name="_Toc191358763"/>
      <w:bookmarkStart w:id="143" w:name="_Toc194673887"/>
      <w:r>
        <w:rPr>
          <w:rFonts w:ascii="Calibri" w:hAnsi="Calibri"/>
        </w:rPr>
        <w:lastRenderedPageBreak/>
        <w:t>AP-85 Other Actions – 91.320(j)</w:t>
      </w:r>
      <w:bookmarkEnd w:id="142"/>
      <w:bookmarkEnd w:id="143"/>
    </w:p>
    <w:p w14:paraId="2AEFB91C" w14:textId="526A72F7" w:rsidR="009A2C2E" w:rsidRDefault="009A2C2E" w:rsidP="009A2C2E">
      <w:pPr>
        <w:keepNext/>
        <w:widowControl w:val="0"/>
        <w:spacing w:line="204" w:lineRule="auto"/>
        <w:rPr>
          <w:b/>
          <w:sz w:val="24"/>
          <w:szCs w:val="24"/>
        </w:rPr>
      </w:pPr>
      <w:r>
        <w:rPr>
          <w:b/>
          <w:sz w:val="24"/>
          <w:szCs w:val="24"/>
        </w:rPr>
        <w:t xml:space="preserve">Introduction: </w:t>
      </w:r>
    </w:p>
    <w:p w14:paraId="499D3625" w14:textId="573B8F57" w:rsidR="009A2C2E" w:rsidRPr="005F2A7D" w:rsidRDefault="005F2A7D" w:rsidP="005F2A7D">
      <w:pPr>
        <w:keepNext/>
        <w:widowControl w:val="0"/>
        <w:spacing w:line="204" w:lineRule="auto"/>
        <w:jc w:val="both"/>
        <w:rPr>
          <w:bCs/>
          <w:sz w:val="24"/>
          <w:szCs w:val="24"/>
        </w:rPr>
      </w:pPr>
      <w:r w:rsidRPr="005F2A7D">
        <w:rPr>
          <w:bCs/>
          <w:sz w:val="24"/>
          <w:szCs w:val="24"/>
        </w:rPr>
        <w:t xml:space="preserve">This section discusses other actions under each of the funded programs in this Consolidated Plan. </w:t>
      </w:r>
    </w:p>
    <w:p w14:paraId="2F331484" w14:textId="77777777" w:rsidR="009A2C2E" w:rsidRDefault="009A2C2E" w:rsidP="005F2A7D">
      <w:pPr>
        <w:keepNext/>
        <w:widowControl w:val="0"/>
        <w:jc w:val="both"/>
        <w:rPr>
          <w:b/>
          <w:sz w:val="24"/>
          <w:szCs w:val="24"/>
        </w:rPr>
      </w:pPr>
      <w:r>
        <w:rPr>
          <w:b/>
          <w:sz w:val="24"/>
          <w:szCs w:val="24"/>
        </w:rPr>
        <w:t>Actions planned to address obstacles to meeting underserved needs</w:t>
      </w:r>
    </w:p>
    <w:p w14:paraId="55A6D515" w14:textId="02855C39" w:rsidR="009A2C2E" w:rsidRPr="005F2A7D" w:rsidRDefault="7EDE2230" w:rsidP="005F2A7D">
      <w:pPr>
        <w:keepNext/>
        <w:widowControl w:val="0"/>
        <w:spacing w:beforeAutospacing="1" w:afterAutospacing="1"/>
        <w:jc w:val="both"/>
        <w:rPr>
          <w:rFonts w:cs="Arial"/>
          <w:sz w:val="24"/>
          <w:szCs w:val="24"/>
        </w:rPr>
      </w:pPr>
      <w:r w:rsidRPr="005F2A7D">
        <w:rPr>
          <w:rFonts w:cs="Arial"/>
          <w:b/>
          <w:bCs/>
          <w:sz w:val="24"/>
          <w:szCs w:val="24"/>
        </w:rPr>
        <w:t>Emergency S</w:t>
      </w:r>
      <w:r w:rsidR="572BAA53" w:rsidRPr="005F2A7D">
        <w:rPr>
          <w:rFonts w:cs="Arial"/>
          <w:b/>
          <w:bCs/>
          <w:sz w:val="24"/>
          <w:szCs w:val="24"/>
        </w:rPr>
        <w:t>olutions</w:t>
      </w:r>
      <w:r w:rsidRPr="005F2A7D">
        <w:rPr>
          <w:rFonts w:cs="Arial"/>
          <w:b/>
          <w:bCs/>
          <w:sz w:val="24"/>
          <w:szCs w:val="24"/>
        </w:rPr>
        <w:t xml:space="preserve"> Grant </w:t>
      </w:r>
      <w:r w:rsidR="17DCABAE" w:rsidRPr="005F2A7D">
        <w:rPr>
          <w:rFonts w:cs="Arial"/>
          <w:b/>
          <w:bCs/>
          <w:sz w:val="24"/>
          <w:szCs w:val="24"/>
        </w:rPr>
        <w:t xml:space="preserve">Program </w:t>
      </w:r>
      <w:r w:rsidRPr="005F2A7D">
        <w:rPr>
          <w:rFonts w:cs="Arial"/>
          <w:b/>
          <w:bCs/>
          <w:sz w:val="24"/>
          <w:szCs w:val="24"/>
        </w:rPr>
        <w:t>(</w:t>
      </w:r>
      <w:r w:rsidR="009A2C2E" w:rsidRPr="005F2A7D">
        <w:rPr>
          <w:rFonts w:cs="Arial"/>
          <w:b/>
          <w:sz w:val="24"/>
          <w:szCs w:val="24"/>
        </w:rPr>
        <w:t>ESG</w:t>
      </w:r>
      <w:r w:rsidR="29865A8A" w:rsidRPr="005F2A7D">
        <w:rPr>
          <w:rFonts w:cs="Arial"/>
          <w:b/>
          <w:bCs/>
          <w:sz w:val="24"/>
          <w:szCs w:val="24"/>
        </w:rPr>
        <w:t>)</w:t>
      </w:r>
      <w:r w:rsidR="7B270814" w:rsidRPr="005F2A7D">
        <w:rPr>
          <w:rFonts w:cs="Arial"/>
          <w:b/>
          <w:bCs/>
          <w:sz w:val="24"/>
          <w:szCs w:val="24"/>
        </w:rPr>
        <w:t>-</w:t>
      </w:r>
      <w:r w:rsidR="009A2C2E" w:rsidRPr="005F2A7D">
        <w:rPr>
          <w:rFonts w:cs="Arial"/>
          <w:sz w:val="24"/>
          <w:szCs w:val="24"/>
        </w:rPr>
        <w:t xml:space="preserve"> Like many locations throughout the United States, Idaho is experiencing a lack of available rental units. To address this obstacle, the recipient is devoting additional resources to ESG homelessness prevention programs. These programs help individuals and families remain in their current home and avoid the need to find a new rental unit in this competitive market. The recipient is encouraging subrecipients to fund positions for housing specialists, who can focus on building relationships with landlords and support housing mediation.</w:t>
      </w:r>
    </w:p>
    <w:p w14:paraId="7C496B41" w14:textId="6BABECE9" w:rsidR="009A2C2E" w:rsidRPr="005F2A7D" w:rsidRDefault="009A2C2E" w:rsidP="005F2A7D">
      <w:pPr>
        <w:keepNext/>
        <w:widowControl w:val="0"/>
        <w:spacing w:beforeAutospacing="1" w:afterAutospacing="1"/>
        <w:jc w:val="both"/>
        <w:rPr>
          <w:rFonts w:cs="Arial"/>
          <w:sz w:val="24"/>
          <w:szCs w:val="24"/>
        </w:rPr>
      </w:pPr>
      <w:r w:rsidRPr="005F2A7D">
        <w:rPr>
          <w:rFonts w:cs="Arial"/>
          <w:sz w:val="24"/>
          <w:szCs w:val="24"/>
        </w:rPr>
        <w:t xml:space="preserve">In conjunction with the lack of housing inventory, available housing is unaffordable for many individuals and families, causing a rise in first time homelessness. The recipient is addressing this obstacle by allowing subrecipients to utilize rent reasonableness standards, versus fair market rent values. By utilizing rent </w:t>
      </w:r>
      <w:proofErr w:type="gramStart"/>
      <w:r w:rsidRPr="005F2A7D">
        <w:rPr>
          <w:rFonts w:cs="Arial"/>
          <w:sz w:val="24"/>
          <w:szCs w:val="24"/>
        </w:rPr>
        <w:t>reasonableness</w:t>
      </w:r>
      <w:proofErr w:type="gramEnd"/>
      <w:r w:rsidRPr="005F2A7D">
        <w:rPr>
          <w:rFonts w:cs="Arial"/>
          <w:sz w:val="24"/>
          <w:szCs w:val="24"/>
        </w:rPr>
        <w:t xml:space="preserve"> standards, subrecipients </w:t>
      </w:r>
      <w:proofErr w:type="gramStart"/>
      <w:r w:rsidRPr="005F2A7D">
        <w:rPr>
          <w:rFonts w:cs="Arial"/>
          <w:sz w:val="24"/>
          <w:szCs w:val="24"/>
        </w:rPr>
        <w:t>are able to</w:t>
      </w:r>
      <w:proofErr w:type="gramEnd"/>
      <w:r w:rsidRPr="005F2A7D">
        <w:rPr>
          <w:rFonts w:cs="Arial"/>
          <w:sz w:val="24"/>
          <w:szCs w:val="24"/>
        </w:rPr>
        <w:t xml:space="preserve"> pay a competitive rent and either keep clients housed or find reasonable accommodations.</w:t>
      </w:r>
    </w:p>
    <w:p w14:paraId="27A49AA5" w14:textId="57669ED6" w:rsidR="009A2C2E" w:rsidRPr="005F2A7D" w:rsidRDefault="009A2C2E" w:rsidP="005F2A7D">
      <w:pPr>
        <w:keepNext/>
        <w:widowControl w:val="0"/>
        <w:spacing w:beforeAutospacing="1" w:afterAutospacing="1"/>
        <w:jc w:val="both"/>
        <w:rPr>
          <w:rFonts w:cs="Arial"/>
          <w:sz w:val="24"/>
          <w:szCs w:val="24"/>
        </w:rPr>
      </w:pPr>
      <w:r w:rsidRPr="005F2A7D">
        <w:rPr>
          <w:rFonts w:cs="Arial"/>
          <w:sz w:val="24"/>
          <w:szCs w:val="24"/>
        </w:rPr>
        <w:t xml:space="preserve">The recipient oversees ESG funding for the entire state of Idaho. This expansive and diverse geographic area can sometimes lead to obstacles regarding communication and consistency. </w:t>
      </w:r>
      <w:proofErr w:type="gramStart"/>
      <w:r w:rsidRPr="005F2A7D">
        <w:rPr>
          <w:rFonts w:cs="Arial"/>
          <w:sz w:val="24"/>
          <w:szCs w:val="24"/>
        </w:rPr>
        <w:t>In order to</w:t>
      </w:r>
      <w:proofErr w:type="gramEnd"/>
      <w:r w:rsidRPr="005F2A7D">
        <w:rPr>
          <w:rFonts w:cs="Arial"/>
          <w:sz w:val="24"/>
          <w:szCs w:val="24"/>
        </w:rPr>
        <w:t xml:space="preserve"> overcome this challenge, the recipient requires all ESG subrecipients to participate in regional housing coalition meetings and/or HIC subcommittees. These meetings provide the recipient with a forum to disseminate important information while gaining insight into local communities. The recipient also provides technical assistance to subrecipients throughout the year. Housing roundtables, hosted by IHFA, are one more opportunity to improve communication and consistency among housing stakeholders.</w:t>
      </w:r>
    </w:p>
    <w:p w14:paraId="70CD737F" w14:textId="5C5E0098" w:rsidR="009A2C2E" w:rsidRPr="005F2A7D" w:rsidRDefault="009A2C2E" w:rsidP="005F2A7D">
      <w:pPr>
        <w:keepNext/>
        <w:widowControl w:val="0"/>
        <w:spacing w:beforeAutospacing="1" w:afterAutospacing="1"/>
        <w:jc w:val="both"/>
        <w:rPr>
          <w:rFonts w:cs="Arial"/>
          <w:sz w:val="24"/>
          <w:szCs w:val="24"/>
        </w:rPr>
      </w:pPr>
      <w:r w:rsidRPr="005F2A7D">
        <w:rPr>
          <w:rFonts w:cs="Arial"/>
          <w:b/>
          <w:sz w:val="24"/>
          <w:szCs w:val="24"/>
        </w:rPr>
        <w:t xml:space="preserve">HOME and </w:t>
      </w:r>
      <w:r w:rsidR="005F2A7D">
        <w:rPr>
          <w:rFonts w:cs="Arial"/>
          <w:b/>
          <w:sz w:val="24"/>
          <w:szCs w:val="24"/>
        </w:rPr>
        <w:t>Housing Trust Fund (</w:t>
      </w:r>
      <w:r w:rsidRPr="005F2A7D">
        <w:rPr>
          <w:rFonts w:cs="Arial"/>
          <w:b/>
          <w:sz w:val="24"/>
          <w:szCs w:val="24"/>
        </w:rPr>
        <w:t>HTF</w:t>
      </w:r>
      <w:r w:rsidR="005F2A7D">
        <w:rPr>
          <w:rFonts w:cs="Arial"/>
          <w:b/>
          <w:sz w:val="24"/>
          <w:szCs w:val="24"/>
        </w:rPr>
        <w:t>)</w:t>
      </w:r>
      <w:r w:rsidRPr="005F2A7D">
        <w:rPr>
          <w:rFonts w:cs="Arial"/>
          <w:sz w:val="24"/>
          <w:szCs w:val="24"/>
        </w:rPr>
        <w:t>- Statewide affordable housing strategies to meet underserved permanent housing needs include the creation and preservation of permanent affordable rental housing throughout Idaho. IHFA</w:t>
      </w:r>
      <w:r w:rsidR="00FB1FA9" w:rsidRPr="005F2A7D">
        <w:rPr>
          <w:rFonts w:cs="Arial"/>
          <w:sz w:val="24"/>
          <w:szCs w:val="24"/>
        </w:rPr>
        <w:t xml:space="preserve"> will</w:t>
      </w:r>
      <w:r w:rsidRPr="005F2A7D">
        <w:rPr>
          <w:rFonts w:cs="Arial"/>
          <w:sz w:val="24"/>
          <w:szCs w:val="24"/>
        </w:rPr>
        <w:t xml:space="preserve"> publish a notice of funding availability for multifamily rental activities </w:t>
      </w:r>
      <w:r w:rsidR="00FB1FA9" w:rsidRPr="005F2A7D">
        <w:rPr>
          <w:rFonts w:cs="Arial"/>
          <w:sz w:val="24"/>
          <w:szCs w:val="24"/>
        </w:rPr>
        <w:t>as program income is available and will transition to a rolling application towards the end of 2025, early 2026.</w:t>
      </w:r>
    </w:p>
    <w:p w14:paraId="14D4BAE3" w14:textId="77777777" w:rsidR="009A2C2E" w:rsidRPr="005F2A7D" w:rsidRDefault="009A2C2E" w:rsidP="005F2A7D">
      <w:pPr>
        <w:keepNext/>
        <w:widowControl w:val="0"/>
        <w:jc w:val="both"/>
        <w:rPr>
          <w:b/>
          <w:sz w:val="24"/>
          <w:szCs w:val="24"/>
        </w:rPr>
      </w:pPr>
      <w:r w:rsidRPr="005F2A7D">
        <w:rPr>
          <w:b/>
          <w:sz w:val="24"/>
          <w:szCs w:val="24"/>
        </w:rPr>
        <w:t>Actions planned to foster and maintain affordable housing</w:t>
      </w:r>
    </w:p>
    <w:p w14:paraId="401251BC" w14:textId="3E1F02A2" w:rsidR="009A2C2E" w:rsidRPr="005F2A7D" w:rsidRDefault="009A2C2E" w:rsidP="005F2A7D">
      <w:pPr>
        <w:keepNext/>
        <w:widowControl w:val="0"/>
        <w:spacing w:beforeAutospacing="1" w:afterAutospacing="1"/>
        <w:jc w:val="both"/>
        <w:rPr>
          <w:rFonts w:cs="Arial"/>
          <w:sz w:val="24"/>
          <w:szCs w:val="24"/>
        </w:rPr>
      </w:pPr>
      <w:r w:rsidRPr="005F2A7D">
        <w:rPr>
          <w:rFonts w:cs="Arial"/>
          <w:b/>
          <w:sz w:val="24"/>
          <w:szCs w:val="24"/>
        </w:rPr>
        <w:t>ESG -</w:t>
      </w:r>
      <w:r w:rsidRPr="005F2A7D">
        <w:rPr>
          <w:rFonts w:cs="Arial"/>
          <w:sz w:val="24"/>
          <w:szCs w:val="24"/>
        </w:rPr>
        <w:t xml:space="preserve"> The Idaho </w:t>
      </w:r>
      <w:r w:rsidR="00910892">
        <w:rPr>
          <w:rFonts w:cs="Arial"/>
          <w:sz w:val="24"/>
          <w:szCs w:val="24"/>
        </w:rPr>
        <w:t>Balance of State Continuum of Care (</w:t>
      </w:r>
      <w:r w:rsidRPr="005F2A7D">
        <w:rPr>
          <w:rFonts w:cs="Arial"/>
          <w:sz w:val="24"/>
          <w:szCs w:val="24"/>
        </w:rPr>
        <w:t>BoS CoC</w:t>
      </w:r>
      <w:r w:rsidR="00910892">
        <w:rPr>
          <w:rFonts w:cs="Arial"/>
          <w:sz w:val="24"/>
          <w:szCs w:val="24"/>
        </w:rPr>
        <w:t>)</w:t>
      </w:r>
      <w:r w:rsidRPr="005F2A7D">
        <w:rPr>
          <w:rFonts w:cs="Arial"/>
          <w:sz w:val="24"/>
          <w:szCs w:val="24"/>
        </w:rPr>
        <w:t xml:space="preserve"> has utilized a non-renewable planning grant to help expand current activities and establish governing structures and systems, </w:t>
      </w:r>
      <w:r w:rsidRPr="005F2A7D">
        <w:rPr>
          <w:rFonts w:cs="Arial"/>
          <w:sz w:val="24"/>
          <w:szCs w:val="24"/>
        </w:rPr>
        <w:lastRenderedPageBreak/>
        <w:t>which ensure proper oversight and coordination of HUD-funded homeless programs. The activities identified by the BoS CoC are coordination activities, project evaluation, participation in the consolidated plan, CoC application activities, and developing a CoC system. Several of these activities include efforts that enhance coordination between public and private housing and service agencies. The CoC has made itself more visible in regional planning and advocacy bodies to ensure all agencies and individuals connected to homelessness issues are familiar with resources available. This promotes and fosters relationships between housing and service providers. ESG providers are also included in the CoC’s efforts.</w:t>
      </w:r>
    </w:p>
    <w:p w14:paraId="19D666C6" w14:textId="77777777" w:rsidR="009A2C2E" w:rsidRPr="005F2A7D" w:rsidRDefault="009A2C2E" w:rsidP="005F2A7D">
      <w:pPr>
        <w:keepNext/>
        <w:widowControl w:val="0"/>
        <w:spacing w:beforeAutospacing="1" w:afterAutospacing="1"/>
        <w:jc w:val="both"/>
        <w:rPr>
          <w:rFonts w:cs="Arial"/>
          <w:sz w:val="24"/>
          <w:szCs w:val="24"/>
        </w:rPr>
      </w:pPr>
      <w:r w:rsidRPr="005F2A7D">
        <w:rPr>
          <w:rFonts w:cs="Arial"/>
          <w:b/>
          <w:sz w:val="24"/>
          <w:szCs w:val="24"/>
        </w:rPr>
        <w:t>HOME and HTF</w:t>
      </w:r>
      <w:r w:rsidRPr="005F2A7D">
        <w:rPr>
          <w:rFonts w:cs="Arial"/>
          <w:sz w:val="24"/>
          <w:szCs w:val="24"/>
        </w:rPr>
        <w:t>-</w:t>
      </w:r>
    </w:p>
    <w:p w14:paraId="51318CBA" w14:textId="2535D825" w:rsidR="009A2C2E" w:rsidRPr="005F2A7D" w:rsidRDefault="009A2C2E" w:rsidP="005F2A7D">
      <w:pPr>
        <w:pStyle w:val="ListParagraph"/>
        <w:keepNext/>
        <w:widowControl w:val="0"/>
        <w:numPr>
          <w:ilvl w:val="0"/>
          <w:numId w:val="35"/>
        </w:numPr>
        <w:spacing w:beforeAutospacing="1" w:afterAutospacing="1"/>
        <w:jc w:val="both"/>
        <w:rPr>
          <w:rFonts w:cs="Arial"/>
          <w:sz w:val="24"/>
          <w:szCs w:val="24"/>
        </w:rPr>
      </w:pPr>
      <w:r w:rsidRPr="005F2A7D">
        <w:rPr>
          <w:rFonts w:cs="Arial"/>
          <w:sz w:val="24"/>
          <w:szCs w:val="24"/>
        </w:rPr>
        <w:t>IHFA will conduct rental housing compliance monitoring and on-site inspections as required at §92.504 and §93.404. This will include tenant files and other documentation to help determine the property remains in compliance with specific program rent limits, income limits, and lease requirements. Rental projects will also be monitored for compliance with applicable federal, state, and local laws and regulations, i.e. lead-based paint disclosures, affirmative marketing plans, language access plans, fair housing, and Section 504, and LEP.  IHFA will conduct annual financial risk assessment on HOME and HTF-assisted multifamily rental properties with 10 or more HOME and/or HTF assisted units, and additional financial oversight as required by HUD.  IHFA will take appropriate action(s) when necessary to bring an assisted project back into compliance as described in the project's written agreement with the owner.</w:t>
      </w:r>
    </w:p>
    <w:p w14:paraId="74F08A64" w14:textId="01B3200C" w:rsidR="009A2C2E" w:rsidRPr="005F2A7D" w:rsidRDefault="009A2C2E" w:rsidP="005F2A7D">
      <w:pPr>
        <w:pStyle w:val="ListParagraph"/>
        <w:keepNext/>
        <w:widowControl w:val="0"/>
        <w:numPr>
          <w:ilvl w:val="0"/>
          <w:numId w:val="35"/>
        </w:numPr>
        <w:spacing w:beforeAutospacing="1" w:afterAutospacing="1"/>
        <w:jc w:val="both"/>
        <w:rPr>
          <w:rFonts w:cs="Arial"/>
          <w:sz w:val="24"/>
          <w:szCs w:val="24"/>
        </w:rPr>
      </w:pPr>
      <w:r w:rsidRPr="005F2A7D">
        <w:rPr>
          <w:rFonts w:cs="Arial"/>
          <w:sz w:val="24"/>
          <w:szCs w:val="24"/>
        </w:rPr>
        <w:t xml:space="preserve">Fifteen </w:t>
      </w:r>
      <w:r w:rsidR="060D03D2" w:rsidRPr="005F2A7D">
        <w:rPr>
          <w:rFonts w:cs="Arial"/>
          <w:sz w:val="24"/>
          <w:szCs w:val="24"/>
        </w:rPr>
        <w:t xml:space="preserve">(15) </w:t>
      </w:r>
      <w:r w:rsidRPr="005F2A7D">
        <w:rPr>
          <w:rFonts w:cs="Arial"/>
          <w:sz w:val="24"/>
          <w:szCs w:val="24"/>
        </w:rPr>
        <w:t>percent</w:t>
      </w:r>
      <w:r w:rsidR="7B270814" w:rsidRPr="005F2A7D">
        <w:rPr>
          <w:rFonts w:cs="Arial"/>
          <w:sz w:val="24"/>
          <w:szCs w:val="24"/>
        </w:rPr>
        <w:t xml:space="preserve"> </w:t>
      </w:r>
      <w:r w:rsidR="00EDB720" w:rsidRPr="005F2A7D">
        <w:rPr>
          <w:rFonts w:cs="Arial"/>
          <w:sz w:val="24"/>
          <w:szCs w:val="24"/>
        </w:rPr>
        <w:t>%</w:t>
      </w:r>
      <w:r w:rsidRPr="005F2A7D">
        <w:rPr>
          <w:rFonts w:cs="Arial"/>
          <w:sz w:val="24"/>
          <w:szCs w:val="24"/>
        </w:rPr>
        <w:t xml:space="preserve"> of the annual per capita tax credit will be set-aside for the rehabilitation of existing federally assisted rent-restricted developments and/or for the new construction of developments financed or guaranteed by USDA Rural Development. For rehabilitation developments the scope of the rehabilitation must meet the per unit hard cost requirements identified in Section 4.17 of the LIHTC QAP. The set-aside will be available on a statewide basis during the August Application Round, if sufficient applications are received. Otherwise, it will be available for all other qualified non-targeted applications.</w:t>
      </w:r>
    </w:p>
    <w:p w14:paraId="4AFA21D4" w14:textId="61F5EA74" w:rsidR="009A2C2E" w:rsidRPr="005F2A7D" w:rsidRDefault="009A2C2E" w:rsidP="005F2A7D">
      <w:pPr>
        <w:pStyle w:val="ListParagraph"/>
        <w:keepNext/>
        <w:widowControl w:val="0"/>
        <w:numPr>
          <w:ilvl w:val="0"/>
          <w:numId w:val="35"/>
        </w:numPr>
        <w:spacing w:beforeAutospacing="1" w:afterAutospacing="1"/>
        <w:jc w:val="both"/>
        <w:rPr>
          <w:rFonts w:cs="Arial"/>
          <w:sz w:val="24"/>
          <w:szCs w:val="24"/>
        </w:rPr>
      </w:pPr>
      <w:r w:rsidRPr="005F2A7D">
        <w:rPr>
          <w:rFonts w:cs="Arial"/>
          <w:sz w:val="24"/>
          <w:szCs w:val="24"/>
        </w:rPr>
        <w:t>HTF project applications will receive additional scoring points if the proposed project currently has project-based rental assistance or other mechanisms in place to help ensure long-term affordability.</w:t>
      </w:r>
    </w:p>
    <w:p w14:paraId="78F09376" w14:textId="77777777" w:rsidR="009A2C2E" w:rsidRPr="005F2A7D" w:rsidRDefault="009A2C2E" w:rsidP="005F2A7D">
      <w:pPr>
        <w:keepNext/>
        <w:widowControl w:val="0"/>
        <w:jc w:val="both"/>
        <w:rPr>
          <w:b/>
          <w:sz w:val="24"/>
          <w:szCs w:val="24"/>
        </w:rPr>
      </w:pPr>
      <w:r w:rsidRPr="005F2A7D">
        <w:rPr>
          <w:b/>
          <w:sz w:val="24"/>
          <w:szCs w:val="24"/>
        </w:rPr>
        <w:t>Actions planned to reduce lead-based paint hazards</w:t>
      </w:r>
    </w:p>
    <w:p w14:paraId="405600B7" w14:textId="68D3BF0C" w:rsidR="009A2C2E" w:rsidRPr="005F2A7D" w:rsidRDefault="009A2C2E" w:rsidP="005F2A7D">
      <w:pPr>
        <w:keepNext/>
        <w:widowControl w:val="0"/>
        <w:spacing w:beforeAutospacing="1" w:afterAutospacing="1"/>
        <w:jc w:val="both"/>
        <w:rPr>
          <w:rFonts w:cs="Arial"/>
          <w:sz w:val="24"/>
          <w:szCs w:val="24"/>
        </w:rPr>
      </w:pPr>
      <w:r w:rsidRPr="005F2A7D">
        <w:rPr>
          <w:rFonts w:cs="Arial"/>
          <w:sz w:val="24"/>
          <w:szCs w:val="24"/>
        </w:rPr>
        <w:t xml:space="preserve">IHFA allows HTF and HOME-assisted developers to purchase pre-78 residential housing units with the following requirements: (1) The owner-developer and developer must be an </w:t>
      </w:r>
      <w:r w:rsidR="5A36B91C" w:rsidRPr="005F2A7D">
        <w:rPr>
          <w:rFonts w:cs="Arial"/>
          <w:sz w:val="24"/>
          <w:szCs w:val="24"/>
        </w:rPr>
        <w:t>Environmental Pro</w:t>
      </w:r>
      <w:r w:rsidR="70995B5B" w:rsidRPr="005F2A7D">
        <w:rPr>
          <w:rFonts w:cs="Arial"/>
          <w:sz w:val="24"/>
          <w:szCs w:val="24"/>
        </w:rPr>
        <w:t>tection</w:t>
      </w:r>
      <w:r w:rsidR="5A36B91C" w:rsidRPr="005F2A7D">
        <w:rPr>
          <w:rFonts w:cs="Arial"/>
          <w:sz w:val="24"/>
          <w:szCs w:val="24"/>
        </w:rPr>
        <w:t xml:space="preserve"> Agency (</w:t>
      </w:r>
      <w:r w:rsidRPr="005F2A7D">
        <w:rPr>
          <w:rFonts w:cs="Arial"/>
          <w:sz w:val="24"/>
          <w:szCs w:val="24"/>
        </w:rPr>
        <w:t>EPA</w:t>
      </w:r>
      <w:r w:rsidR="5BBE7579" w:rsidRPr="005F2A7D">
        <w:rPr>
          <w:rFonts w:cs="Arial"/>
          <w:sz w:val="24"/>
          <w:szCs w:val="24"/>
        </w:rPr>
        <w:t>)</w:t>
      </w:r>
      <w:r w:rsidR="7B270814" w:rsidRPr="005F2A7D">
        <w:rPr>
          <w:rFonts w:cs="Arial"/>
          <w:sz w:val="24"/>
          <w:szCs w:val="24"/>
        </w:rPr>
        <w:t>-</w:t>
      </w:r>
      <w:r w:rsidRPr="005F2A7D">
        <w:rPr>
          <w:rFonts w:cs="Arial"/>
          <w:sz w:val="24"/>
          <w:szCs w:val="24"/>
        </w:rPr>
        <w:t xml:space="preserve">Certified Renovation Firm; (2) Application for funding must include evidence the area in which the property(s) are located has an adequate supply of EPA-Certified </w:t>
      </w:r>
      <w:r w:rsidRPr="005F2A7D">
        <w:rPr>
          <w:rFonts w:cs="Arial"/>
          <w:sz w:val="24"/>
          <w:szCs w:val="24"/>
        </w:rPr>
        <w:lastRenderedPageBreak/>
        <w:t>Risk Assessors and Renovation contractors and workers; (3) hard rehabilitation costs minus the LBP hazard assessment, interim controls, and clearance testing cannot exceed $24,999 of federal funding per unit.</w:t>
      </w:r>
    </w:p>
    <w:p w14:paraId="3E664738" w14:textId="06E5C756" w:rsidR="009A2C2E" w:rsidRPr="005F2A7D" w:rsidRDefault="009A2C2E" w:rsidP="005F2A7D">
      <w:pPr>
        <w:pStyle w:val="ListParagraph"/>
        <w:keepNext/>
        <w:widowControl w:val="0"/>
        <w:numPr>
          <w:ilvl w:val="0"/>
          <w:numId w:val="38"/>
        </w:numPr>
        <w:spacing w:beforeAutospacing="1" w:afterAutospacing="1"/>
        <w:jc w:val="both"/>
        <w:rPr>
          <w:rFonts w:cs="Arial"/>
          <w:sz w:val="24"/>
          <w:szCs w:val="24"/>
        </w:rPr>
      </w:pPr>
      <w:r w:rsidRPr="005F2A7D">
        <w:rPr>
          <w:rFonts w:cs="Arial"/>
          <w:sz w:val="24"/>
          <w:szCs w:val="24"/>
        </w:rPr>
        <w:t>HOME and HTF - Whenever funds are awarded to acquire and/or rehabilitate residential housing constructed on or before January 1, 1978, IHFA will require the seller and buyer to comply with the applicable requirements at 24 CFR Part 35, and as determined by the scope of the activity and the amount of federal assistance on a per-unit basis as defined at §31.915. These requirements are enforced through written agreement with the owner.</w:t>
      </w:r>
    </w:p>
    <w:p w14:paraId="74C707E8" w14:textId="2C11D124" w:rsidR="009A2C2E" w:rsidRPr="005F2A7D" w:rsidRDefault="009A2C2E" w:rsidP="005F2A7D">
      <w:pPr>
        <w:pStyle w:val="ListParagraph"/>
        <w:keepNext/>
        <w:widowControl w:val="0"/>
        <w:numPr>
          <w:ilvl w:val="0"/>
          <w:numId w:val="38"/>
        </w:numPr>
        <w:spacing w:beforeAutospacing="1" w:afterAutospacing="1"/>
        <w:jc w:val="both"/>
        <w:rPr>
          <w:rFonts w:cs="Arial"/>
          <w:sz w:val="24"/>
          <w:szCs w:val="24"/>
        </w:rPr>
      </w:pPr>
      <w:r w:rsidRPr="005F2A7D">
        <w:rPr>
          <w:rFonts w:cs="Arial"/>
          <w:sz w:val="24"/>
          <w:szCs w:val="24"/>
        </w:rPr>
        <w:t>Because the State of Idaho does not have a Lead-based paint (LBP) hazard reduction program, the Federal EPA Lead-Based Paint Renovation, Repair, and Paint (RRP) Rule apply. In addition, because HOME is a HUD program, the HUD Lead-Safe Housing Rule (LSHR) also applies to acquisition and/or rehabilitation activities involving pre-78 housing. In those cases when one Federal rule is more restrictive than the other, the most restrictive rule will apply. When program requirements differ, IHFA will follow the most restrictive</w:t>
      </w:r>
      <w:r w:rsidR="61B54A08" w:rsidRPr="005F2A7D">
        <w:rPr>
          <w:rFonts w:cs="Arial"/>
          <w:sz w:val="24"/>
          <w:szCs w:val="24"/>
        </w:rPr>
        <w:t xml:space="preserve"> rule</w:t>
      </w:r>
      <w:r w:rsidR="7B270814" w:rsidRPr="005F2A7D">
        <w:rPr>
          <w:rFonts w:cs="Arial"/>
          <w:sz w:val="24"/>
          <w:szCs w:val="24"/>
        </w:rPr>
        <w:t>.</w:t>
      </w:r>
    </w:p>
    <w:p w14:paraId="128743F3" w14:textId="175E4724" w:rsidR="009A2C2E" w:rsidRPr="005F2A7D" w:rsidRDefault="009A2C2E" w:rsidP="005F2A7D">
      <w:pPr>
        <w:pStyle w:val="ListParagraph"/>
        <w:keepNext/>
        <w:widowControl w:val="0"/>
        <w:numPr>
          <w:ilvl w:val="0"/>
          <w:numId w:val="38"/>
        </w:numPr>
        <w:spacing w:beforeAutospacing="1" w:afterAutospacing="1"/>
        <w:jc w:val="both"/>
        <w:rPr>
          <w:rFonts w:cs="Arial"/>
          <w:sz w:val="24"/>
          <w:szCs w:val="24"/>
        </w:rPr>
      </w:pPr>
      <w:r w:rsidRPr="005F2A7D">
        <w:rPr>
          <w:rFonts w:cs="Arial"/>
          <w:sz w:val="24"/>
          <w:szCs w:val="24"/>
        </w:rPr>
        <w:t xml:space="preserve">Owners are required to follow the EPA RRP </w:t>
      </w:r>
      <w:proofErr w:type="gramStart"/>
      <w:r w:rsidRPr="005F2A7D">
        <w:rPr>
          <w:rFonts w:cs="Arial"/>
          <w:sz w:val="24"/>
          <w:szCs w:val="24"/>
        </w:rPr>
        <w:t>Rule</w:t>
      </w:r>
      <w:proofErr w:type="gramEnd"/>
      <w:r w:rsidRPr="005F2A7D">
        <w:rPr>
          <w:rFonts w:cs="Arial"/>
          <w:sz w:val="24"/>
          <w:szCs w:val="24"/>
        </w:rPr>
        <w:t xml:space="preserve"> and the HUD Lead Safe Housing Rule. Lead-based Paint procedures are identified in the annual Administrative Plan and enforced through written agreement with the owner. LBP tenant disclosures, hazard identification and reduction requirements are monitored during the HOME period-of-affordability.</w:t>
      </w:r>
    </w:p>
    <w:p w14:paraId="6A466DB5" w14:textId="77777777" w:rsidR="009A2C2E" w:rsidRPr="005F2A7D" w:rsidRDefault="009A2C2E" w:rsidP="005F2A7D">
      <w:pPr>
        <w:keepNext/>
        <w:widowControl w:val="0"/>
        <w:jc w:val="both"/>
        <w:rPr>
          <w:b/>
          <w:sz w:val="24"/>
          <w:szCs w:val="24"/>
        </w:rPr>
      </w:pPr>
      <w:r w:rsidRPr="005F2A7D">
        <w:rPr>
          <w:b/>
          <w:sz w:val="24"/>
          <w:szCs w:val="24"/>
        </w:rPr>
        <w:t>Actions planned to reduce the number of poverty-level families</w:t>
      </w:r>
    </w:p>
    <w:p w14:paraId="2AEBADF2" w14:textId="2D3EB474" w:rsidR="009A2C2E" w:rsidRPr="005F2A7D" w:rsidRDefault="009A2C2E" w:rsidP="005F2A7D">
      <w:pPr>
        <w:keepNext/>
        <w:widowControl w:val="0"/>
        <w:spacing w:beforeAutospacing="1" w:afterAutospacing="1"/>
        <w:jc w:val="both"/>
        <w:rPr>
          <w:rFonts w:cs="Arial"/>
          <w:sz w:val="24"/>
          <w:szCs w:val="24"/>
        </w:rPr>
      </w:pPr>
      <w:r w:rsidRPr="005F2A7D">
        <w:rPr>
          <w:rFonts w:cs="Arial"/>
          <w:b/>
          <w:bCs/>
          <w:sz w:val="24"/>
          <w:szCs w:val="24"/>
        </w:rPr>
        <w:t>IHFA</w:t>
      </w:r>
      <w:r w:rsidRPr="005F2A7D">
        <w:rPr>
          <w:rFonts w:cs="Arial"/>
          <w:sz w:val="24"/>
          <w:szCs w:val="24"/>
        </w:rPr>
        <w:t xml:space="preserve">- Households who participate in the Federal Section 8 Housing Choice Voucher program are eligible to be part of Idaho Housing's Family Self-Sufficiency (FSS) Program, a voluntary program that helps families become economically independent during the </w:t>
      </w:r>
      <w:r w:rsidR="2E5381CF" w:rsidRPr="005F2A7D">
        <w:rPr>
          <w:rFonts w:cs="Arial"/>
          <w:sz w:val="24"/>
          <w:szCs w:val="24"/>
        </w:rPr>
        <w:t>five (</w:t>
      </w:r>
      <w:r w:rsidRPr="005F2A7D">
        <w:rPr>
          <w:rFonts w:cs="Arial"/>
          <w:sz w:val="24"/>
          <w:szCs w:val="24"/>
        </w:rPr>
        <w:t>5</w:t>
      </w:r>
      <w:r w:rsidR="7A4F202C" w:rsidRPr="005F2A7D">
        <w:rPr>
          <w:rFonts w:cs="Arial"/>
          <w:sz w:val="24"/>
          <w:szCs w:val="24"/>
        </w:rPr>
        <w:t>)</w:t>
      </w:r>
      <w:r w:rsidR="7B270814" w:rsidRPr="005F2A7D">
        <w:rPr>
          <w:rFonts w:cs="Arial"/>
          <w:sz w:val="24"/>
          <w:szCs w:val="24"/>
        </w:rPr>
        <w:t>-</w:t>
      </w:r>
      <w:r w:rsidRPr="005F2A7D">
        <w:rPr>
          <w:rFonts w:cs="Arial"/>
          <w:sz w:val="24"/>
          <w:szCs w:val="24"/>
        </w:rPr>
        <w:t xml:space="preserve">year contract of participation. FSS assists participating families in setting individualized training and service goals, serves to provide case management services that link them to community resources, and aims to help them overcome barriers to gainful employment. FSS participants also </w:t>
      </w:r>
      <w:proofErr w:type="gramStart"/>
      <w:r w:rsidRPr="005F2A7D">
        <w:rPr>
          <w:rFonts w:cs="Arial"/>
          <w:sz w:val="24"/>
          <w:szCs w:val="24"/>
        </w:rPr>
        <w:t>have the opportunity to</w:t>
      </w:r>
      <w:proofErr w:type="gramEnd"/>
      <w:r w:rsidRPr="005F2A7D">
        <w:rPr>
          <w:rFonts w:cs="Arial"/>
          <w:sz w:val="24"/>
          <w:szCs w:val="24"/>
        </w:rPr>
        <w:t xml:space="preserve"> accrue money in an interest-bearing escrow savings account as their earned income grows and their rent portion responsibility increases, leading them toward self-sufficiency. When they have completed their self-sufficiency goals, and are free of cash welfare assistance, the family is eligible to graduate the program successfully and is awarded their escrow earnings.</w:t>
      </w:r>
      <w:r w:rsidR="00FB1FA9" w:rsidRPr="005F2A7D">
        <w:rPr>
          <w:rFonts w:cs="Arial"/>
          <w:sz w:val="24"/>
          <w:szCs w:val="24"/>
        </w:rPr>
        <w:t xml:space="preserve"> HOME funds will be made available to assist income eligible households with downpayment assistance. </w:t>
      </w:r>
    </w:p>
    <w:p w14:paraId="2CB3E4FE" w14:textId="77777777" w:rsidR="00FB1FA9" w:rsidRPr="005F2A7D" w:rsidRDefault="009A2C2E" w:rsidP="005F2A7D">
      <w:pPr>
        <w:keepNext/>
        <w:widowControl w:val="0"/>
        <w:spacing w:beforeAutospacing="1" w:afterAutospacing="1"/>
        <w:jc w:val="both"/>
        <w:rPr>
          <w:rFonts w:cs="Arial"/>
          <w:sz w:val="24"/>
          <w:szCs w:val="24"/>
        </w:rPr>
      </w:pPr>
      <w:r w:rsidRPr="005F2A7D">
        <w:rPr>
          <w:rFonts w:cs="Arial"/>
          <w:b/>
          <w:sz w:val="24"/>
          <w:szCs w:val="24"/>
        </w:rPr>
        <w:t xml:space="preserve">HOPES Program- </w:t>
      </w:r>
      <w:r w:rsidRPr="005F2A7D">
        <w:rPr>
          <w:rFonts w:cs="Arial"/>
          <w:sz w:val="24"/>
          <w:szCs w:val="24"/>
        </w:rPr>
        <w:t xml:space="preserve">HOPES provides tools and education to help FSS participants move toward homeownership. FSS Participants that qualify and wish to participate must make monthly savings goals and complete HOPES financial education components to graduate. HOPES participants </w:t>
      </w:r>
      <w:proofErr w:type="gramStart"/>
      <w:r w:rsidRPr="005F2A7D">
        <w:rPr>
          <w:rFonts w:cs="Arial"/>
          <w:sz w:val="24"/>
          <w:szCs w:val="24"/>
        </w:rPr>
        <w:t>have the opportunity to</w:t>
      </w:r>
      <w:proofErr w:type="gramEnd"/>
      <w:r w:rsidRPr="005F2A7D">
        <w:rPr>
          <w:rFonts w:cs="Arial"/>
          <w:sz w:val="24"/>
          <w:szCs w:val="24"/>
        </w:rPr>
        <w:t xml:space="preserve"> save up to $2,000 at a two-to-one match, which upon successful completion of the program, provides up to $6,000 for down payment and closing cost assistance through the </w:t>
      </w:r>
      <w:r w:rsidRPr="005F2A7D">
        <w:rPr>
          <w:rFonts w:cs="Arial"/>
          <w:sz w:val="24"/>
          <w:szCs w:val="24"/>
        </w:rPr>
        <w:lastRenderedPageBreak/>
        <w:t xml:space="preserve">Home Partnership Foundation. </w:t>
      </w:r>
      <w:r w:rsidR="00FB1FA9" w:rsidRPr="005F2A7D">
        <w:rPr>
          <w:rFonts w:cs="Arial"/>
          <w:sz w:val="24"/>
          <w:szCs w:val="24"/>
        </w:rPr>
        <w:t xml:space="preserve">HOME funds will be made available to assist income eligible households with downpayment assistance. </w:t>
      </w:r>
    </w:p>
    <w:p w14:paraId="05D1D850" w14:textId="244152F1" w:rsidR="009A2C2E" w:rsidRPr="005F2A7D" w:rsidRDefault="009A2C2E" w:rsidP="005F2A7D">
      <w:pPr>
        <w:keepNext/>
        <w:widowControl w:val="0"/>
        <w:spacing w:beforeAutospacing="1" w:afterAutospacing="1"/>
        <w:jc w:val="both"/>
        <w:rPr>
          <w:rFonts w:cs="Arial"/>
          <w:sz w:val="24"/>
          <w:szCs w:val="24"/>
        </w:rPr>
      </w:pPr>
      <w:r w:rsidRPr="005F2A7D">
        <w:rPr>
          <w:rFonts w:cs="Arial"/>
          <w:b/>
          <w:bCs/>
          <w:sz w:val="24"/>
          <w:szCs w:val="24"/>
        </w:rPr>
        <w:t>HOME/</w:t>
      </w:r>
      <w:r w:rsidR="005F2A7D">
        <w:rPr>
          <w:rFonts w:cs="Arial"/>
          <w:b/>
          <w:bCs/>
          <w:sz w:val="24"/>
          <w:szCs w:val="24"/>
        </w:rPr>
        <w:t>Community Development Block Grant (</w:t>
      </w:r>
      <w:r w:rsidRPr="005F2A7D">
        <w:rPr>
          <w:rFonts w:cs="Arial"/>
          <w:b/>
          <w:bCs/>
          <w:sz w:val="24"/>
          <w:szCs w:val="24"/>
        </w:rPr>
        <w:t>CDBG</w:t>
      </w:r>
      <w:r w:rsidR="005F2A7D">
        <w:rPr>
          <w:rFonts w:cs="Arial"/>
          <w:b/>
          <w:bCs/>
          <w:sz w:val="24"/>
          <w:szCs w:val="24"/>
        </w:rPr>
        <w:t>)</w:t>
      </w:r>
      <w:r w:rsidRPr="005F2A7D">
        <w:rPr>
          <w:rFonts w:cs="Arial"/>
          <w:b/>
          <w:bCs/>
          <w:sz w:val="24"/>
          <w:szCs w:val="24"/>
        </w:rPr>
        <w:t>/HTF</w:t>
      </w:r>
      <w:r w:rsidRPr="005F2A7D">
        <w:rPr>
          <w:rFonts w:cs="Arial"/>
          <w:sz w:val="24"/>
          <w:szCs w:val="24"/>
        </w:rPr>
        <w:t xml:space="preserve">- HUD's Section 3 regulation require development activities to include to provide, to the maximum extent feasible, work and training opportunities that target low-income persons/ business concerns when aggregate federal funding in the project meets the applicable Section 3 threshold amounts. Project owners also conduct outreach to Minority/Women-Owned Business Enterprises. Developers are encouraged to use Idaho's Procurement Technical Assistance Center when professional and construction services are needed. </w:t>
      </w:r>
      <w:r w:rsidR="1DBFDBB3" w:rsidRPr="005F2A7D">
        <w:rPr>
          <w:rFonts w:cs="Arial"/>
          <w:sz w:val="24"/>
          <w:szCs w:val="24"/>
        </w:rPr>
        <w:t xml:space="preserve">APEX Accelerator procurement center </w:t>
      </w:r>
      <w:r w:rsidRPr="005F2A7D">
        <w:rPr>
          <w:rFonts w:cs="Arial"/>
          <w:sz w:val="24"/>
          <w:szCs w:val="24"/>
        </w:rPr>
        <w:t>reaches Disadvantaged and Women Business enterprises, HUD Zone businesses, disabled veteran-owned businesses, and SBA Section 8(a) business around the state.</w:t>
      </w:r>
    </w:p>
    <w:p w14:paraId="5E643294" w14:textId="77777777" w:rsidR="009A2C2E" w:rsidRPr="005F2A7D" w:rsidRDefault="009A2C2E" w:rsidP="005F2A7D">
      <w:pPr>
        <w:keepNext/>
        <w:widowControl w:val="0"/>
        <w:jc w:val="both"/>
        <w:rPr>
          <w:b/>
          <w:sz w:val="24"/>
          <w:szCs w:val="24"/>
        </w:rPr>
      </w:pPr>
      <w:r w:rsidRPr="005F2A7D">
        <w:rPr>
          <w:b/>
          <w:sz w:val="24"/>
          <w:szCs w:val="24"/>
        </w:rPr>
        <w:t xml:space="preserve">Actions planned to develop institutional structure </w:t>
      </w:r>
    </w:p>
    <w:p w14:paraId="44F5367A" w14:textId="6A13A1C2" w:rsidR="009A2C2E" w:rsidRPr="005F2A7D" w:rsidRDefault="009A2C2E" w:rsidP="005F2A7D">
      <w:pPr>
        <w:keepNext/>
        <w:widowControl w:val="0"/>
        <w:spacing w:beforeAutospacing="1" w:afterAutospacing="1"/>
        <w:jc w:val="both"/>
        <w:rPr>
          <w:rFonts w:cs="Arial"/>
          <w:sz w:val="24"/>
          <w:szCs w:val="24"/>
        </w:rPr>
      </w:pPr>
      <w:r w:rsidRPr="005F2A7D">
        <w:rPr>
          <w:rFonts w:cs="Arial"/>
          <w:b/>
          <w:bCs/>
          <w:sz w:val="24"/>
          <w:szCs w:val="24"/>
        </w:rPr>
        <w:t>CDBG</w:t>
      </w:r>
      <w:r w:rsidRPr="005F2A7D">
        <w:rPr>
          <w:rFonts w:cs="Arial"/>
          <w:sz w:val="24"/>
          <w:szCs w:val="24"/>
        </w:rPr>
        <w:t xml:space="preserve"> - Commerce’s plans to develop and maintain an institutional structure include</w:t>
      </w:r>
      <w:r w:rsidR="390768EB" w:rsidRPr="005F2A7D">
        <w:rPr>
          <w:rFonts w:cs="Arial"/>
          <w:sz w:val="24"/>
          <w:szCs w:val="24"/>
        </w:rPr>
        <w:t>s</w:t>
      </w:r>
      <w:r w:rsidRPr="005F2A7D">
        <w:rPr>
          <w:rFonts w:cs="Arial"/>
          <w:sz w:val="24"/>
          <w:szCs w:val="24"/>
        </w:rPr>
        <w:t xml:space="preserve"> providing on-going technical assistance, application workshops, grant trainings, and presentations to potential grantees.</w:t>
      </w:r>
    </w:p>
    <w:p w14:paraId="0E37B094" w14:textId="77777777" w:rsidR="009A2C2E" w:rsidRPr="005F2A7D" w:rsidRDefault="009A2C2E" w:rsidP="009A2C2E">
      <w:pPr>
        <w:keepNext/>
        <w:widowControl w:val="0"/>
        <w:spacing w:beforeAutospacing="1" w:afterAutospacing="1"/>
        <w:rPr>
          <w:rFonts w:cs="Arial"/>
          <w:sz w:val="24"/>
          <w:szCs w:val="24"/>
        </w:rPr>
      </w:pPr>
      <w:r w:rsidRPr="005F2A7D">
        <w:rPr>
          <w:rFonts w:cs="Arial"/>
          <w:b/>
          <w:sz w:val="24"/>
          <w:szCs w:val="24"/>
        </w:rPr>
        <w:t>ESG -</w:t>
      </w:r>
      <w:r w:rsidRPr="005F2A7D">
        <w:rPr>
          <w:rFonts w:cs="Arial"/>
          <w:sz w:val="24"/>
          <w:szCs w:val="24"/>
        </w:rPr>
        <w:t xml:space="preserve"> Three gaps/weaknesses were identified in the con plan, SP-40:</w:t>
      </w:r>
    </w:p>
    <w:p w14:paraId="097DD178" w14:textId="2A2E8F85" w:rsidR="009A2C2E" w:rsidRPr="005F2A7D" w:rsidRDefault="009A2C2E" w:rsidP="005F2A7D">
      <w:pPr>
        <w:pStyle w:val="ListParagraph"/>
        <w:keepNext/>
        <w:widowControl w:val="0"/>
        <w:numPr>
          <w:ilvl w:val="0"/>
          <w:numId w:val="40"/>
        </w:numPr>
        <w:spacing w:beforeAutospacing="1" w:afterAutospacing="1"/>
        <w:ind w:left="360"/>
        <w:jc w:val="both"/>
        <w:rPr>
          <w:rFonts w:cs="Arial"/>
          <w:sz w:val="24"/>
          <w:szCs w:val="24"/>
        </w:rPr>
      </w:pPr>
      <w:r w:rsidRPr="005F2A7D">
        <w:rPr>
          <w:rFonts w:cs="Arial"/>
          <w:sz w:val="24"/>
          <w:szCs w:val="24"/>
        </w:rPr>
        <w:t>A lack of services targeting individuals with HIV/AIDS - IHFA's HOPWA program is being dissolved and will be concluded in May of 2024. Although a thorough search was done to find a replacement recipient of HOPWA funds who would have the administrative capabilities of running the program, none was found. Of the sponsor projects left in the program, each has begun the process of formulating transition plans for participants served in the program. Each sponsor has been transitioning participants off the funding sources, and IHFA, who administers TBRA under the program (which accounts for the greatest amount of funding), has transferred those receiving rental assistance to other qualifying programs.</w:t>
      </w:r>
    </w:p>
    <w:p w14:paraId="3AD9A8CF" w14:textId="52F49182" w:rsidR="009A2C2E" w:rsidRPr="005F2A7D" w:rsidRDefault="009A2C2E" w:rsidP="005F2A7D">
      <w:pPr>
        <w:pStyle w:val="ListParagraph"/>
        <w:keepNext/>
        <w:widowControl w:val="0"/>
        <w:numPr>
          <w:ilvl w:val="0"/>
          <w:numId w:val="40"/>
        </w:numPr>
        <w:spacing w:beforeAutospacing="1" w:afterAutospacing="1"/>
        <w:ind w:left="360"/>
        <w:jc w:val="both"/>
        <w:rPr>
          <w:rFonts w:cs="Arial"/>
          <w:sz w:val="24"/>
          <w:szCs w:val="24"/>
        </w:rPr>
      </w:pPr>
      <w:r w:rsidRPr="005F2A7D">
        <w:rPr>
          <w:rFonts w:cs="Arial"/>
          <w:sz w:val="24"/>
          <w:szCs w:val="24"/>
        </w:rPr>
        <w:t xml:space="preserve">A lack of services which promote education and career growth among individuals experiencing homelessness </w:t>
      </w:r>
      <w:r w:rsidR="02E43A32" w:rsidRPr="005F2A7D">
        <w:rPr>
          <w:rFonts w:cs="Arial"/>
          <w:sz w:val="24"/>
          <w:szCs w:val="24"/>
        </w:rPr>
        <w:t>was one issue.</w:t>
      </w:r>
      <w:r w:rsidRPr="005F2A7D">
        <w:rPr>
          <w:rFonts w:cs="Arial"/>
          <w:sz w:val="24"/>
          <w:szCs w:val="24"/>
        </w:rPr>
        <w:t xml:space="preserve"> The recipient partners with subrecipients throughout Idaho who are responsible for providing localized services to children experiencing homelessness or at risk of homelessness. Through outreach efforts, agencies collaborate with education providers to ensure local needs are being met. Agencies work with school districts, colleges, Head Start, Early Start, </w:t>
      </w:r>
      <w:r w:rsidR="3AA927B7" w:rsidRPr="005F2A7D">
        <w:rPr>
          <w:rFonts w:cs="Arial"/>
          <w:sz w:val="24"/>
          <w:szCs w:val="24"/>
        </w:rPr>
        <w:t xml:space="preserve">the Youth Action Board (YAB) </w:t>
      </w:r>
      <w:r w:rsidRPr="005F2A7D">
        <w:rPr>
          <w:rFonts w:cs="Arial"/>
          <w:sz w:val="24"/>
          <w:szCs w:val="24"/>
        </w:rPr>
        <w:t xml:space="preserve">and parenting education programs. The </w:t>
      </w:r>
      <w:r w:rsidR="74734BBE" w:rsidRPr="005F2A7D">
        <w:rPr>
          <w:rFonts w:cs="Arial"/>
          <w:sz w:val="24"/>
          <w:szCs w:val="24"/>
        </w:rPr>
        <w:t>Balance of State (BoS) Continuum of Care (</w:t>
      </w:r>
      <w:r w:rsidRPr="005F2A7D">
        <w:rPr>
          <w:rFonts w:cs="Arial"/>
          <w:sz w:val="24"/>
          <w:szCs w:val="24"/>
        </w:rPr>
        <w:t>CoC</w:t>
      </w:r>
      <w:r w:rsidR="32980F56" w:rsidRPr="005F2A7D">
        <w:rPr>
          <w:rFonts w:cs="Arial"/>
          <w:sz w:val="24"/>
          <w:szCs w:val="24"/>
        </w:rPr>
        <w:t>)</w:t>
      </w:r>
      <w:r w:rsidRPr="005F2A7D">
        <w:rPr>
          <w:rFonts w:cs="Arial"/>
          <w:sz w:val="24"/>
          <w:szCs w:val="24"/>
        </w:rPr>
        <w:t xml:space="preserve"> Board also includes representation from the Department of Education. Subrecipients create housing stability </w:t>
      </w:r>
      <w:proofErr w:type="gramStart"/>
      <w:r w:rsidRPr="005F2A7D">
        <w:rPr>
          <w:rFonts w:cs="Arial"/>
          <w:sz w:val="24"/>
          <w:szCs w:val="24"/>
        </w:rPr>
        <w:t>plans</w:t>
      </w:r>
      <w:proofErr w:type="gramEnd"/>
      <w:r w:rsidRPr="005F2A7D">
        <w:rPr>
          <w:rFonts w:cs="Arial"/>
          <w:sz w:val="24"/>
          <w:szCs w:val="24"/>
        </w:rPr>
        <w:t xml:space="preserve"> and case managers work with families to assess employment goals, employment history, current income level, strengths supporting income goals, barriers to income goals, </w:t>
      </w:r>
      <w:r w:rsidRPr="005F2A7D">
        <w:rPr>
          <w:rFonts w:cs="Arial"/>
          <w:sz w:val="24"/>
          <w:szCs w:val="24"/>
        </w:rPr>
        <w:lastRenderedPageBreak/>
        <w:t>training and education needs, and other factors to develop an action plan. Families are assisted in completing budgets (current and projected) to assist in scoping employment goals and identifying community resources that would assist overall financial stability. Subrecipients also support individuals’ career growth. Case managers identify potential employment training and support organizations. Case managers work with clients to contact employment support organizations and gather information to link services with need accurately. The agencies work with a wide range of employment organizations to decrease barriers to employment and assist clients in skill development or to obtain certifications. Common partner agencies include the Idaho Department of Labor, vocational rehabilitation services, GED programs, local colleges and universities, and other skills development programs.</w:t>
      </w:r>
    </w:p>
    <w:p w14:paraId="4B2DDA3A" w14:textId="748A5C7D" w:rsidR="009A2C2E" w:rsidRPr="005F2A7D" w:rsidRDefault="009A2C2E" w:rsidP="005F2A7D">
      <w:pPr>
        <w:pStyle w:val="ListParagraph"/>
        <w:keepNext/>
        <w:widowControl w:val="0"/>
        <w:numPr>
          <w:ilvl w:val="0"/>
          <w:numId w:val="39"/>
        </w:numPr>
        <w:spacing w:beforeAutospacing="1" w:afterAutospacing="1"/>
        <w:ind w:left="360"/>
        <w:jc w:val="both"/>
        <w:rPr>
          <w:rFonts w:cs="Arial"/>
          <w:sz w:val="24"/>
          <w:szCs w:val="24"/>
        </w:rPr>
      </w:pPr>
      <w:r w:rsidRPr="005F2A7D">
        <w:rPr>
          <w:sz w:val="24"/>
          <w:szCs w:val="24"/>
        </w:rPr>
        <w:br/>
      </w:r>
      <w:r w:rsidRPr="005F2A7D">
        <w:rPr>
          <w:rFonts w:cs="Arial"/>
          <w:sz w:val="24"/>
          <w:szCs w:val="24"/>
        </w:rPr>
        <w:t xml:space="preserve">3. </w:t>
      </w:r>
      <w:r w:rsidR="7B270814" w:rsidRPr="005F2A7D">
        <w:rPr>
          <w:rFonts w:cs="Arial"/>
          <w:sz w:val="24"/>
          <w:szCs w:val="24"/>
        </w:rPr>
        <w:t>A</w:t>
      </w:r>
      <w:r w:rsidR="1D019E40" w:rsidRPr="005F2A7D">
        <w:rPr>
          <w:rFonts w:cs="Arial"/>
          <w:sz w:val="24"/>
          <w:szCs w:val="24"/>
        </w:rPr>
        <w:t>nother gap identified was the</w:t>
      </w:r>
      <w:r w:rsidR="7B270814" w:rsidRPr="005F2A7D">
        <w:rPr>
          <w:rFonts w:cs="Arial"/>
          <w:sz w:val="24"/>
          <w:szCs w:val="24"/>
        </w:rPr>
        <w:t xml:space="preserve"> lack of </w:t>
      </w:r>
      <w:r w:rsidRPr="005F2A7D">
        <w:rPr>
          <w:rFonts w:cs="Arial"/>
          <w:sz w:val="24"/>
          <w:szCs w:val="24"/>
        </w:rPr>
        <w:t>rental units available to individuals and families experiencing homelessness</w:t>
      </w:r>
      <w:r w:rsidR="21A4E94F" w:rsidRPr="005F2A7D">
        <w:rPr>
          <w:rFonts w:cs="Arial"/>
          <w:sz w:val="24"/>
          <w:szCs w:val="24"/>
        </w:rPr>
        <w:t>.</w:t>
      </w:r>
      <w:r w:rsidRPr="005F2A7D">
        <w:rPr>
          <w:rFonts w:cs="Arial"/>
          <w:sz w:val="24"/>
          <w:szCs w:val="24"/>
        </w:rPr>
        <w:t xml:space="preserve"> To address the lack of available rental units, the recipient is devoting additional resources to ESG homelessness prevention programs. IHFA also administered a housing preservation program</w:t>
      </w:r>
      <w:r w:rsidR="0B49FCA2" w:rsidRPr="005F2A7D">
        <w:rPr>
          <w:rFonts w:cs="Arial"/>
          <w:sz w:val="24"/>
          <w:szCs w:val="24"/>
        </w:rPr>
        <w:t xml:space="preserve"> to help individuals and families affected by COVID-19</w:t>
      </w:r>
      <w:r w:rsidRPr="005F2A7D">
        <w:rPr>
          <w:rFonts w:cs="Arial"/>
          <w:sz w:val="24"/>
          <w:szCs w:val="24"/>
        </w:rPr>
        <w:t xml:space="preserve">, which has ended. These programs help individuals and families remain in their current home and avoid the need to find a new rental unit in this competitive market. The recipient </w:t>
      </w:r>
      <w:proofErr w:type="gramStart"/>
      <w:r w:rsidRPr="005F2A7D">
        <w:rPr>
          <w:rFonts w:cs="Arial"/>
          <w:sz w:val="24"/>
          <w:szCs w:val="24"/>
        </w:rPr>
        <w:t xml:space="preserve">is </w:t>
      </w:r>
      <w:r w:rsidR="7B270814" w:rsidRPr="005F2A7D">
        <w:rPr>
          <w:rFonts w:cs="Arial"/>
          <w:sz w:val="24"/>
          <w:szCs w:val="24"/>
        </w:rPr>
        <w:t>encourag</w:t>
      </w:r>
      <w:r w:rsidR="2B1D0795" w:rsidRPr="005F2A7D">
        <w:rPr>
          <w:rFonts w:cs="Arial"/>
          <w:sz w:val="24"/>
          <w:szCs w:val="24"/>
        </w:rPr>
        <w:t>es</w:t>
      </w:r>
      <w:proofErr w:type="gramEnd"/>
      <w:r w:rsidRPr="005F2A7D">
        <w:rPr>
          <w:rFonts w:cs="Arial"/>
          <w:sz w:val="24"/>
          <w:szCs w:val="24"/>
        </w:rPr>
        <w:t xml:space="preserve"> subrecipients to fund positions for housing specialists, who can focus on building relationships with landlords and also support housing mediation.</w:t>
      </w:r>
    </w:p>
    <w:p w14:paraId="3919B26C" w14:textId="7A37AB01" w:rsidR="009A2C2E" w:rsidRPr="005F2A7D" w:rsidRDefault="009A2C2E" w:rsidP="009A2C2E">
      <w:pPr>
        <w:keepNext/>
        <w:widowControl w:val="0"/>
        <w:spacing w:beforeAutospacing="1" w:afterAutospacing="1"/>
        <w:rPr>
          <w:rFonts w:cs="Arial"/>
          <w:sz w:val="24"/>
          <w:szCs w:val="24"/>
        </w:rPr>
      </w:pPr>
      <w:r w:rsidRPr="005F2A7D">
        <w:rPr>
          <w:rFonts w:cs="Arial"/>
          <w:b/>
          <w:sz w:val="24"/>
          <w:szCs w:val="24"/>
        </w:rPr>
        <w:t>HOME/HTF</w:t>
      </w:r>
      <w:r w:rsidRPr="005F2A7D">
        <w:rPr>
          <w:rFonts w:cs="Arial"/>
          <w:sz w:val="24"/>
          <w:szCs w:val="24"/>
        </w:rPr>
        <w:t xml:space="preserve"> will continue to provide technical assistance as needed to help HOME project developers </w:t>
      </w:r>
      <w:r w:rsidR="00FB1FA9" w:rsidRPr="005F2A7D">
        <w:rPr>
          <w:rFonts w:cs="Arial"/>
          <w:sz w:val="24"/>
          <w:szCs w:val="24"/>
        </w:rPr>
        <w:t xml:space="preserve">for the development of compliant rental housing.  </w:t>
      </w:r>
    </w:p>
    <w:p w14:paraId="29DE9A6C" w14:textId="77777777" w:rsidR="009A2C2E" w:rsidRPr="005F2A7D" w:rsidRDefault="009A2C2E" w:rsidP="009A2C2E">
      <w:pPr>
        <w:keepNext/>
        <w:widowControl w:val="0"/>
        <w:rPr>
          <w:b/>
          <w:sz w:val="24"/>
          <w:szCs w:val="24"/>
        </w:rPr>
      </w:pPr>
      <w:r w:rsidRPr="005F2A7D">
        <w:rPr>
          <w:b/>
          <w:sz w:val="24"/>
          <w:szCs w:val="24"/>
        </w:rPr>
        <w:t>Actions planned to enhance coordination between public and private housing and social service agencies</w:t>
      </w:r>
    </w:p>
    <w:p w14:paraId="5BD6FC1F" w14:textId="74831674" w:rsidR="009A2C2E" w:rsidRPr="005F2A7D" w:rsidRDefault="009A2C2E" w:rsidP="009A2C2E">
      <w:pPr>
        <w:keepNext/>
        <w:widowControl w:val="0"/>
        <w:spacing w:beforeAutospacing="1" w:afterAutospacing="1"/>
        <w:rPr>
          <w:rFonts w:cs="Arial"/>
          <w:sz w:val="24"/>
          <w:szCs w:val="24"/>
        </w:rPr>
      </w:pPr>
      <w:r w:rsidRPr="005F2A7D">
        <w:rPr>
          <w:rFonts w:cs="Arial"/>
          <w:b/>
          <w:sz w:val="24"/>
          <w:szCs w:val="24"/>
        </w:rPr>
        <w:t>ESG -</w:t>
      </w:r>
      <w:r w:rsidRPr="005F2A7D">
        <w:rPr>
          <w:rFonts w:cs="Arial"/>
          <w:sz w:val="24"/>
          <w:szCs w:val="24"/>
        </w:rPr>
        <w:t xml:space="preserve"> IHFA and IDC will continue to facilitate and participate in stakeholder forums to enhance collaboration and coordination of public, private and </w:t>
      </w:r>
      <w:r w:rsidR="00910892" w:rsidRPr="005F2A7D">
        <w:rPr>
          <w:rFonts w:cs="Arial"/>
          <w:sz w:val="24"/>
          <w:szCs w:val="24"/>
        </w:rPr>
        <w:t>faith-based</w:t>
      </w:r>
      <w:r w:rsidRPr="005F2A7D">
        <w:rPr>
          <w:rFonts w:cs="Arial"/>
          <w:sz w:val="24"/>
          <w:szCs w:val="24"/>
        </w:rPr>
        <w:t xml:space="preserve"> service providers for housing, </w:t>
      </w:r>
      <w:r w:rsidRPr="005F2A7D">
        <w:rPr>
          <w:rFonts w:cs="Arial"/>
          <w:sz w:val="24"/>
          <w:szCs w:val="24"/>
        </w:rPr>
        <w:lastRenderedPageBreak/>
        <w:t>economic development, and other services</w:t>
      </w:r>
      <w:r w:rsidR="2F350E9A" w:rsidRPr="005F2A7D">
        <w:rPr>
          <w:rFonts w:cs="Arial"/>
          <w:sz w:val="24"/>
          <w:szCs w:val="24"/>
        </w:rPr>
        <w:t xml:space="preserve"> like</w:t>
      </w:r>
      <w:r w:rsidRPr="005F2A7D">
        <w:rPr>
          <w:rFonts w:cs="Arial"/>
          <w:sz w:val="24"/>
          <w:szCs w:val="24"/>
        </w:rPr>
        <w:t>:</w:t>
      </w:r>
    </w:p>
    <w:p w14:paraId="551486F8" w14:textId="77777777" w:rsid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 xml:space="preserve">The Housing Coordination and Policy Forum (www.ihfa.org/research_hirc_forum.asp) </w:t>
      </w:r>
    </w:p>
    <w:p w14:paraId="4BB43464" w14:textId="77777777" w:rsidR="005F2A7D" w:rsidRDefault="005F2A7D"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R</w:t>
      </w:r>
      <w:r w:rsidR="009A2C2E" w:rsidRPr="005F2A7D">
        <w:rPr>
          <w:rFonts w:cs="Arial"/>
          <w:sz w:val="24"/>
          <w:szCs w:val="24"/>
        </w:rPr>
        <w:t xml:space="preserve">ural Forums </w:t>
      </w:r>
    </w:p>
    <w:p w14:paraId="764CC4AC" w14:textId="77777777" w:rsid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The Idaho Community Review (</w:t>
      </w:r>
      <w:proofErr w:type="gramStart"/>
      <w:r w:rsidRPr="005F2A7D">
        <w:rPr>
          <w:rFonts w:cs="Arial"/>
          <w:sz w:val="24"/>
          <w:szCs w:val="24"/>
        </w:rPr>
        <w:t>www.idahocities.org )</w:t>
      </w:r>
      <w:proofErr w:type="gramEnd"/>
      <w:r w:rsidRPr="005F2A7D">
        <w:rPr>
          <w:rFonts w:cs="Arial"/>
          <w:sz w:val="24"/>
          <w:szCs w:val="24"/>
        </w:rPr>
        <w:t xml:space="preserve"> </w:t>
      </w:r>
    </w:p>
    <w:p w14:paraId="0C6CE1FE" w14:textId="77777777" w:rsid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 xml:space="preserve">Idaho Homelessness Coordinating Council </w:t>
      </w:r>
    </w:p>
    <w:p w14:paraId="4550B905" w14:textId="77777777" w:rsid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 xml:space="preserve">Idaho’s ADA Task Force </w:t>
      </w:r>
    </w:p>
    <w:p w14:paraId="26C8E1C3" w14:textId="0C521DDF" w:rsid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 xml:space="preserve">Coalition for Idahoans with Disabilities </w:t>
      </w:r>
    </w:p>
    <w:p w14:paraId="6A1FC994" w14:textId="77777777" w:rsid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 xml:space="preserve">Idaho Hispanic Profile Project </w:t>
      </w:r>
    </w:p>
    <w:p w14:paraId="7914CE75" w14:textId="77777777" w:rsid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 xml:space="preserve">Idaho Commission on Aging </w:t>
      </w:r>
    </w:p>
    <w:p w14:paraId="278D984F" w14:textId="77777777" w:rsid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 xml:space="preserve">State of Idaho HIV/STD Planning Committee </w:t>
      </w:r>
    </w:p>
    <w:p w14:paraId="3E687032" w14:textId="77777777" w:rsid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 xml:space="preserve">Regional Housing Coalitions </w:t>
      </w:r>
    </w:p>
    <w:p w14:paraId="4726765C" w14:textId="0A31CAEA" w:rsidR="005F2A7D" w:rsidRDefault="005F2A7D" w:rsidP="005F2A7D">
      <w:pPr>
        <w:pStyle w:val="ListParagraph"/>
        <w:keepNext/>
        <w:widowControl w:val="0"/>
        <w:numPr>
          <w:ilvl w:val="0"/>
          <w:numId w:val="41"/>
        </w:numPr>
        <w:spacing w:beforeAutospacing="1" w:afterAutospacing="1"/>
        <w:rPr>
          <w:rFonts w:cs="Arial"/>
          <w:sz w:val="24"/>
          <w:szCs w:val="24"/>
        </w:rPr>
      </w:pPr>
      <w:r>
        <w:rPr>
          <w:rFonts w:cs="Arial"/>
          <w:sz w:val="24"/>
          <w:szCs w:val="24"/>
        </w:rPr>
        <w:t>C</w:t>
      </w:r>
      <w:r w:rsidR="009A2C2E" w:rsidRPr="005F2A7D">
        <w:rPr>
          <w:rFonts w:cs="Arial"/>
          <w:sz w:val="24"/>
          <w:szCs w:val="24"/>
        </w:rPr>
        <w:t xml:space="preserve">ities and counties </w:t>
      </w:r>
    </w:p>
    <w:p w14:paraId="35E7BDFD" w14:textId="2911EF75" w:rsidR="005F2A7D" w:rsidRDefault="005F2A7D" w:rsidP="005F2A7D">
      <w:pPr>
        <w:pStyle w:val="ListParagraph"/>
        <w:keepNext/>
        <w:widowControl w:val="0"/>
        <w:numPr>
          <w:ilvl w:val="0"/>
          <w:numId w:val="41"/>
        </w:numPr>
        <w:spacing w:beforeAutospacing="1" w:afterAutospacing="1"/>
        <w:rPr>
          <w:rFonts w:cs="Arial"/>
          <w:sz w:val="24"/>
          <w:szCs w:val="24"/>
        </w:rPr>
      </w:pPr>
      <w:r>
        <w:rPr>
          <w:rFonts w:cs="Arial"/>
          <w:sz w:val="24"/>
          <w:szCs w:val="24"/>
        </w:rPr>
        <w:t>L</w:t>
      </w:r>
      <w:r w:rsidR="009A2C2E" w:rsidRPr="005F2A7D">
        <w:rPr>
          <w:rFonts w:cs="Arial"/>
          <w:sz w:val="24"/>
          <w:szCs w:val="24"/>
        </w:rPr>
        <w:t>ocal planning districts </w:t>
      </w:r>
    </w:p>
    <w:p w14:paraId="619317C3" w14:textId="3A10E9D7" w:rsidR="009A2C2E" w:rsidRPr="005F2A7D" w:rsidRDefault="009A2C2E" w:rsidP="005F2A7D">
      <w:pPr>
        <w:pStyle w:val="ListParagraph"/>
        <w:keepNext/>
        <w:widowControl w:val="0"/>
        <w:numPr>
          <w:ilvl w:val="0"/>
          <w:numId w:val="41"/>
        </w:numPr>
        <w:spacing w:beforeAutospacing="1" w:afterAutospacing="1"/>
        <w:rPr>
          <w:rFonts w:cs="Arial"/>
          <w:sz w:val="24"/>
          <w:szCs w:val="24"/>
        </w:rPr>
      </w:pPr>
      <w:r w:rsidRPr="005F2A7D">
        <w:rPr>
          <w:rFonts w:cs="Arial"/>
          <w:sz w:val="24"/>
          <w:szCs w:val="24"/>
        </w:rPr>
        <w:t>USDA-RD Both IHFA and IDC are participating members of the Fair Housing forum, which works with members of various agencies throughout the State of Idaho to address fair housing concerns.</w:t>
      </w:r>
    </w:p>
    <w:p w14:paraId="63038042" w14:textId="49D5AB63" w:rsidR="009A2C2E" w:rsidRPr="005F2A7D" w:rsidRDefault="009A2C2E" w:rsidP="005F2A7D">
      <w:pPr>
        <w:keepNext/>
        <w:widowControl w:val="0"/>
        <w:spacing w:beforeAutospacing="1" w:afterAutospacing="1"/>
        <w:jc w:val="both"/>
        <w:rPr>
          <w:rFonts w:cs="Arial"/>
          <w:sz w:val="24"/>
          <w:szCs w:val="24"/>
        </w:rPr>
      </w:pPr>
      <w:r w:rsidRPr="005F2A7D">
        <w:rPr>
          <w:rFonts w:cs="Arial"/>
          <w:sz w:val="24"/>
          <w:szCs w:val="24"/>
        </w:rPr>
        <w:t xml:space="preserve">The Idaho BoS CoC has been awarded a HUD </w:t>
      </w:r>
      <w:r w:rsidR="73AB087F" w:rsidRPr="005F2A7D">
        <w:rPr>
          <w:rFonts w:cs="Arial"/>
          <w:sz w:val="24"/>
          <w:szCs w:val="24"/>
        </w:rPr>
        <w:t xml:space="preserve">CoC </w:t>
      </w:r>
      <w:r w:rsidRPr="005F2A7D">
        <w:rPr>
          <w:rFonts w:cs="Arial"/>
          <w:sz w:val="24"/>
          <w:szCs w:val="24"/>
        </w:rPr>
        <w:t>planning grant. The planning grant is intended to aid CoCs in expanding current activities and establish governing structures and systems which ensure proper oversight and coordination of HUD-funded homeless programs. The activities identified by the BoS CoC are coordination activities, project evaluation, participation in the consolidated plan, CoC application activities, and developing a CoC system.  Several of these activities will include efforts that will enhance coordination between public and private housing and service agencies.  The CoC will make itself more visible in regional planning and advocacy bodies to ensure all agencies and individuals connected to homelessness issues is familiar with resources available.  This enhances coordination in the implementation of the jurisdiction’s consolidated plan among stakeholders.</w:t>
      </w:r>
    </w:p>
    <w:p w14:paraId="185C5DD0" w14:textId="77777777" w:rsidR="009A2C2E" w:rsidRPr="005F2A7D" w:rsidRDefault="009A2C2E" w:rsidP="005F2A7D">
      <w:pPr>
        <w:keepNext/>
        <w:widowControl w:val="0"/>
        <w:spacing w:beforeAutospacing="1" w:afterAutospacing="1"/>
        <w:jc w:val="both"/>
        <w:rPr>
          <w:rFonts w:cs="Arial"/>
          <w:sz w:val="24"/>
          <w:szCs w:val="24"/>
        </w:rPr>
      </w:pPr>
      <w:r w:rsidRPr="005F2A7D">
        <w:rPr>
          <w:rFonts w:cs="Arial"/>
          <w:sz w:val="24"/>
          <w:szCs w:val="24"/>
        </w:rPr>
        <w:t>The recipient hosts biannual housing roundtables, which enhance coordination between public and private housing and social service agencies. These events facilitate communication and build strong partnerships among housing stakeholders, including representatives from public and private agencies, business and civic leaders. Input gained in these public forums is utilized when developing policies, performance standards, and program evaluation.</w:t>
      </w:r>
    </w:p>
    <w:p w14:paraId="2A87B561" w14:textId="77777777" w:rsidR="009A2C2E" w:rsidRDefault="009A2C2E" w:rsidP="009A2C2E">
      <w:pPr>
        <w:keepNext/>
        <w:widowControl w:val="0"/>
        <w:spacing w:line="204" w:lineRule="auto"/>
        <w:rPr>
          <w:b/>
          <w:sz w:val="24"/>
          <w:szCs w:val="24"/>
        </w:rPr>
      </w:pPr>
      <w:r w:rsidRPr="005F2A7D">
        <w:rPr>
          <w:b/>
          <w:sz w:val="24"/>
          <w:szCs w:val="24"/>
        </w:rPr>
        <w:t xml:space="preserve">Discussion: </w:t>
      </w:r>
    </w:p>
    <w:p w14:paraId="11FCA53E" w14:textId="1DBDD963" w:rsidR="005F2A7D" w:rsidRPr="005F2A7D" w:rsidRDefault="005F2A7D" w:rsidP="009A2C2E">
      <w:pPr>
        <w:keepNext/>
        <w:widowControl w:val="0"/>
        <w:spacing w:line="204" w:lineRule="auto"/>
        <w:rPr>
          <w:bCs/>
          <w:sz w:val="24"/>
          <w:szCs w:val="24"/>
        </w:rPr>
      </w:pPr>
      <w:r w:rsidRPr="005F2A7D">
        <w:rPr>
          <w:bCs/>
          <w:sz w:val="24"/>
          <w:szCs w:val="24"/>
        </w:rPr>
        <w:t>None.</w:t>
      </w:r>
    </w:p>
    <w:p w14:paraId="33460249" w14:textId="77777777" w:rsidR="009A2C2E" w:rsidRDefault="009A2C2E" w:rsidP="009A2C2E">
      <w:pPr>
        <w:keepNext/>
        <w:widowControl w:val="0"/>
        <w:spacing w:line="204" w:lineRule="auto"/>
        <w:rPr>
          <w:b/>
          <w:sz w:val="24"/>
          <w:szCs w:val="24"/>
        </w:rPr>
      </w:pPr>
    </w:p>
    <w:p w14:paraId="1FD27F44" w14:textId="77777777" w:rsidR="009A2C2E" w:rsidRDefault="009A2C2E" w:rsidP="009A2C2E">
      <w:pPr>
        <w:pStyle w:val="Heading1"/>
        <w:pageBreakBefore/>
        <w:jc w:val="center"/>
        <w:rPr>
          <w:rFonts w:ascii="Calibri" w:hAnsi="Calibri"/>
          <w:color w:val="auto"/>
          <w:sz w:val="32"/>
          <w:szCs w:val="32"/>
        </w:rPr>
      </w:pPr>
      <w:bookmarkStart w:id="144" w:name="_Toc191358764"/>
      <w:bookmarkStart w:id="145" w:name="_Toc194673888"/>
      <w:r>
        <w:rPr>
          <w:rFonts w:ascii="Calibri" w:hAnsi="Calibri"/>
          <w:color w:val="auto"/>
          <w:sz w:val="32"/>
          <w:szCs w:val="32"/>
        </w:rPr>
        <w:lastRenderedPageBreak/>
        <w:t>Program Specific Requirements</w:t>
      </w:r>
      <w:bookmarkEnd w:id="144"/>
      <w:bookmarkEnd w:id="145"/>
    </w:p>
    <w:p w14:paraId="696917E3" w14:textId="77777777" w:rsidR="009A2C2E" w:rsidRDefault="009A2C2E" w:rsidP="009A2C2E">
      <w:pPr>
        <w:rPr>
          <w:b/>
          <w:sz w:val="28"/>
          <w:szCs w:val="28"/>
        </w:rPr>
      </w:pPr>
      <w:r>
        <w:rPr>
          <w:b/>
          <w:sz w:val="28"/>
          <w:szCs w:val="28"/>
        </w:rPr>
        <w:t>AP-90 Program Specific Requirements – 91.320(k</w:t>
      </w:r>
      <w:proofErr w:type="gramStart"/>
      <w:r>
        <w:rPr>
          <w:b/>
          <w:sz w:val="28"/>
          <w:szCs w:val="28"/>
        </w:rPr>
        <w:t>)(</w:t>
      </w:r>
      <w:proofErr w:type="gramEnd"/>
      <w:r>
        <w:rPr>
          <w:b/>
          <w:sz w:val="28"/>
          <w:szCs w:val="28"/>
        </w:rPr>
        <w:t>1,2,3)</w:t>
      </w:r>
    </w:p>
    <w:p w14:paraId="5B024DE6" w14:textId="77777777" w:rsidR="00910892" w:rsidRDefault="009A2C2E" w:rsidP="00910892">
      <w:pPr>
        <w:keepNext/>
        <w:widowControl w:val="0"/>
        <w:spacing w:line="204" w:lineRule="auto"/>
        <w:jc w:val="both"/>
        <w:rPr>
          <w:rFonts w:cs="Calibri"/>
          <w:b/>
          <w:sz w:val="24"/>
          <w:szCs w:val="24"/>
        </w:rPr>
      </w:pPr>
      <w:r w:rsidRPr="00910892">
        <w:rPr>
          <w:rFonts w:cs="Calibri"/>
          <w:b/>
          <w:sz w:val="24"/>
          <w:szCs w:val="24"/>
        </w:rPr>
        <w:t xml:space="preserve">Introduction: </w:t>
      </w:r>
    </w:p>
    <w:p w14:paraId="7FC6448A" w14:textId="371C7D5E" w:rsidR="009A2C2E" w:rsidRPr="00910892" w:rsidRDefault="00910892" w:rsidP="00910892">
      <w:pPr>
        <w:keepNext/>
        <w:widowControl w:val="0"/>
        <w:spacing w:line="204" w:lineRule="auto"/>
        <w:jc w:val="both"/>
        <w:rPr>
          <w:rFonts w:cs="Calibri"/>
          <w:b/>
          <w:sz w:val="24"/>
          <w:szCs w:val="24"/>
        </w:rPr>
      </w:pPr>
      <w:r w:rsidRPr="00910892">
        <w:rPr>
          <w:rFonts w:cs="Calibri"/>
          <w:bCs/>
          <w:sz w:val="24"/>
          <w:szCs w:val="24"/>
        </w:rPr>
        <w:t>This section reviews specific requirements of the programs funded under this Annual Action Plan.</w:t>
      </w:r>
      <w:r>
        <w:rPr>
          <w:rFonts w:cs="Calibri"/>
          <w:b/>
          <w:sz w:val="24"/>
          <w:szCs w:val="24"/>
        </w:rPr>
        <w:t xml:space="preserve"> </w:t>
      </w:r>
    </w:p>
    <w:p w14:paraId="7440639B" w14:textId="6AE60FDD" w:rsidR="009A2C2E" w:rsidRPr="00910892" w:rsidRDefault="62618DFA" w:rsidP="00910892">
      <w:pPr>
        <w:keepNext/>
        <w:widowControl w:val="0"/>
        <w:spacing w:beforeAutospacing="1" w:afterAutospacing="1"/>
        <w:jc w:val="both"/>
        <w:rPr>
          <w:rFonts w:cs="Calibri"/>
          <w:b/>
          <w:bCs/>
          <w:sz w:val="24"/>
          <w:szCs w:val="24"/>
        </w:rPr>
      </w:pPr>
      <w:r w:rsidRPr="00910892">
        <w:rPr>
          <w:rFonts w:cs="Calibri"/>
          <w:b/>
          <w:bCs/>
          <w:sz w:val="24"/>
          <w:szCs w:val="24"/>
        </w:rPr>
        <w:t xml:space="preserve">Community Development Block Grant Program </w:t>
      </w:r>
      <w:r w:rsidR="2C260456" w:rsidRPr="00910892">
        <w:rPr>
          <w:rFonts w:cs="Calibri"/>
          <w:b/>
          <w:bCs/>
          <w:sz w:val="24"/>
          <w:szCs w:val="24"/>
        </w:rPr>
        <w:t>(</w:t>
      </w:r>
      <w:r w:rsidR="009A2C2E" w:rsidRPr="00910892">
        <w:rPr>
          <w:rFonts w:cs="Calibri"/>
          <w:b/>
          <w:bCs/>
          <w:sz w:val="24"/>
          <w:szCs w:val="24"/>
        </w:rPr>
        <w:t>CDBG</w:t>
      </w:r>
      <w:r w:rsidR="3E0E5C5B" w:rsidRPr="00910892">
        <w:rPr>
          <w:rFonts w:cs="Calibri"/>
          <w:b/>
          <w:bCs/>
          <w:sz w:val="24"/>
          <w:szCs w:val="24"/>
        </w:rPr>
        <w:t>)</w:t>
      </w:r>
      <w:r w:rsidR="009A2C2E" w:rsidRPr="00910892">
        <w:rPr>
          <w:rFonts w:cs="Calibri"/>
          <w:sz w:val="24"/>
          <w:szCs w:val="24"/>
        </w:rPr>
        <w:t xml:space="preserve"> will spend 70% LMI activities for a two-year period.  This two</w:t>
      </w:r>
      <w:r w:rsidR="3C8506B8" w:rsidRPr="00910892">
        <w:rPr>
          <w:rFonts w:cs="Calibri"/>
          <w:sz w:val="24"/>
          <w:szCs w:val="24"/>
        </w:rPr>
        <w:t xml:space="preserve"> (2) </w:t>
      </w:r>
      <w:r w:rsidR="009A2C2E" w:rsidRPr="00910892">
        <w:rPr>
          <w:rFonts w:cs="Calibri"/>
          <w:sz w:val="24"/>
          <w:szCs w:val="24"/>
        </w:rPr>
        <w:t>-year period would be 202</w:t>
      </w:r>
      <w:r w:rsidR="329B134E" w:rsidRPr="00910892">
        <w:rPr>
          <w:rFonts w:cs="Calibri"/>
          <w:sz w:val="24"/>
          <w:szCs w:val="24"/>
        </w:rPr>
        <w:t>5</w:t>
      </w:r>
      <w:r w:rsidR="009A2C2E" w:rsidRPr="00910892">
        <w:rPr>
          <w:rFonts w:cs="Calibri"/>
          <w:sz w:val="24"/>
          <w:szCs w:val="24"/>
        </w:rPr>
        <w:t xml:space="preserve"> and 202</w:t>
      </w:r>
      <w:r w:rsidR="2133E09B" w:rsidRPr="00910892">
        <w:rPr>
          <w:rFonts w:cs="Calibri"/>
          <w:sz w:val="24"/>
          <w:szCs w:val="24"/>
        </w:rPr>
        <w:t>6</w:t>
      </w:r>
      <w:r w:rsidR="009A2C2E" w:rsidRPr="00910892">
        <w:rPr>
          <w:rFonts w:cs="Calibri"/>
          <w:sz w:val="24"/>
          <w:szCs w:val="24"/>
        </w:rPr>
        <w:t>.</w:t>
      </w:r>
    </w:p>
    <w:p w14:paraId="25775F4F" w14:textId="77777777" w:rsidR="00910892" w:rsidRDefault="009A2C2E" w:rsidP="00910892">
      <w:pPr>
        <w:keepNext/>
        <w:widowControl w:val="0"/>
        <w:spacing w:beforeAutospacing="1" w:afterAutospacing="1"/>
        <w:jc w:val="both"/>
        <w:rPr>
          <w:rFonts w:cs="Calibri"/>
          <w:sz w:val="24"/>
          <w:szCs w:val="24"/>
        </w:rPr>
      </w:pPr>
      <w:r w:rsidRPr="00910892">
        <w:rPr>
          <w:rFonts w:cs="Calibri"/>
          <w:b/>
          <w:sz w:val="24"/>
          <w:szCs w:val="24"/>
        </w:rPr>
        <w:t xml:space="preserve">HOME &amp; </w:t>
      </w:r>
      <w:r w:rsidR="00910892">
        <w:rPr>
          <w:rFonts w:cs="Calibri"/>
          <w:b/>
          <w:sz w:val="24"/>
          <w:szCs w:val="24"/>
        </w:rPr>
        <w:t>Housing Trust Fund (</w:t>
      </w:r>
      <w:r w:rsidRPr="00910892">
        <w:rPr>
          <w:rFonts w:cs="Calibri"/>
          <w:b/>
          <w:sz w:val="24"/>
          <w:szCs w:val="24"/>
        </w:rPr>
        <w:t>HTF</w:t>
      </w:r>
      <w:r w:rsidR="00910892">
        <w:rPr>
          <w:rFonts w:cs="Calibri"/>
          <w:b/>
          <w:sz w:val="24"/>
          <w:szCs w:val="24"/>
        </w:rPr>
        <w:t>)</w:t>
      </w:r>
      <w:r w:rsidRPr="00910892">
        <w:rPr>
          <w:rFonts w:cs="Calibri"/>
          <w:sz w:val="24"/>
          <w:szCs w:val="24"/>
        </w:rPr>
        <w:t xml:space="preserve"> Programs- </w:t>
      </w:r>
      <w:r w:rsidR="2428D8C0" w:rsidRPr="00910892">
        <w:rPr>
          <w:rFonts w:cs="Calibri"/>
          <w:color w:val="000000" w:themeColor="text1"/>
          <w:sz w:val="24"/>
          <w:szCs w:val="24"/>
        </w:rPr>
        <w:t>The IHFA's 2025 Annual Administrative Plan outlines programs for single</w:t>
      </w:r>
      <w:r w:rsidRPr="00910892">
        <w:rPr>
          <w:rFonts w:cs="Calibri"/>
          <w:color w:val="000000" w:themeColor="text1"/>
          <w:sz w:val="24"/>
          <w:szCs w:val="24"/>
        </w:rPr>
        <w:t>-family and multifamily activities</w:t>
      </w:r>
      <w:r w:rsidR="2428D8C0" w:rsidRPr="00910892">
        <w:rPr>
          <w:rFonts w:cs="Calibri"/>
          <w:color w:val="000000" w:themeColor="text1"/>
          <w:sz w:val="24"/>
          <w:szCs w:val="24"/>
        </w:rPr>
        <w:t>, including</w:t>
      </w:r>
      <w:r w:rsidRPr="00910892">
        <w:rPr>
          <w:rFonts w:cs="Calibri"/>
          <w:color w:val="000000" w:themeColor="text1"/>
          <w:sz w:val="24"/>
          <w:szCs w:val="24"/>
        </w:rPr>
        <w:t xml:space="preserve"> financing</w:t>
      </w:r>
      <w:r w:rsidR="2428D8C0" w:rsidRPr="00910892">
        <w:rPr>
          <w:rFonts w:cs="Calibri"/>
          <w:color w:val="000000" w:themeColor="text1"/>
          <w:sz w:val="24"/>
          <w:szCs w:val="24"/>
        </w:rPr>
        <w:t xml:space="preserve">, </w:t>
      </w:r>
      <w:r w:rsidRPr="00910892">
        <w:rPr>
          <w:rFonts w:cs="Calibri"/>
          <w:color w:val="000000" w:themeColor="text1"/>
          <w:sz w:val="24"/>
          <w:szCs w:val="24"/>
        </w:rPr>
        <w:t>regulatory requirements</w:t>
      </w:r>
      <w:r w:rsidR="2428D8C0" w:rsidRPr="00910892">
        <w:rPr>
          <w:rFonts w:cs="Calibri"/>
          <w:color w:val="000000" w:themeColor="text1"/>
          <w:sz w:val="24"/>
          <w:szCs w:val="24"/>
        </w:rPr>
        <w:t xml:space="preserve">, and </w:t>
      </w:r>
      <w:r w:rsidRPr="00910892">
        <w:rPr>
          <w:rFonts w:cs="Calibri"/>
          <w:color w:val="000000" w:themeColor="text1"/>
          <w:sz w:val="24"/>
          <w:szCs w:val="24"/>
        </w:rPr>
        <w:t>the award and funding process</w:t>
      </w:r>
      <w:r w:rsidRPr="00910892">
        <w:rPr>
          <w:rFonts w:cs="Calibri"/>
          <w:sz w:val="24"/>
          <w:szCs w:val="24"/>
        </w:rPr>
        <w:t xml:space="preserve"> </w:t>
      </w:r>
      <w:r w:rsidR="604B2777" w:rsidRPr="00910892">
        <w:rPr>
          <w:rFonts w:cs="Calibri"/>
          <w:sz w:val="24"/>
          <w:szCs w:val="24"/>
        </w:rPr>
        <w:t xml:space="preserve">is available </w:t>
      </w:r>
      <w:r w:rsidRPr="00910892">
        <w:rPr>
          <w:rFonts w:cs="Calibri"/>
          <w:sz w:val="24"/>
          <w:szCs w:val="24"/>
        </w:rPr>
        <w:t>at</w:t>
      </w:r>
      <w:r w:rsidR="00910892">
        <w:rPr>
          <w:rFonts w:cs="Calibri"/>
          <w:sz w:val="24"/>
          <w:szCs w:val="24"/>
        </w:rPr>
        <w:t>:</w:t>
      </w:r>
    </w:p>
    <w:p w14:paraId="28900E75" w14:textId="77C678D7" w:rsidR="00910892" w:rsidRDefault="00910892" w:rsidP="00910892">
      <w:pPr>
        <w:keepNext/>
        <w:widowControl w:val="0"/>
        <w:spacing w:beforeAutospacing="1" w:afterAutospacing="1"/>
        <w:jc w:val="both"/>
        <w:rPr>
          <w:rFonts w:cs="Calibri"/>
          <w:sz w:val="24"/>
          <w:szCs w:val="24"/>
        </w:rPr>
      </w:pPr>
      <w:hyperlink r:id="rId24" w:history="1">
        <w:r w:rsidRPr="000031BE">
          <w:rPr>
            <w:rStyle w:val="Hyperlink"/>
            <w:rFonts w:cs="Calibri"/>
            <w:sz w:val="24"/>
            <w:szCs w:val="24"/>
          </w:rPr>
          <w:t>https://www.idahohousing.com/federal-programs/home-program/</w:t>
        </w:r>
      </w:hyperlink>
      <w:r w:rsidR="009A2C2E" w:rsidRPr="00910892">
        <w:rPr>
          <w:rFonts w:cs="Calibri"/>
          <w:sz w:val="24"/>
          <w:szCs w:val="24"/>
        </w:rPr>
        <w:t xml:space="preserve">. </w:t>
      </w:r>
    </w:p>
    <w:p w14:paraId="653A2CB7" w14:textId="2EC07688" w:rsidR="009A2C2E" w:rsidRPr="00910892" w:rsidRDefault="009A2C2E" w:rsidP="00910892">
      <w:pPr>
        <w:keepNext/>
        <w:widowControl w:val="0"/>
        <w:spacing w:beforeAutospacing="1" w:afterAutospacing="1"/>
        <w:jc w:val="both"/>
        <w:rPr>
          <w:rFonts w:cs="Calibri"/>
          <w:b/>
          <w:sz w:val="24"/>
          <w:szCs w:val="24"/>
        </w:rPr>
      </w:pPr>
      <w:r w:rsidRPr="00910892">
        <w:rPr>
          <w:rFonts w:cs="Calibri"/>
          <w:sz w:val="24"/>
          <w:szCs w:val="24"/>
        </w:rPr>
        <w:t>IHFA reviews and updates its Administrative Plan on an annual basis to ensure these very limited federal affordable housing development programs funds are used in the most effective way possible to create affordable housing and generate program income.</w:t>
      </w:r>
    </w:p>
    <w:p w14:paraId="03D2489E" w14:textId="77777777" w:rsidR="009A2C2E" w:rsidRPr="00910892" w:rsidRDefault="009A2C2E" w:rsidP="00910892">
      <w:pPr>
        <w:keepNext/>
        <w:widowControl w:val="0"/>
        <w:spacing w:after="0" w:line="240" w:lineRule="auto"/>
        <w:jc w:val="both"/>
        <w:rPr>
          <w:rFonts w:cs="Calibri"/>
          <w:b/>
          <w:sz w:val="24"/>
          <w:szCs w:val="24"/>
        </w:rPr>
      </w:pPr>
      <w:r w:rsidRPr="00910892">
        <w:rPr>
          <w:rFonts w:cs="Calibri"/>
          <w:b/>
          <w:sz w:val="24"/>
          <w:szCs w:val="24"/>
        </w:rPr>
        <w:t>Community Development Block Grant Program (CDBG)</w:t>
      </w:r>
      <w:r w:rsidRPr="00910892">
        <w:rPr>
          <w:rFonts w:cs="Calibri"/>
          <w:i/>
          <w:sz w:val="24"/>
          <w:szCs w:val="24"/>
        </w:rPr>
        <w:t xml:space="preserve"> </w:t>
      </w:r>
    </w:p>
    <w:p w14:paraId="35388A99" w14:textId="77777777" w:rsidR="009A2C2E" w:rsidRPr="00910892" w:rsidRDefault="009A2C2E" w:rsidP="00910892">
      <w:pPr>
        <w:keepNext/>
        <w:widowControl w:val="0"/>
        <w:spacing w:after="0" w:line="240" w:lineRule="auto"/>
        <w:jc w:val="both"/>
        <w:rPr>
          <w:rFonts w:cs="Calibri"/>
          <w:b/>
          <w:sz w:val="24"/>
          <w:szCs w:val="24"/>
        </w:rPr>
      </w:pPr>
      <w:r w:rsidRPr="00910892">
        <w:rPr>
          <w:rFonts w:cs="Calibri"/>
          <w:b/>
          <w:sz w:val="24"/>
          <w:szCs w:val="24"/>
        </w:rPr>
        <w:t>Reference 24 CFR 91.320(k)(1)</w:t>
      </w:r>
      <w:r w:rsidRPr="00910892">
        <w:rPr>
          <w:rFonts w:cs="Calibri"/>
          <w:i/>
          <w:sz w:val="24"/>
          <w:szCs w:val="24"/>
        </w:rPr>
        <w:t xml:space="preserve"> </w:t>
      </w:r>
    </w:p>
    <w:p w14:paraId="43B8E83C" w14:textId="4D3A1CD3" w:rsidR="009A2C2E" w:rsidRPr="00910892" w:rsidRDefault="009A2C2E" w:rsidP="00910892">
      <w:pPr>
        <w:keepNext/>
        <w:widowControl w:val="0"/>
        <w:spacing w:after="0" w:line="240" w:lineRule="auto"/>
        <w:jc w:val="both"/>
        <w:rPr>
          <w:rFonts w:cs="Calibri"/>
          <w:sz w:val="24"/>
          <w:szCs w:val="24"/>
        </w:rPr>
      </w:pPr>
      <w:r w:rsidRPr="00910892">
        <w:rPr>
          <w:rFonts w:cs="Calibri"/>
          <w:sz w:val="24"/>
          <w:szCs w:val="24"/>
        </w:rPr>
        <w:t xml:space="preserve">Projects planned with all CDBG funds expected to be available during the year are identified in the Projects Table. The following identifies program income that is available for use that is included in projects to be carried out. </w:t>
      </w:r>
    </w:p>
    <w:tbl>
      <w:tblPr>
        <w:tblW w:w="5000" w:type="pct"/>
        <w:tblInd w:w="115" w:type="dxa"/>
        <w:tblLook w:val="01E0" w:firstRow="1" w:lastRow="1" w:firstColumn="1" w:lastColumn="1" w:noHBand="0" w:noVBand="0"/>
      </w:tblPr>
      <w:tblGrid>
        <w:gridCol w:w="9022"/>
        <w:gridCol w:w="338"/>
      </w:tblGrid>
      <w:tr w:rsidR="009A2C2E" w:rsidRPr="00910892" w14:paraId="7701870F" w14:textId="77777777" w:rsidTr="787E070B">
        <w:tc>
          <w:tcPr>
            <w:tcW w:w="9576" w:type="dxa"/>
            <w:gridSpan w:val="2"/>
          </w:tcPr>
          <w:p w14:paraId="27B21CA4" w14:textId="77777777" w:rsidR="009A2C2E" w:rsidRPr="00910892" w:rsidRDefault="009A2C2E" w:rsidP="00910892">
            <w:pPr>
              <w:keepNext/>
              <w:widowControl w:val="0"/>
              <w:spacing w:after="0" w:line="240" w:lineRule="auto"/>
              <w:jc w:val="both"/>
              <w:rPr>
                <w:rFonts w:cs="Calibri"/>
                <w:sz w:val="24"/>
                <w:szCs w:val="24"/>
              </w:rPr>
            </w:pPr>
          </w:p>
        </w:tc>
      </w:tr>
      <w:tr w:rsidR="009A2C2E" w:rsidRPr="00910892" w14:paraId="383BF0E2" w14:textId="77777777" w:rsidTr="787E070B">
        <w:trPr>
          <w:cantSplit/>
        </w:trPr>
        <w:tc>
          <w:tcPr>
            <w:tcW w:w="0" w:type="auto"/>
            <w:vAlign w:val="center"/>
          </w:tcPr>
          <w:p w14:paraId="10A72F3B"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1. The total amount of program income that will have been received before the start of the next program year and that has not yet been reprogrammed</w:t>
            </w:r>
          </w:p>
        </w:tc>
        <w:tc>
          <w:tcPr>
            <w:tcW w:w="0" w:type="auto"/>
            <w:vAlign w:val="bottom"/>
          </w:tcPr>
          <w:p w14:paraId="78CBA9BF"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0</w:t>
            </w:r>
          </w:p>
        </w:tc>
      </w:tr>
      <w:tr w:rsidR="009A2C2E" w:rsidRPr="00910892" w14:paraId="4BFDE55F" w14:textId="77777777" w:rsidTr="787E070B">
        <w:trPr>
          <w:cantSplit/>
        </w:trPr>
        <w:tc>
          <w:tcPr>
            <w:tcW w:w="0" w:type="auto"/>
            <w:vAlign w:val="center"/>
          </w:tcPr>
          <w:p w14:paraId="6E94E88A"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2. The amount of proceeds from section 108 loan guarantees that will be used during the year to address the priority needs and specific objectives identified in the grantee's strategic plan.</w:t>
            </w:r>
          </w:p>
        </w:tc>
        <w:tc>
          <w:tcPr>
            <w:tcW w:w="0" w:type="auto"/>
            <w:vAlign w:val="bottom"/>
          </w:tcPr>
          <w:p w14:paraId="61A9D930"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0</w:t>
            </w:r>
          </w:p>
        </w:tc>
      </w:tr>
      <w:tr w:rsidR="009A2C2E" w:rsidRPr="00910892" w14:paraId="382462C7" w14:textId="77777777" w:rsidTr="787E070B">
        <w:trPr>
          <w:cantSplit/>
        </w:trPr>
        <w:tc>
          <w:tcPr>
            <w:tcW w:w="0" w:type="auto"/>
            <w:vAlign w:val="center"/>
          </w:tcPr>
          <w:p w14:paraId="66554CAB"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3. The amount of surplus funds from urban renewal settlements</w:t>
            </w:r>
          </w:p>
        </w:tc>
        <w:tc>
          <w:tcPr>
            <w:tcW w:w="0" w:type="auto"/>
            <w:vAlign w:val="bottom"/>
          </w:tcPr>
          <w:p w14:paraId="716B302F"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0</w:t>
            </w:r>
          </w:p>
        </w:tc>
      </w:tr>
      <w:tr w:rsidR="009A2C2E" w:rsidRPr="00910892" w14:paraId="283DA9AF" w14:textId="77777777" w:rsidTr="787E070B">
        <w:trPr>
          <w:cantSplit/>
        </w:trPr>
        <w:tc>
          <w:tcPr>
            <w:tcW w:w="0" w:type="auto"/>
            <w:vAlign w:val="center"/>
          </w:tcPr>
          <w:p w14:paraId="66EE2EC1"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4. The amount of any grant funds returned to the line of credit for which the planned use has not been included in a prior statement or plan</w:t>
            </w:r>
          </w:p>
        </w:tc>
        <w:tc>
          <w:tcPr>
            <w:tcW w:w="0" w:type="auto"/>
            <w:vAlign w:val="bottom"/>
          </w:tcPr>
          <w:p w14:paraId="5A84805F"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0</w:t>
            </w:r>
          </w:p>
        </w:tc>
      </w:tr>
      <w:tr w:rsidR="009A2C2E" w:rsidRPr="00910892" w14:paraId="33EE4FAC" w14:textId="77777777" w:rsidTr="787E070B">
        <w:trPr>
          <w:cantSplit/>
        </w:trPr>
        <w:tc>
          <w:tcPr>
            <w:tcW w:w="0" w:type="auto"/>
            <w:vAlign w:val="center"/>
          </w:tcPr>
          <w:p w14:paraId="60A36B00"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5. The amount of income from float-funded activities</w:t>
            </w:r>
          </w:p>
        </w:tc>
        <w:tc>
          <w:tcPr>
            <w:tcW w:w="0" w:type="auto"/>
            <w:vAlign w:val="bottom"/>
          </w:tcPr>
          <w:p w14:paraId="784CC353"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0</w:t>
            </w:r>
          </w:p>
        </w:tc>
      </w:tr>
      <w:tr w:rsidR="009A2C2E" w:rsidRPr="00910892" w14:paraId="603852AA" w14:textId="77777777" w:rsidTr="787E070B">
        <w:trPr>
          <w:cantSplit/>
        </w:trPr>
        <w:tc>
          <w:tcPr>
            <w:tcW w:w="0" w:type="auto"/>
            <w:vAlign w:val="center"/>
          </w:tcPr>
          <w:p w14:paraId="58735186" w14:textId="77777777" w:rsidR="009A2C2E" w:rsidRPr="00910892" w:rsidRDefault="009A2C2E" w:rsidP="00910892">
            <w:pPr>
              <w:spacing w:beforeAutospacing="1" w:afterAutospacing="1"/>
              <w:jc w:val="both"/>
              <w:rPr>
                <w:rFonts w:cs="Calibri"/>
                <w:b/>
                <w:bCs/>
                <w:color w:val="000000" w:themeColor="text1"/>
                <w:sz w:val="24"/>
                <w:szCs w:val="24"/>
              </w:rPr>
            </w:pPr>
            <w:r w:rsidRPr="00910892">
              <w:rPr>
                <w:rFonts w:cs="Calibri"/>
                <w:b/>
                <w:bCs/>
                <w:color w:val="000000" w:themeColor="text1"/>
                <w:sz w:val="24"/>
                <w:szCs w:val="24"/>
              </w:rPr>
              <w:t>Total Program Income:</w:t>
            </w:r>
          </w:p>
        </w:tc>
        <w:tc>
          <w:tcPr>
            <w:tcW w:w="0" w:type="auto"/>
            <w:vAlign w:val="center"/>
          </w:tcPr>
          <w:p w14:paraId="5B0B6BED" w14:textId="77777777" w:rsidR="009A2C2E" w:rsidRPr="00910892" w:rsidRDefault="009A2C2E" w:rsidP="00910892">
            <w:pPr>
              <w:spacing w:beforeAutospacing="1" w:afterAutospacing="1"/>
              <w:jc w:val="both"/>
              <w:rPr>
                <w:rFonts w:cs="Calibri"/>
                <w:sz w:val="24"/>
                <w:szCs w:val="24"/>
              </w:rPr>
            </w:pPr>
            <w:r w:rsidRPr="00910892">
              <w:rPr>
                <w:rFonts w:cs="Calibri"/>
                <w:b/>
                <w:color w:val="000000"/>
                <w:sz w:val="24"/>
                <w:szCs w:val="24"/>
              </w:rPr>
              <w:t>0</w:t>
            </w:r>
          </w:p>
        </w:tc>
      </w:tr>
    </w:tbl>
    <w:p w14:paraId="6BC82F5A" w14:textId="77777777" w:rsidR="009A2C2E" w:rsidRPr="00910892" w:rsidRDefault="009A2C2E" w:rsidP="00910892">
      <w:pPr>
        <w:keepNext/>
        <w:widowControl w:val="0"/>
        <w:spacing w:after="0" w:line="240" w:lineRule="auto"/>
        <w:jc w:val="both"/>
        <w:rPr>
          <w:rFonts w:cs="Calibri"/>
          <w:sz w:val="24"/>
          <w:szCs w:val="24"/>
        </w:rPr>
      </w:pPr>
    </w:p>
    <w:p w14:paraId="79CD899A" w14:textId="77777777" w:rsidR="009A2C2E" w:rsidRPr="00910892" w:rsidRDefault="009A2C2E" w:rsidP="00910892">
      <w:pPr>
        <w:keepNext/>
        <w:widowControl w:val="0"/>
        <w:spacing w:after="0" w:line="240" w:lineRule="auto"/>
        <w:jc w:val="both"/>
        <w:rPr>
          <w:rFonts w:cs="Calibri"/>
          <w:b/>
          <w:sz w:val="24"/>
          <w:szCs w:val="24"/>
        </w:rPr>
      </w:pPr>
      <w:r w:rsidRPr="00910892">
        <w:rPr>
          <w:rFonts w:cs="Calibri"/>
          <w:b/>
          <w:sz w:val="24"/>
          <w:szCs w:val="24"/>
        </w:rPr>
        <w:t>Other CDBG Requirements</w:t>
      </w:r>
      <w:r w:rsidRPr="00910892">
        <w:rPr>
          <w:rFonts w:cs="Calibri"/>
          <w:i/>
          <w:sz w:val="24"/>
          <w:szCs w:val="24"/>
        </w:rPr>
        <w:t xml:space="preserve"> </w:t>
      </w:r>
    </w:p>
    <w:tbl>
      <w:tblPr>
        <w:tblW w:w="5000" w:type="pct"/>
        <w:tblInd w:w="115" w:type="dxa"/>
        <w:tblLook w:val="01E0" w:firstRow="1" w:lastRow="1" w:firstColumn="1" w:lastColumn="1" w:noHBand="0" w:noVBand="0"/>
      </w:tblPr>
      <w:tblGrid>
        <w:gridCol w:w="7483"/>
        <w:gridCol w:w="1877"/>
      </w:tblGrid>
      <w:tr w:rsidR="009A2C2E" w:rsidRPr="00910892" w14:paraId="66F97796" w14:textId="77777777" w:rsidTr="787E070B">
        <w:tc>
          <w:tcPr>
            <w:tcW w:w="9576" w:type="dxa"/>
            <w:gridSpan w:val="2"/>
          </w:tcPr>
          <w:p w14:paraId="5D24C72A" w14:textId="77777777" w:rsidR="009A2C2E" w:rsidRPr="00910892" w:rsidRDefault="009A2C2E" w:rsidP="00910892">
            <w:pPr>
              <w:keepNext/>
              <w:widowControl w:val="0"/>
              <w:spacing w:after="0" w:line="240" w:lineRule="auto"/>
              <w:jc w:val="both"/>
              <w:rPr>
                <w:rFonts w:cs="Calibri"/>
                <w:sz w:val="24"/>
                <w:szCs w:val="24"/>
              </w:rPr>
            </w:pPr>
          </w:p>
        </w:tc>
      </w:tr>
      <w:tr w:rsidR="009A2C2E" w:rsidRPr="00910892" w14:paraId="130A485E" w14:textId="77777777" w:rsidTr="787E070B">
        <w:trPr>
          <w:cantSplit/>
        </w:trPr>
        <w:tc>
          <w:tcPr>
            <w:tcW w:w="0" w:type="auto"/>
          </w:tcPr>
          <w:p w14:paraId="0B6DB3D3"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1. The amount of urgent need activities</w:t>
            </w:r>
          </w:p>
        </w:tc>
        <w:tc>
          <w:tcPr>
            <w:tcW w:w="0" w:type="auto"/>
            <w:vAlign w:val="bottom"/>
          </w:tcPr>
          <w:p w14:paraId="0A986293" w14:textId="77777777" w:rsidR="009A2C2E" w:rsidRPr="00910892" w:rsidRDefault="009A2C2E" w:rsidP="00910892">
            <w:pPr>
              <w:spacing w:beforeAutospacing="1" w:afterAutospacing="1"/>
              <w:jc w:val="both"/>
              <w:rPr>
                <w:rFonts w:cs="Calibri"/>
                <w:color w:val="000000" w:themeColor="text1"/>
                <w:sz w:val="24"/>
                <w:szCs w:val="24"/>
              </w:rPr>
            </w:pPr>
            <w:r w:rsidRPr="00910892">
              <w:rPr>
                <w:rFonts w:cs="Calibri"/>
                <w:color w:val="000000" w:themeColor="text1"/>
                <w:sz w:val="24"/>
                <w:szCs w:val="24"/>
              </w:rPr>
              <w:t>300,000</w:t>
            </w:r>
          </w:p>
        </w:tc>
      </w:tr>
    </w:tbl>
    <w:p w14:paraId="0C870303" w14:textId="77777777" w:rsidR="009A2C2E" w:rsidRPr="00910892" w:rsidRDefault="009A2C2E" w:rsidP="00910892">
      <w:pPr>
        <w:widowControl w:val="0"/>
        <w:spacing w:after="0" w:line="240" w:lineRule="auto"/>
        <w:jc w:val="both"/>
        <w:rPr>
          <w:rFonts w:cs="Calibri"/>
          <w:vanish/>
          <w:sz w:val="24"/>
          <w:szCs w:val="2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9A2C2E" w:rsidRPr="00910892" w14:paraId="259DA2C5" w14:textId="77777777" w:rsidTr="787E070B">
        <w:tc>
          <w:tcPr>
            <w:tcW w:w="7923" w:type="dxa"/>
          </w:tcPr>
          <w:p w14:paraId="328B3ACB" w14:textId="77777777" w:rsidR="009A2C2E" w:rsidRPr="00910892" w:rsidRDefault="009A2C2E" w:rsidP="00910892">
            <w:pPr>
              <w:keepNext/>
              <w:widowControl w:val="0"/>
              <w:spacing w:after="0" w:line="240" w:lineRule="auto"/>
              <w:jc w:val="both"/>
              <w:rPr>
                <w:rFonts w:cs="Calibri"/>
                <w:sz w:val="24"/>
                <w:szCs w:val="24"/>
              </w:rPr>
            </w:pPr>
          </w:p>
        </w:tc>
        <w:tc>
          <w:tcPr>
            <w:tcW w:w="1665" w:type="dxa"/>
          </w:tcPr>
          <w:p w14:paraId="225B5A23" w14:textId="77777777" w:rsidR="009A2C2E" w:rsidRPr="00910892" w:rsidRDefault="009A2C2E" w:rsidP="00910892">
            <w:pPr>
              <w:keepNext/>
              <w:widowControl w:val="0"/>
              <w:spacing w:after="0" w:line="240" w:lineRule="auto"/>
              <w:jc w:val="both"/>
              <w:rPr>
                <w:rFonts w:cs="Calibri"/>
                <w:sz w:val="24"/>
                <w:szCs w:val="24"/>
              </w:rPr>
            </w:pPr>
          </w:p>
        </w:tc>
      </w:tr>
      <w:tr w:rsidR="009A2C2E" w:rsidRPr="00910892" w14:paraId="1C40C4B5" w14:textId="77777777" w:rsidTr="787E070B">
        <w:trPr>
          <w:cantSplit/>
        </w:trPr>
        <w:tc>
          <w:tcPr>
            <w:tcW w:w="7923" w:type="dxa"/>
          </w:tcPr>
          <w:p w14:paraId="2B7A1FEE" w14:textId="3943BE29" w:rsidR="009A2C2E" w:rsidRPr="00910892" w:rsidRDefault="009A2C2E" w:rsidP="00910892">
            <w:pPr>
              <w:spacing w:beforeAutospacing="1" w:afterAutospacing="1"/>
              <w:jc w:val="both"/>
              <w:rPr>
                <w:rFonts w:cs="Calibri"/>
                <w:color w:val="000000" w:themeColor="text1"/>
                <w:sz w:val="24"/>
                <w:szCs w:val="24"/>
              </w:rPr>
            </w:pPr>
            <w:r w:rsidRPr="00910892">
              <w:rPr>
                <w:rFonts w:cs="Calibri"/>
                <w:color w:val="000000" w:themeColor="text1"/>
                <w:sz w:val="24"/>
                <w:szCs w:val="24"/>
              </w:rPr>
              <w:t xml:space="preserve">2. The estimated </w:t>
            </w:r>
            <w:r w:rsidR="60890332" w:rsidRPr="00910892">
              <w:rPr>
                <w:rFonts w:cs="Calibri"/>
                <w:color w:val="000000" w:themeColor="text1"/>
                <w:sz w:val="24"/>
                <w:szCs w:val="24"/>
              </w:rPr>
              <w:t xml:space="preserve">the </w:t>
            </w:r>
            <w:r w:rsidRPr="00910892">
              <w:rPr>
                <w:rFonts w:cs="Calibri"/>
                <w:color w:val="000000" w:themeColor="text1"/>
                <w:sz w:val="24"/>
                <w:szCs w:val="24"/>
              </w:rPr>
              <w:t xml:space="preserve">percentage of CDBG funds that will be used for activities </w:t>
            </w:r>
            <w:r w:rsidR="60890332" w:rsidRPr="00910892">
              <w:rPr>
                <w:rFonts w:cs="Calibri"/>
                <w:color w:val="000000" w:themeColor="text1"/>
                <w:sz w:val="24"/>
                <w:szCs w:val="24"/>
              </w:rPr>
              <w:t>benefiting</w:t>
            </w:r>
            <w:r w:rsidRPr="00910892">
              <w:rPr>
                <w:rFonts w:cs="Calibri"/>
                <w:color w:val="000000" w:themeColor="text1"/>
                <w:sz w:val="24"/>
                <w:szCs w:val="24"/>
              </w:rPr>
              <w:t xml:space="preserve"> persons of low and moderate income</w:t>
            </w:r>
            <w:r w:rsidR="60890332" w:rsidRPr="00910892">
              <w:rPr>
                <w:rFonts w:cs="Calibri"/>
                <w:color w:val="000000" w:themeColor="text1"/>
                <w:sz w:val="24"/>
                <w:szCs w:val="24"/>
              </w:rPr>
              <w:t xml:space="preserve">, ensuring that over a </w:t>
            </w:r>
            <w:r w:rsidRPr="00910892">
              <w:rPr>
                <w:rFonts w:cs="Calibri"/>
                <w:color w:val="000000" w:themeColor="text1"/>
                <w:sz w:val="24"/>
                <w:szCs w:val="24"/>
              </w:rPr>
              <w:t>consecutive period of one</w:t>
            </w:r>
            <w:r w:rsidR="25B7CF46" w:rsidRPr="00910892">
              <w:rPr>
                <w:rFonts w:cs="Calibri"/>
                <w:color w:val="000000" w:themeColor="text1"/>
                <w:sz w:val="24"/>
                <w:szCs w:val="24"/>
              </w:rPr>
              <w:t xml:space="preserve"> (1)</w:t>
            </w:r>
            <w:r w:rsidR="60890332" w:rsidRPr="00910892">
              <w:rPr>
                <w:rFonts w:cs="Calibri"/>
                <w:color w:val="000000" w:themeColor="text1"/>
                <w:sz w:val="24"/>
                <w:szCs w:val="24"/>
              </w:rPr>
              <w:t>,</w:t>
            </w:r>
            <w:r w:rsidRPr="00910892">
              <w:rPr>
                <w:rFonts w:cs="Calibri"/>
                <w:color w:val="000000" w:themeColor="text1"/>
                <w:sz w:val="24"/>
                <w:szCs w:val="24"/>
              </w:rPr>
              <w:t xml:space="preserve"> two </w:t>
            </w:r>
            <w:r w:rsidR="095B1568" w:rsidRPr="00910892">
              <w:rPr>
                <w:rFonts w:cs="Calibri"/>
                <w:color w:val="000000" w:themeColor="text1"/>
                <w:sz w:val="24"/>
                <w:szCs w:val="24"/>
              </w:rPr>
              <w:t>(2)</w:t>
            </w:r>
            <w:r w:rsidR="60890332" w:rsidRPr="00910892">
              <w:rPr>
                <w:rFonts w:cs="Calibri"/>
                <w:color w:val="000000" w:themeColor="text1"/>
                <w:sz w:val="24"/>
                <w:szCs w:val="24"/>
              </w:rPr>
              <w:t xml:space="preserve">, </w:t>
            </w:r>
            <w:r w:rsidRPr="00910892">
              <w:rPr>
                <w:rFonts w:cs="Calibri"/>
                <w:color w:val="000000" w:themeColor="text1"/>
                <w:sz w:val="24"/>
                <w:szCs w:val="24"/>
              </w:rPr>
              <w:t xml:space="preserve">or three </w:t>
            </w:r>
            <w:r w:rsidR="45D6AE84" w:rsidRPr="00910892">
              <w:rPr>
                <w:rFonts w:cs="Calibri"/>
                <w:color w:val="000000" w:themeColor="text1"/>
                <w:sz w:val="24"/>
                <w:szCs w:val="24"/>
              </w:rPr>
              <w:t xml:space="preserve">(3) </w:t>
            </w:r>
            <w:r w:rsidRPr="00910892">
              <w:rPr>
                <w:rFonts w:cs="Calibri"/>
                <w:color w:val="000000" w:themeColor="text1"/>
                <w:sz w:val="24"/>
                <w:szCs w:val="24"/>
              </w:rPr>
              <w:t>years</w:t>
            </w:r>
            <w:r w:rsidR="60890332" w:rsidRPr="00910892">
              <w:rPr>
                <w:rFonts w:cs="Calibri"/>
                <w:color w:val="000000" w:themeColor="text1"/>
                <w:sz w:val="24"/>
                <w:szCs w:val="24"/>
              </w:rPr>
              <w:t>, at least 70% of the funds provide an</w:t>
            </w:r>
            <w:r w:rsidRPr="00910892">
              <w:rPr>
                <w:rFonts w:cs="Calibri"/>
                <w:color w:val="000000" w:themeColor="text1"/>
                <w:sz w:val="24"/>
                <w:szCs w:val="24"/>
              </w:rPr>
              <w:t xml:space="preserve"> overall benefit </w:t>
            </w:r>
            <w:r w:rsidR="60890332" w:rsidRPr="00910892">
              <w:rPr>
                <w:rFonts w:cs="Calibri"/>
                <w:color w:val="000000" w:themeColor="text1"/>
                <w:sz w:val="24"/>
                <w:szCs w:val="24"/>
              </w:rPr>
              <w:t>to this group. The specific</w:t>
            </w:r>
            <w:r w:rsidRPr="00910892">
              <w:rPr>
                <w:rFonts w:cs="Calibri"/>
                <w:color w:val="000000" w:themeColor="text1"/>
                <w:sz w:val="24"/>
                <w:szCs w:val="24"/>
              </w:rPr>
              <w:t xml:space="preserve"> years covered </w:t>
            </w:r>
            <w:r w:rsidR="60890332" w:rsidRPr="00910892">
              <w:rPr>
                <w:rFonts w:cs="Calibri"/>
                <w:color w:val="000000" w:themeColor="text1"/>
                <w:sz w:val="24"/>
                <w:szCs w:val="24"/>
              </w:rPr>
              <w:t>should</w:t>
            </w:r>
            <w:r w:rsidRPr="00910892">
              <w:rPr>
                <w:rFonts w:cs="Calibri"/>
                <w:color w:val="000000" w:themeColor="text1"/>
                <w:sz w:val="24"/>
                <w:szCs w:val="24"/>
              </w:rPr>
              <w:t xml:space="preserve"> include this Annual Action Plan.</w:t>
            </w:r>
          </w:p>
        </w:tc>
        <w:tc>
          <w:tcPr>
            <w:tcW w:w="1665" w:type="dxa"/>
            <w:vAlign w:val="bottom"/>
          </w:tcPr>
          <w:p w14:paraId="0727C86D" w14:textId="77777777" w:rsidR="009A2C2E" w:rsidRPr="00910892" w:rsidRDefault="009A2C2E" w:rsidP="00910892">
            <w:pPr>
              <w:spacing w:beforeAutospacing="1" w:afterAutospacing="1"/>
              <w:jc w:val="both"/>
              <w:rPr>
                <w:rFonts w:cs="Calibri"/>
                <w:sz w:val="24"/>
                <w:szCs w:val="24"/>
              </w:rPr>
            </w:pPr>
            <w:r w:rsidRPr="00910892">
              <w:rPr>
                <w:rFonts w:cs="Calibri"/>
                <w:color w:val="000000"/>
                <w:sz w:val="24"/>
                <w:szCs w:val="24"/>
              </w:rPr>
              <w:t>70.00%</w:t>
            </w:r>
          </w:p>
        </w:tc>
      </w:tr>
    </w:tbl>
    <w:p w14:paraId="7BC715B0" w14:textId="77777777" w:rsidR="009A2C2E" w:rsidRPr="00910892" w:rsidRDefault="009A2C2E" w:rsidP="00910892">
      <w:pPr>
        <w:spacing w:after="0" w:line="240" w:lineRule="auto"/>
        <w:jc w:val="both"/>
        <w:rPr>
          <w:rFonts w:cs="Calibri"/>
          <w:sz w:val="24"/>
          <w:szCs w:val="24"/>
        </w:rPr>
      </w:pPr>
    </w:p>
    <w:p w14:paraId="1F97FB26" w14:textId="77777777" w:rsidR="009A2C2E" w:rsidRPr="00910892" w:rsidRDefault="009A2C2E" w:rsidP="00910892">
      <w:pPr>
        <w:spacing w:after="0" w:line="240" w:lineRule="auto"/>
        <w:jc w:val="both"/>
        <w:rPr>
          <w:rFonts w:cs="Calibri"/>
          <w:sz w:val="24"/>
          <w:szCs w:val="24"/>
        </w:rPr>
      </w:pPr>
    </w:p>
    <w:p w14:paraId="248A9E2C" w14:textId="77777777" w:rsidR="009A2C2E" w:rsidRPr="00910892" w:rsidRDefault="009A2C2E" w:rsidP="00910892">
      <w:pPr>
        <w:spacing w:after="0" w:line="240" w:lineRule="auto"/>
        <w:jc w:val="both"/>
        <w:rPr>
          <w:rFonts w:cs="Calibri"/>
          <w:sz w:val="24"/>
          <w:szCs w:val="24"/>
        </w:rPr>
      </w:pPr>
    </w:p>
    <w:p w14:paraId="74E2CEC1" w14:textId="77777777" w:rsidR="009A2C2E" w:rsidRPr="00910892" w:rsidRDefault="009A2C2E" w:rsidP="00910892">
      <w:pPr>
        <w:keepNext/>
        <w:spacing w:after="0" w:line="240" w:lineRule="auto"/>
        <w:jc w:val="both"/>
        <w:rPr>
          <w:rFonts w:cs="Calibri"/>
          <w:b/>
          <w:sz w:val="24"/>
          <w:szCs w:val="24"/>
        </w:rPr>
      </w:pPr>
      <w:r w:rsidRPr="00910892">
        <w:rPr>
          <w:rFonts w:cs="Calibri"/>
          <w:b/>
          <w:sz w:val="24"/>
          <w:szCs w:val="24"/>
        </w:rPr>
        <w:t>HOME Investment Partnership Program (HOME)</w:t>
      </w:r>
      <w:r w:rsidRPr="00910892">
        <w:rPr>
          <w:rFonts w:cs="Calibri"/>
          <w:i/>
          <w:sz w:val="24"/>
          <w:szCs w:val="24"/>
        </w:rPr>
        <w:t xml:space="preserve"> </w:t>
      </w:r>
    </w:p>
    <w:p w14:paraId="3C22BAF9" w14:textId="77777777" w:rsidR="009A2C2E" w:rsidRDefault="009A2C2E" w:rsidP="00910892">
      <w:pPr>
        <w:keepNext/>
        <w:spacing w:after="0" w:line="240" w:lineRule="auto"/>
        <w:jc w:val="both"/>
        <w:rPr>
          <w:rFonts w:cs="Calibri"/>
          <w:i/>
          <w:sz w:val="24"/>
          <w:szCs w:val="24"/>
        </w:rPr>
      </w:pPr>
      <w:r w:rsidRPr="00910892">
        <w:rPr>
          <w:rFonts w:cs="Calibri"/>
          <w:b/>
          <w:sz w:val="24"/>
          <w:szCs w:val="24"/>
        </w:rPr>
        <w:t>Reference 24 CFR 91.320(k)(2)</w:t>
      </w:r>
      <w:r w:rsidRPr="00910892">
        <w:rPr>
          <w:rFonts w:cs="Calibri"/>
          <w:i/>
          <w:sz w:val="24"/>
          <w:szCs w:val="24"/>
        </w:rPr>
        <w:t xml:space="preserve"> </w:t>
      </w:r>
    </w:p>
    <w:p w14:paraId="44E69524" w14:textId="77777777" w:rsidR="00822F59" w:rsidRPr="00910892" w:rsidRDefault="00822F59" w:rsidP="00910892">
      <w:pPr>
        <w:keepNext/>
        <w:spacing w:after="0" w:line="240" w:lineRule="auto"/>
        <w:jc w:val="both"/>
        <w:rPr>
          <w:rFonts w:cs="Calibri"/>
          <w:b/>
          <w:sz w:val="24"/>
          <w:szCs w:val="24"/>
        </w:rPr>
      </w:pPr>
    </w:p>
    <w:p w14:paraId="1B6BBBD9" w14:textId="77777777" w:rsidR="009A2C2E" w:rsidRPr="00910892" w:rsidRDefault="009A2C2E" w:rsidP="00910892">
      <w:pPr>
        <w:keepNext/>
        <w:widowControl w:val="0"/>
        <w:numPr>
          <w:ilvl w:val="0"/>
          <w:numId w:val="13"/>
        </w:numPr>
        <w:spacing w:after="0" w:line="240" w:lineRule="auto"/>
        <w:jc w:val="both"/>
        <w:rPr>
          <w:rFonts w:cs="Calibri"/>
          <w:sz w:val="24"/>
          <w:szCs w:val="24"/>
        </w:rPr>
      </w:pPr>
      <w:r w:rsidRPr="00910892">
        <w:rPr>
          <w:rFonts w:cs="Calibri"/>
          <w:sz w:val="24"/>
          <w:szCs w:val="24"/>
        </w:rPr>
        <w:t>A description of other forms of investment being used beyond those identified in Section 92.205 is as follows:</w:t>
      </w:r>
      <w:r w:rsidRPr="00910892">
        <w:rPr>
          <w:rFonts w:cs="Calibri"/>
          <w:i/>
          <w:sz w:val="24"/>
          <w:szCs w:val="24"/>
        </w:rPr>
        <w:t xml:space="preserve"> </w:t>
      </w:r>
    </w:p>
    <w:p w14:paraId="0F12420F" w14:textId="77777777" w:rsidR="009A2C2E" w:rsidRPr="00910892" w:rsidRDefault="009A2C2E" w:rsidP="00910892">
      <w:pPr>
        <w:keepNext/>
        <w:widowControl w:val="0"/>
        <w:spacing w:beforeAutospacing="1" w:afterAutospacing="1"/>
        <w:ind w:left="360"/>
        <w:jc w:val="both"/>
        <w:rPr>
          <w:rFonts w:cs="Calibri"/>
          <w:sz w:val="24"/>
          <w:szCs w:val="24"/>
        </w:rPr>
      </w:pPr>
      <w:r w:rsidRPr="00910892">
        <w:rPr>
          <w:rFonts w:cs="Calibri"/>
          <w:sz w:val="24"/>
          <w:szCs w:val="24"/>
        </w:rPr>
        <w:t>Idaho's HOME funds are not used as any other form of investment not otherwise described in 24 CFR 92.205.</w:t>
      </w:r>
    </w:p>
    <w:p w14:paraId="4A7D0534" w14:textId="77777777" w:rsidR="009A2C2E" w:rsidRPr="00910892" w:rsidRDefault="009A2C2E" w:rsidP="00910892">
      <w:pPr>
        <w:spacing w:after="0" w:line="240" w:lineRule="auto"/>
        <w:jc w:val="both"/>
        <w:rPr>
          <w:rFonts w:cs="Calibri"/>
          <w:sz w:val="24"/>
          <w:szCs w:val="24"/>
        </w:rPr>
      </w:pPr>
    </w:p>
    <w:p w14:paraId="393D67DE" w14:textId="77777777" w:rsidR="009A2C2E" w:rsidRPr="00910892" w:rsidRDefault="009A2C2E" w:rsidP="00910892">
      <w:pPr>
        <w:keepNext/>
        <w:widowControl w:val="0"/>
        <w:numPr>
          <w:ilvl w:val="0"/>
          <w:numId w:val="13"/>
        </w:numPr>
        <w:spacing w:after="0" w:line="240" w:lineRule="auto"/>
        <w:jc w:val="both"/>
        <w:rPr>
          <w:rFonts w:cs="Calibri"/>
          <w:sz w:val="24"/>
          <w:szCs w:val="24"/>
        </w:rPr>
      </w:pPr>
      <w:r w:rsidRPr="00910892">
        <w:rPr>
          <w:rFonts w:cs="Calibri"/>
          <w:sz w:val="24"/>
          <w:szCs w:val="24"/>
        </w:rPr>
        <w:t>A description of the guidelines that will be used for resale or recapture of HOME funds when used for homebuyer activities as required in 92.254, is as follows:</w:t>
      </w:r>
      <w:r w:rsidRPr="00910892">
        <w:rPr>
          <w:rFonts w:cs="Calibri"/>
          <w:i/>
          <w:sz w:val="24"/>
          <w:szCs w:val="24"/>
        </w:rPr>
        <w:t xml:space="preserve"> </w:t>
      </w:r>
    </w:p>
    <w:p w14:paraId="03C69089" w14:textId="2E5F61E6" w:rsidR="009A2C2E" w:rsidRPr="00910892" w:rsidRDefault="009A2C2E" w:rsidP="00910892">
      <w:pPr>
        <w:keepNext/>
        <w:widowControl w:val="0"/>
        <w:spacing w:beforeAutospacing="1" w:afterAutospacing="1"/>
        <w:ind w:left="360"/>
        <w:jc w:val="both"/>
        <w:rPr>
          <w:rFonts w:cs="Calibri"/>
          <w:sz w:val="24"/>
          <w:szCs w:val="24"/>
        </w:rPr>
      </w:pPr>
      <w:r w:rsidRPr="00822F59">
        <w:rPr>
          <w:rFonts w:cs="Calibri"/>
          <w:sz w:val="24"/>
          <w:szCs w:val="24"/>
        </w:rPr>
        <w:t>See Unique Appendices AP-30</w:t>
      </w:r>
      <w:r w:rsidR="126F6F33" w:rsidRPr="00822F59">
        <w:rPr>
          <w:rFonts w:cs="Calibri"/>
          <w:sz w:val="24"/>
          <w:szCs w:val="24"/>
        </w:rPr>
        <w:t>.</w:t>
      </w:r>
    </w:p>
    <w:p w14:paraId="73A385EC" w14:textId="77777777" w:rsidR="009A2C2E" w:rsidRPr="00910892" w:rsidRDefault="009A2C2E" w:rsidP="00910892">
      <w:pPr>
        <w:spacing w:after="0" w:line="240" w:lineRule="auto"/>
        <w:jc w:val="both"/>
        <w:rPr>
          <w:rFonts w:cs="Calibri"/>
          <w:sz w:val="24"/>
          <w:szCs w:val="24"/>
        </w:rPr>
      </w:pPr>
    </w:p>
    <w:p w14:paraId="6355AABD" w14:textId="77777777" w:rsidR="009A2C2E" w:rsidRPr="00910892" w:rsidRDefault="009A2C2E" w:rsidP="00910892">
      <w:pPr>
        <w:keepNext/>
        <w:widowControl w:val="0"/>
        <w:numPr>
          <w:ilvl w:val="0"/>
          <w:numId w:val="13"/>
        </w:numPr>
        <w:spacing w:after="0" w:line="240" w:lineRule="auto"/>
        <w:jc w:val="both"/>
        <w:rPr>
          <w:rFonts w:cs="Calibri"/>
          <w:sz w:val="24"/>
          <w:szCs w:val="24"/>
        </w:rPr>
      </w:pPr>
      <w:r w:rsidRPr="00910892">
        <w:rPr>
          <w:rFonts w:cs="Calibri"/>
          <w:sz w:val="24"/>
          <w:szCs w:val="24"/>
        </w:rPr>
        <w:t xml:space="preserve">A description of the guidelines for resale or recapture that ensures the affordability of units acquired with HOME </w:t>
      </w:r>
      <w:proofErr w:type="gramStart"/>
      <w:r w:rsidRPr="00910892">
        <w:rPr>
          <w:rFonts w:cs="Calibri"/>
          <w:sz w:val="24"/>
          <w:szCs w:val="24"/>
        </w:rPr>
        <w:t>funds?</w:t>
      </w:r>
      <w:proofErr w:type="gramEnd"/>
      <w:r w:rsidRPr="00910892">
        <w:rPr>
          <w:rFonts w:cs="Calibri"/>
          <w:sz w:val="24"/>
          <w:szCs w:val="24"/>
        </w:rPr>
        <w:t xml:space="preserve"> See 24 CFR 92.254(a)(4) are as follows:</w:t>
      </w:r>
      <w:r w:rsidRPr="00910892">
        <w:rPr>
          <w:rFonts w:cs="Calibri"/>
          <w:i/>
          <w:sz w:val="24"/>
          <w:szCs w:val="24"/>
        </w:rPr>
        <w:t xml:space="preserve"> </w:t>
      </w:r>
    </w:p>
    <w:p w14:paraId="6884062D" w14:textId="741FF620" w:rsidR="009A2C2E" w:rsidRPr="00910892" w:rsidRDefault="009A2C2E" w:rsidP="00910892">
      <w:pPr>
        <w:keepNext/>
        <w:widowControl w:val="0"/>
        <w:spacing w:beforeAutospacing="1" w:afterAutospacing="1"/>
        <w:ind w:left="360"/>
        <w:jc w:val="both"/>
        <w:rPr>
          <w:rFonts w:cs="Calibri"/>
          <w:sz w:val="24"/>
          <w:szCs w:val="24"/>
        </w:rPr>
      </w:pPr>
      <w:r w:rsidRPr="00910892">
        <w:rPr>
          <w:rFonts w:cs="Calibri"/>
          <w:sz w:val="24"/>
          <w:szCs w:val="24"/>
        </w:rPr>
        <w:t>Beginning on the Integrated Disbursement Information System (IDIS</w:t>
      </w:r>
      <w:r w:rsidR="12343F6D" w:rsidRPr="00910892">
        <w:rPr>
          <w:rFonts w:cs="Calibri"/>
          <w:sz w:val="24"/>
          <w:szCs w:val="24"/>
        </w:rPr>
        <w:t>)</w:t>
      </w:r>
      <w:r w:rsidR="7B270814" w:rsidRPr="00910892">
        <w:rPr>
          <w:rFonts w:cs="Calibri"/>
          <w:sz w:val="24"/>
          <w:szCs w:val="24"/>
        </w:rPr>
        <w:t xml:space="preserve"> Completion date (the date entered in HUD's </w:t>
      </w:r>
      <w:r w:rsidR="53E84D6D" w:rsidRPr="00910892">
        <w:rPr>
          <w:rFonts w:cs="Calibri"/>
          <w:sz w:val="24"/>
          <w:szCs w:val="24"/>
        </w:rPr>
        <w:t>I</w:t>
      </w:r>
      <w:r w:rsidR="7B270814" w:rsidRPr="00910892">
        <w:rPr>
          <w:rFonts w:cs="Calibri"/>
          <w:sz w:val="24"/>
          <w:szCs w:val="24"/>
        </w:rPr>
        <w:t>DIS,</w:t>
      </w:r>
      <w:r w:rsidRPr="00910892">
        <w:rPr>
          <w:rFonts w:cs="Calibri"/>
          <w:sz w:val="24"/>
          <w:szCs w:val="24"/>
        </w:rPr>
        <w:t xml:space="preserve"> a HOME/HTF-assisted activity is required to remain affordable for a specified period of affordability (POA) as determined by HUD, based the amount of HOME/HTF funds invested on a per unit basis. IHFA does not exceed the regulatory minimum POA [§92.254(a)(4) &amp; §93.302 (d)(1)]. During the POA, IHFA monitors the homebuyer annually to verify they continue to reside in the unit as a primary residence. IHFA allows two primary residence exceptions: Active military transfer or deployment or full-time post-secondary education at an institution 50+ miles from the assisted unit. Requirements are fully defined in the current Annual Administrative Plan.</w:t>
      </w:r>
    </w:p>
    <w:p w14:paraId="2BEDCD4E" w14:textId="77777777" w:rsidR="009A2C2E" w:rsidRPr="00910892" w:rsidRDefault="009A2C2E" w:rsidP="00910892">
      <w:pPr>
        <w:spacing w:after="0" w:line="240" w:lineRule="auto"/>
        <w:jc w:val="both"/>
        <w:rPr>
          <w:rFonts w:cs="Calibri"/>
          <w:sz w:val="24"/>
          <w:szCs w:val="24"/>
        </w:rPr>
      </w:pPr>
    </w:p>
    <w:p w14:paraId="5CEA04D2" w14:textId="77777777" w:rsidR="009A2C2E" w:rsidRPr="00910892" w:rsidRDefault="009A2C2E" w:rsidP="00910892">
      <w:pPr>
        <w:keepNext/>
        <w:widowControl w:val="0"/>
        <w:numPr>
          <w:ilvl w:val="0"/>
          <w:numId w:val="13"/>
        </w:numPr>
        <w:spacing w:after="0" w:line="240" w:lineRule="auto"/>
        <w:jc w:val="both"/>
        <w:rPr>
          <w:rFonts w:cs="Calibri"/>
          <w:sz w:val="24"/>
          <w:szCs w:val="24"/>
        </w:rPr>
      </w:pPr>
      <w:r w:rsidRPr="00910892">
        <w:rPr>
          <w:rFonts w:cs="Calibri"/>
          <w:sz w:val="24"/>
          <w:szCs w:val="24"/>
        </w:rPr>
        <w:t xml:space="preserve">Plans for using HOME funds to refinance existing debt secured by multifamily housing that is rehabilitated with HOME funds along with a description of the refinancing guidelines required </w:t>
      </w:r>
      <w:r w:rsidRPr="00910892">
        <w:rPr>
          <w:rFonts w:cs="Calibri"/>
          <w:sz w:val="24"/>
          <w:szCs w:val="24"/>
        </w:rPr>
        <w:lastRenderedPageBreak/>
        <w:t>that will be used under 24 CFR 92.206(b), are as follows:</w:t>
      </w:r>
      <w:r w:rsidRPr="00910892">
        <w:rPr>
          <w:rFonts w:cs="Calibri"/>
          <w:i/>
          <w:sz w:val="24"/>
          <w:szCs w:val="24"/>
        </w:rPr>
        <w:t xml:space="preserve"> </w:t>
      </w:r>
    </w:p>
    <w:p w14:paraId="18C7E42D" w14:textId="0CD50128" w:rsidR="009A2C2E" w:rsidRPr="00910892" w:rsidRDefault="009A2C2E" w:rsidP="00822F59">
      <w:pPr>
        <w:keepNext/>
        <w:widowControl w:val="0"/>
        <w:shd w:val="clear" w:color="auto" w:fill="FFFFFF" w:themeFill="background1"/>
        <w:spacing w:beforeAutospacing="1" w:afterAutospacing="1"/>
        <w:ind w:left="360"/>
        <w:jc w:val="both"/>
        <w:rPr>
          <w:rFonts w:cs="Calibri"/>
          <w:sz w:val="24"/>
          <w:szCs w:val="24"/>
        </w:rPr>
      </w:pPr>
      <w:r w:rsidRPr="00822F59">
        <w:rPr>
          <w:rFonts w:cs="Calibri"/>
          <w:sz w:val="24"/>
          <w:szCs w:val="24"/>
        </w:rPr>
        <w:t>See Unique Appendices</w:t>
      </w:r>
      <w:r w:rsidR="6DEF8049" w:rsidRPr="00822F59">
        <w:rPr>
          <w:rFonts w:cs="Calibri"/>
          <w:sz w:val="24"/>
          <w:szCs w:val="24"/>
        </w:rPr>
        <w:t>.</w:t>
      </w:r>
    </w:p>
    <w:p w14:paraId="47895DCD" w14:textId="77777777" w:rsidR="009A2C2E" w:rsidRPr="00910892" w:rsidRDefault="009A2C2E" w:rsidP="00910892">
      <w:pPr>
        <w:spacing w:after="0" w:line="240" w:lineRule="auto"/>
        <w:ind w:left="360"/>
        <w:jc w:val="both"/>
        <w:rPr>
          <w:rFonts w:cs="Calibri"/>
          <w:sz w:val="24"/>
          <w:szCs w:val="24"/>
        </w:rPr>
      </w:pPr>
    </w:p>
    <w:p w14:paraId="7BE057F0" w14:textId="77777777" w:rsidR="009A2C2E" w:rsidRPr="00910892" w:rsidRDefault="009A2C2E" w:rsidP="00910892">
      <w:pPr>
        <w:keepNext/>
        <w:widowControl w:val="0"/>
        <w:numPr>
          <w:ilvl w:val="0"/>
          <w:numId w:val="13"/>
        </w:numPr>
        <w:spacing w:after="0" w:line="240" w:lineRule="auto"/>
        <w:jc w:val="both"/>
        <w:rPr>
          <w:rFonts w:cs="Calibri"/>
          <w:sz w:val="24"/>
          <w:szCs w:val="24"/>
        </w:rPr>
      </w:pPr>
      <w:r w:rsidRPr="00910892">
        <w:rPr>
          <w:rFonts w:cs="Calibri"/>
          <w:sz w:val="24"/>
          <w:szCs w:val="24"/>
        </w:rPr>
        <w:t>If applicable to a planned HOME TBRA activity, a description of the preference for persons with special needs or disabilities. (See 24 CFR 92.209(c)(2)(i) and CFR 91.220(l)(2)(vii)).</w:t>
      </w:r>
    </w:p>
    <w:p w14:paraId="689A838D" w14:textId="77777777" w:rsidR="009A2C2E" w:rsidRPr="00910892" w:rsidRDefault="009A2C2E" w:rsidP="00910892">
      <w:pPr>
        <w:keepNext/>
        <w:widowControl w:val="0"/>
        <w:spacing w:beforeAutospacing="1" w:afterAutospacing="1"/>
        <w:ind w:left="360"/>
        <w:jc w:val="both"/>
        <w:rPr>
          <w:rFonts w:cs="Calibri"/>
          <w:sz w:val="24"/>
          <w:szCs w:val="24"/>
        </w:rPr>
      </w:pPr>
      <w:r w:rsidRPr="00910892">
        <w:rPr>
          <w:rFonts w:cs="Calibri"/>
          <w:sz w:val="24"/>
          <w:szCs w:val="24"/>
        </w:rPr>
        <w:t>N/A</w:t>
      </w:r>
    </w:p>
    <w:p w14:paraId="0AB5B1AF" w14:textId="77777777" w:rsidR="009A2C2E" w:rsidRPr="00910892" w:rsidRDefault="009A2C2E" w:rsidP="00910892">
      <w:pPr>
        <w:spacing w:after="0" w:line="240" w:lineRule="auto"/>
        <w:ind w:left="360"/>
        <w:jc w:val="both"/>
        <w:rPr>
          <w:rFonts w:cs="Calibri"/>
          <w:sz w:val="24"/>
          <w:szCs w:val="24"/>
        </w:rPr>
      </w:pPr>
    </w:p>
    <w:p w14:paraId="776E4AE8" w14:textId="77777777" w:rsidR="009A2C2E" w:rsidRPr="00910892" w:rsidRDefault="009A2C2E" w:rsidP="00910892">
      <w:pPr>
        <w:keepNext/>
        <w:widowControl w:val="0"/>
        <w:numPr>
          <w:ilvl w:val="0"/>
          <w:numId w:val="13"/>
        </w:numPr>
        <w:spacing w:after="0" w:line="240" w:lineRule="auto"/>
        <w:jc w:val="both"/>
        <w:rPr>
          <w:rFonts w:cs="Calibri"/>
          <w:sz w:val="24"/>
          <w:szCs w:val="24"/>
        </w:rPr>
      </w:pPr>
      <w:r w:rsidRPr="00910892">
        <w:rPr>
          <w:rFonts w:cs="Calibri"/>
          <w:sz w:val="24"/>
          <w:szCs w:val="24"/>
        </w:rPr>
        <w:t>If applicable to a planned HOME TBRA activity, a description of how the preference for a specific category of individuals with disabilities (e.g. persons with HIV/AIDS or chronic mental illness) will narrow the gap in benefits and the preference is needed to narrow the gap in benefits and services received by such persons. (See 24 CFR 92.209(c)(2)(ii) and 91.220(l)(2)(vii)).</w:t>
      </w:r>
    </w:p>
    <w:p w14:paraId="5D3C994B" w14:textId="77777777" w:rsidR="009A2C2E" w:rsidRPr="00910892" w:rsidRDefault="009A2C2E" w:rsidP="00910892">
      <w:pPr>
        <w:keepNext/>
        <w:widowControl w:val="0"/>
        <w:spacing w:beforeAutospacing="1" w:afterAutospacing="1"/>
        <w:ind w:left="360"/>
        <w:jc w:val="both"/>
        <w:rPr>
          <w:rFonts w:cs="Calibri"/>
          <w:sz w:val="24"/>
          <w:szCs w:val="24"/>
        </w:rPr>
      </w:pPr>
      <w:r w:rsidRPr="00910892">
        <w:rPr>
          <w:rFonts w:cs="Calibri"/>
          <w:sz w:val="24"/>
          <w:szCs w:val="24"/>
        </w:rPr>
        <w:t>N/A</w:t>
      </w:r>
    </w:p>
    <w:p w14:paraId="78D1CB8D" w14:textId="77777777" w:rsidR="009A2C2E" w:rsidRPr="00910892" w:rsidRDefault="009A2C2E" w:rsidP="00910892">
      <w:pPr>
        <w:spacing w:after="0" w:line="240" w:lineRule="auto"/>
        <w:ind w:left="360"/>
        <w:jc w:val="both"/>
        <w:rPr>
          <w:rFonts w:cs="Calibri"/>
          <w:sz w:val="24"/>
          <w:szCs w:val="24"/>
        </w:rPr>
      </w:pPr>
    </w:p>
    <w:p w14:paraId="237AE359" w14:textId="77777777" w:rsidR="009A2C2E" w:rsidRPr="00910892" w:rsidRDefault="009A2C2E" w:rsidP="00910892">
      <w:pPr>
        <w:keepNext/>
        <w:widowControl w:val="0"/>
        <w:numPr>
          <w:ilvl w:val="0"/>
          <w:numId w:val="13"/>
        </w:numPr>
        <w:spacing w:after="0" w:line="240" w:lineRule="auto"/>
        <w:jc w:val="both"/>
        <w:rPr>
          <w:rFonts w:cs="Calibri"/>
          <w:sz w:val="24"/>
          <w:szCs w:val="24"/>
        </w:rPr>
      </w:pPr>
      <w:r w:rsidRPr="00910892">
        <w:rPr>
          <w:rFonts w:cs="Calibri"/>
          <w:sz w:val="24"/>
          <w:szCs w:val="24"/>
        </w:rPr>
        <w:t>If applicable, a description of any preference or limitation for rental housing projects. (See 24 CFR 92.253(d)(3) and CFR 91.220(l)(2)(vii)). Note: Preferences cannot be administered in a manner that limits the opportunities of persons on any basis prohibited by the laws listed under 24 CFR 5.105(a).</w:t>
      </w:r>
    </w:p>
    <w:p w14:paraId="3C70A260" w14:textId="7D1023D2" w:rsidR="009A2C2E" w:rsidRPr="00910892" w:rsidRDefault="009A2C2E" w:rsidP="00910892">
      <w:pPr>
        <w:keepNext/>
        <w:widowControl w:val="0"/>
        <w:spacing w:beforeAutospacing="1" w:afterAutospacing="1"/>
        <w:ind w:left="360"/>
        <w:jc w:val="both"/>
        <w:rPr>
          <w:rFonts w:cs="Calibri"/>
          <w:sz w:val="24"/>
          <w:szCs w:val="24"/>
        </w:rPr>
      </w:pPr>
      <w:r w:rsidRPr="00910892">
        <w:rPr>
          <w:rFonts w:cs="Calibri"/>
          <w:sz w:val="24"/>
          <w:szCs w:val="24"/>
        </w:rPr>
        <w:t>Current Permanent Rental Housing Tenant Preference Populations identified in the State of Idaho Five-Year Consolidated Plan</w:t>
      </w:r>
      <w:r w:rsidR="2AFB03B1" w:rsidRPr="00910892">
        <w:rPr>
          <w:rFonts w:cs="Calibri"/>
          <w:sz w:val="24"/>
          <w:szCs w:val="24"/>
        </w:rPr>
        <w:t xml:space="preserve"> are:</w:t>
      </w:r>
    </w:p>
    <w:p w14:paraId="48121CEF" w14:textId="77777777" w:rsidR="009A2C2E" w:rsidRPr="00910892" w:rsidRDefault="009A2C2E" w:rsidP="00910892">
      <w:pPr>
        <w:keepNext/>
        <w:widowControl w:val="0"/>
        <w:spacing w:beforeAutospacing="1" w:afterAutospacing="1"/>
        <w:ind w:left="360"/>
        <w:jc w:val="both"/>
        <w:rPr>
          <w:rFonts w:cs="Calibri"/>
          <w:sz w:val="24"/>
          <w:szCs w:val="24"/>
        </w:rPr>
      </w:pPr>
      <w:r w:rsidRPr="00910892">
        <w:rPr>
          <w:rFonts w:cs="Calibri"/>
          <w:sz w:val="24"/>
          <w:szCs w:val="24"/>
        </w:rPr>
        <w:t>o Elderly (minimum of one household member ≥ age 62)</w:t>
      </w:r>
    </w:p>
    <w:p w14:paraId="79ECD16A" w14:textId="77777777" w:rsidR="009A2C2E" w:rsidRPr="00910892" w:rsidRDefault="009A2C2E" w:rsidP="00910892">
      <w:pPr>
        <w:keepNext/>
        <w:widowControl w:val="0"/>
        <w:spacing w:beforeAutospacing="1" w:afterAutospacing="1"/>
        <w:ind w:left="360"/>
        <w:jc w:val="both"/>
        <w:rPr>
          <w:rFonts w:cs="Calibri"/>
          <w:sz w:val="24"/>
          <w:szCs w:val="24"/>
        </w:rPr>
      </w:pPr>
      <w:r w:rsidRPr="00910892">
        <w:rPr>
          <w:rFonts w:cs="Calibri"/>
          <w:sz w:val="24"/>
          <w:szCs w:val="24"/>
        </w:rPr>
        <w:t>o Disabled (minimum of one household member)</w:t>
      </w:r>
    </w:p>
    <w:p w14:paraId="0D2AD27C" w14:textId="77777777" w:rsidR="009A2C2E" w:rsidRPr="00910892" w:rsidRDefault="009A2C2E" w:rsidP="00910892">
      <w:pPr>
        <w:keepNext/>
        <w:widowControl w:val="0"/>
        <w:spacing w:beforeAutospacing="1" w:afterAutospacing="1"/>
        <w:ind w:left="360"/>
        <w:jc w:val="both"/>
        <w:rPr>
          <w:rFonts w:cs="Calibri"/>
          <w:sz w:val="24"/>
          <w:szCs w:val="24"/>
        </w:rPr>
      </w:pPr>
      <w:r w:rsidRPr="00910892">
        <w:rPr>
          <w:rFonts w:cs="Calibri"/>
          <w:sz w:val="24"/>
          <w:szCs w:val="24"/>
        </w:rPr>
        <w:t>o Household Annual Gross income ≤30% AMI</w:t>
      </w:r>
    </w:p>
    <w:p w14:paraId="3ED9A601" w14:textId="77777777" w:rsidR="009A2C2E" w:rsidRPr="00910892" w:rsidRDefault="009A2C2E" w:rsidP="00910892">
      <w:pPr>
        <w:spacing w:after="0" w:line="240" w:lineRule="auto"/>
        <w:ind w:left="360"/>
        <w:jc w:val="both"/>
        <w:rPr>
          <w:rFonts w:cs="Calibri"/>
          <w:sz w:val="24"/>
          <w:szCs w:val="24"/>
        </w:rPr>
      </w:pPr>
    </w:p>
    <w:p w14:paraId="3EC24EBA" w14:textId="77777777" w:rsidR="009A2C2E" w:rsidRPr="00910892" w:rsidRDefault="009A2C2E" w:rsidP="00910892">
      <w:pPr>
        <w:keepNext/>
        <w:widowControl w:val="0"/>
        <w:spacing w:after="0" w:line="240" w:lineRule="auto"/>
        <w:jc w:val="both"/>
        <w:rPr>
          <w:rFonts w:cs="Calibri"/>
          <w:b/>
          <w:i/>
          <w:sz w:val="24"/>
          <w:szCs w:val="24"/>
        </w:rPr>
      </w:pPr>
      <w:r w:rsidRPr="00910892">
        <w:rPr>
          <w:rFonts w:cs="Calibri"/>
          <w:b/>
          <w:sz w:val="24"/>
          <w:szCs w:val="24"/>
        </w:rPr>
        <w:t>Emergency Solutions Grant (ESG)</w:t>
      </w:r>
      <w:r w:rsidRPr="00910892">
        <w:rPr>
          <w:rFonts w:cs="Calibri"/>
          <w:i/>
          <w:sz w:val="24"/>
          <w:szCs w:val="24"/>
        </w:rPr>
        <w:t xml:space="preserve"> </w:t>
      </w:r>
    </w:p>
    <w:p w14:paraId="3F5311A8" w14:textId="77777777" w:rsidR="009A2C2E" w:rsidRPr="00910892" w:rsidRDefault="009A2C2E" w:rsidP="00910892">
      <w:pPr>
        <w:keepNext/>
        <w:widowControl w:val="0"/>
        <w:spacing w:after="0" w:line="240" w:lineRule="auto"/>
        <w:jc w:val="both"/>
        <w:rPr>
          <w:rFonts w:cs="Calibri"/>
          <w:b/>
          <w:bCs/>
          <w:sz w:val="24"/>
          <w:szCs w:val="24"/>
        </w:rPr>
      </w:pPr>
      <w:r w:rsidRPr="00910892">
        <w:rPr>
          <w:rStyle w:val="Strong"/>
          <w:rFonts w:cs="Calibri"/>
          <w:sz w:val="24"/>
          <w:szCs w:val="24"/>
        </w:rPr>
        <w:t xml:space="preserve">Reference 91.320(k)(3) </w:t>
      </w:r>
    </w:p>
    <w:p w14:paraId="70D93CEF" w14:textId="77777777" w:rsidR="009A2C2E" w:rsidRPr="00910892" w:rsidRDefault="009A2C2E" w:rsidP="00910892">
      <w:pPr>
        <w:keepNext/>
        <w:widowControl w:val="0"/>
        <w:spacing w:after="0" w:line="240" w:lineRule="auto"/>
        <w:jc w:val="both"/>
        <w:rPr>
          <w:rFonts w:cs="Calibri"/>
          <w:b/>
          <w:sz w:val="24"/>
          <w:szCs w:val="24"/>
        </w:rPr>
      </w:pPr>
    </w:p>
    <w:p w14:paraId="59039409" w14:textId="77777777" w:rsidR="009A2C2E" w:rsidRPr="00910892" w:rsidRDefault="009A2C2E" w:rsidP="00910892">
      <w:pPr>
        <w:keepNext/>
        <w:widowControl w:val="0"/>
        <w:numPr>
          <w:ilvl w:val="0"/>
          <w:numId w:val="14"/>
        </w:numPr>
        <w:spacing w:after="0" w:line="240" w:lineRule="auto"/>
        <w:jc w:val="both"/>
        <w:rPr>
          <w:rFonts w:cs="Calibri"/>
          <w:sz w:val="24"/>
          <w:szCs w:val="24"/>
        </w:rPr>
      </w:pPr>
      <w:r w:rsidRPr="00910892">
        <w:rPr>
          <w:rFonts w:cs="Calibri"/>
          <w:sz w:val="24"/>
          <w:szCs w:val="24"/>
        </w:rPr>
        <w:t>Include written standards for providing ESG assistance (may include as attachment)</w:t>
      </w:r>
      <w:r w:rsidRPr="00910892">
        <w:rPr>
          <w:rFonts w:cs="Calibri"/>
          <w:i/>
          <w:sz w:val="24"/>
          <w:szCs w:val="24"/>
        </w:rPr>
        <w:t xml:space="preserve"> </w:t>
      </w:r>
    </w:p>
    <w:p w14:paraId="7952F6CE" w14:textId="6C6D3388" w:rsidR="009A2C2E" w:rsidRPr="00910892" w:rsidRDefault="009A2C2E" w:rsidP="00910892">
      <w:pPr>
        <w:keepNext/>
        <w:widowControl w:val="0"/>
        <w:spacing w:beforeAutospacing="1" w:afterAutospacing="1"/>
        <w:ind w:left="360"/>
        <w:jc w:val="both"/>
        <w:rPr>
          <w:rFonts w:cs="Calibri"/>
          <w:sz w:val="24"/>
          <w:szCs w:val="24"/>
        </w:rPr>
      </w:pPr>
      <w:r w:rsidRPr="00910892">
        <w:rPr>
          <w:rFonts w:cs="Calibri"/>
          <w:sz w:val="24"/>
          <w:szCs w:val="24"/>
        </w:rPr>
        <w:t xml:space="preserve">The Idaho BoS CoC has developed the attached </w:t>
      </w:r>
      <w:r w:rsidR="08161BCB" w:rsidRPr="00910892">
        <w:rPr>
          <w:rFonts w:cs="Calibri"/>
          <w:sz w:val="24"/>
          <w:szCs w:val="24"/>
        </w:rPr>
        <w:t>w</w:t>
      </w:r>
      <w:r w:rsidR="7B270814" w:rsidRPr="00910892">
        <w:rPr>
          <w:rFonts w:cs="Calibri"/>
          <w:sz w:val="24"/>
          <w:szCs w:val="24"/>
        </w:rPr>
        <w:t xml:space="preserve">ritten </w:t>
      </w:r>
      <w:r w:rsidR="69C30CF0" w:rsidRPr="00910892">
        <w:rPr>
          <w:rFonts w:cs="Calibri"/>
          <w:sz w:val="24"/>
          <w:szCs w:val="24"/>
        </w:rPr>
        <w:t>s</w:t>
      </w:r>
      <w:r w:rsidR="7B270814" w:rsidRPr="00910892">
        <w:rPr>
          <w:rFonts w:cs="Calibri"/>
          <w:sz w:val="24"/>
          <w:szCs w:val="24"/>
        </w:rPr>
        <w:t xml:space="preserve">tandards </w:t>
      </w:r>
      <w:r w:rsidRPr="00910892">
        <w:rPr>
          <w:rFonts w:cs="Calibri"/>
          <w:sz w:val="24"/>
          <w:szCs w:val="24"/>
        </w:rPr>
        <w:t>which provide guidance for CoC</w:t>
      </w:r>
      <w:r w:rsidR="193B14ED" w:rsidRPr="00910892">
        <w:rPr>
          <w:rFonts w:cs="Calibri"/>
          <w:sz w:val="24"/>
          <w:szCs w:val="24"/>
        </w:rPr>
        <w:t xml:space="preserve"> and</w:t>
      </w:r>
      <w:r w:rsidR="7B270814" w:rsidRPr="00910892">
        <w:rPr>
          <w:rFonts w:cs="Calibri"/>
          <w:sz w:val="24"/>
          <w:szCs w:val="24"/>
        </w:rPr>
        <w:t xml:space="preserve"> </w:t>
      </w:r>
      <w:r w:rsidRPr="00910892">
        <w:rPr>
          <w:rFonts w:cs="Calibri"/>
          <w:sz w:val="24"/>
          <w:szCs w:val="24"/>
        </w:rPr>
        <w:t xml:space="preserve">ESG funded programs. These </w:t>
      </w:r>
      <w:r w:rsidR="5E4FBEBD" w:rsidRPr="00910892">
        <w:rPr>
          <w:rFonts w:cs="Calibri"/>
          <w:sz w:val="24"/>
          <w:szCs w:val="24"/>
        </w:rPr>
        <w:t>w</w:t>
      </w:r>
      <w:r w:rsidR="7B270814" w:rsidRPr="00910892">
        <w:rPr>
          <w:rFonts w:cs="Calibri"/>
          <w:sz w:val="24"/>
          <w:szCs w:val="24"/>
        </w:rPr>
        <w:t xml:space="preserve">ritten </w:t>
      </w:r>
      <w:r w:rsidR="0601CA3F" w:rsidRPr="00910892">
        <w:rPr>
          <w:rFonts w:cs="Calibri"/>
          <w:sz w:val="24"/>
          <w:szCs w:val="24"/>
        </w:rPr>
        <w:t>s</w:t>
      </w:r>
      <w:r w:rsidR="7B270814" w:rsidRPr="00910892">
        <w:rPr>
          <w:rFonts w:cs="Calibri"/>
          <w:sz w:val="24"/>
          <w:szCs w:val="24"/>
        </w:rPr>
        <w:t>tandards</w:t>
      </w:r>
      <w:r w:rsidRPr="00910892">
        <w:rPr>
          <w:rFonts w:cs="Calibri"/>
          <w:sz w:val="24"/>
          <w:szCs w:val="24"/>
        </w:rPr>
        <w:t xml:space="preserve"> have been established to ensure that persons experiencing homelessness, or who are at risk of homelessness, will be given </w:t>
      </w:r>
      <w:r w:rsidRPr="00910892">
        <w:rPr>
          <w:rFonts w:cs="Calibri"/>
          <w:sz w:val="24"/>
          <w:szCs w:val="24"/>
        </w:rPr>
        <w:lastRenderedPageBreak/>
        <w:t xml:space="preserve">consistent support and services. </w:t>
      </w:r>
      <w:proofErr w:type="gramStart"/>
      <w:r w:rsidRPr="00910892">
        <w:rPr>
          <w:rFonts w:cs="Calibri"/>
          <w:sz w:val="24"/>
          <w:szCs w:val="24"/>
        </w:rPr>
        <w:t>The majority of</w:t>
      </w:r>
      <w:proofErr w:type="gramEnd"/>
      <w:r w:rsidRPr="00910892">
        <w:rPr>
          <w:rFonts w:cs="Calibri"/>
          <w:sz w:val="24"/>
          <w:szCs w:val="24"/>
        </w:rPr>
        <w:t xml:space="preserve"> the standards within the </w:t>
      </w:r>
      <w:r w:rsidR="33E77529" w:rsidRPr="00910892">
        <w:rPr>
          <w:rFonts w:cs="Calibri"/>
          <w:sz w:val="24"/>
          <w:szCs w:val="24"/>
        </w:rPr>
        <w:t>w</w:t>
      </w:r>
      <w:r w:rsidR="7B270814" w:rsidRPr="00910892">
        <w:rPr>
          <w:rFonts w:cs="Calibri"/>
          <w:sz w:val="24"/>
          <w:szCs w:val="24"/>
        </w:rPr>
        <w:t xml:space="preserve">ritten </w:t>
      </w:r>
      <w:r w:rsidR="58F172FA" w:rsidRPr="00910892">
        <w:rPr>
          <w:rFonts w:cs="Calibri"/>
          <w:sz w:val="24"/>
          <w:szCs w:val="24"/>
        </w:rPr>
        <w:t>s</w:t>
      </w:r>
      <w:r w:rsidR="7B270814" w:rsidRPr="00910892">
        <w:rPr>
          <w:rFonts w:cs="Calibri"/>
          <w:sz w:val="24"/>
          <w:szCs w:val="24"/>
        </w:rPr>
        <w:t>tandards</w:t>
      </w:r>
      <w:r w:rsidRPr="00910892">
        <w:rPr>
          <w:rFonts w:cs="Calibri"/>
          <w:sz w:val="24"/>
          <w:szCs w:val="24"/>
        </w:rPr>
        <w:t xml:space="preserve"> are based on the </w:t>
      </w:r>
      <w:r w:rsidR="3CD7B941" w:rsidRPr="00910892">
        <w:rPr>
          <w:rFonts w:cs="Calibri"/>
          <w:sz w:val="24"/>
          <w:szCs w:val="24"/>
        </w:rPr>
        <w:t>C</w:t>
      </w:r>
      <w:r w:rsidR="66F2083B" w:rsidRPr="00910892">
        <w:rPr>
          <w:rFonts w:cs="Calibri"/>
          <w:sz w:val="24"/>
          <w:szCs w:val="24"/>
        </w:rPr>
        <w:t>o</w:t>
      </w:r>
      <w:r w:rsidR="3CD7B941" w:rsidRPr="00910892">
        <w:rPr>
          <w:rFonts w:cs="Calibri"/>
          <w:sz w:val="24"/>
          <w:szCs w:val="24"/>
        </w:rPr>
        <w:t>C</w:t>
      </w:r>
      <w:r w:rsidRPr="00910892">
        <w:rPr>
          <w:rFonts w:cs="Calibri"/>
          <w:sz w:val="24"/>
          <w:szCs w:val="24"/>
        </w:rPr>
        <w:t xml:space="preserve">, ESG, and/or the HEARTH Interim Rules. The </w:t>
      </w:r>
      <w:r w:rsidR="0374E7BB" w:rsidRPr="00910892">
        <w:rPr>
          <w:rFonts w:cs="Calibri"/>
          <w:sz w:val="24"/>
          <w:szCs w:val="24"/>
        </w:rPr>
        <w:t>w</w:t>
      </w:r>
      <w:r w:rsidR="7B270814" w:rsidRPr="00910892">
        <w:rPr>
          <w:rFonts w:cs="Calibri"/>
          <w:sz w:val="24"/>
          <w:szCs w:val="24"/>
        </w:rPr>
        <w:t xml:space="preserve">ritten </w:t>
      </w:r>
      <w:r w:rsidR="27826133" w:rsidRPr="00910892">
        <w:rPr>
          <w:rFonts w:cs="Calibri"/>
          <w:sz w:val="24"/>
          <w:szCs w:val="24"/>
        </w:rPr>
        <w:t>s</w:t>
      </w:r>
      <w:r w:rsidR="7B270814" w:rsidRPr="00910892">
        <w:rPr>
          <w:rFonts w:cs="Calibri"/>
          <w:sz w:val="24"/>
          <w:szCs w:val="24"/>
        </w:rPr>
        <w:t>tandards</w:t>
      </w:r>
      <w:r w:rsidRPr="00910892">
        <w:rPr>
          <w:rFonts w:cs="Calibri"/>
          <w:sz w:val="24"/>
          <w:szCs w:val="24"/>
        </w:rPr>
        <w:t xml:space="preserve"> are not intended to be used in lieu of the interim regulations for the HEARTH Act; rather, they are intended to establish and clarify local decisions regarding program administration.</w:t>
      </w:r>
    </w:p>
    <w:p w14:paraId="7ED33F5C" w14:textId="77777777" w:rsidR="009A2C2E" w:rsidRPr="00910892" w:rsidRDefault="009A2C2E" w:rsidP="00910892">
      <w:pPr>
        <w:keepNext/>
        <w:widowControl w:val="0"/>
        <w:numPr>
          <w:ilvl w:val="0"/>
          <w:numId w:val="14"/>
        </w:numPr>
        <w:spacing w:after="0" w:line="240" w:lineRule="auto"/>
        <w:jc w:val="both"/>
        <w:rPr>
          <w:rFonts w:cs="Calibri"/>
          <w:sz w:val="24"/>
          <w:szCs w:val="24"/>
        </w:rPr>
      </w:pPr>
      <w:r w:rsidRPr="00910892">
        <w:rPr>
          <w:rFonts w:cs="Calibri"/>
          <w:sz w:val="24"/>
          <w:szCs w:val="24"/>
        </w:rPr>
        <w:t>If the Continuum of Care has established centralized or coordinated assessment system that meets HUD requirements, describe that centralized or coordinated assessment system.</w:t>
      </w:r>
      <w:r w:rsidRPr="00910892">
        <w:rPr>
          <w:rFonts w:cs="Calibri"/>
          <w:i/>
          <w:sz w:val="24"/>
          <w:szCs w:val="24"/>
        </w:rPr>
        <w:t xml:space="preserve"> </w:t>
      </w:r>
    </w:p>
    <w:p w14:paraId="4C932F53" w14:textId="77777777" w:rsidR="005C255E" w:rsidRDefault="009A2C2E" w:rsidP="00822F59">
      <w:pPr>
        <w:widowControl w:val="0"/>
        <w:spacing w:beforeAutospacing="1" w:afterAutospacing="1"/>
        <w:ind w:left="360"/>
        <w:rPr>
          <w:rFonts w:cs="Calibri"/>
          <w:sz w:val="24"/>
          <w:szCs w:val="24"/>
        </w:rPr>
      </w:pPr>
      <w:r w:rsidRPr="00910892">
        <w:rPr>
          <w:rFonts w:cs="Calibri"/>
          <w:sz w:val="24"/>
          <w:szCs w:val="24"/>
        </w:rPr>
        <w:t>Coordinated Entry Access Points in each of the six CoC regions assist clients with their housing and homelessness prevention needs through a consistent and uniform assessment and referral process. Housing prioritization is based on a variety of factors, including:</w:t>
      </w:r>
    </w:p>
    <w:p w14:paraId="167E9DA0" w14:textId="77777777" w:rsidR="005C255E" w:rsidRDefault="009A2C2E" w:rsidP="005C255E">
      <w:pPr>
        <w:pStyle w:val="ListParagraph"/>
        <w:widowControl w:val="0"/>
        <w:numPr>
          <w:ilvl w:val="0"/>
          <w:numId w:val="43"/>
        </w:numPr>
        <w:spacing w:beforeAutospacing="1" w:afterAutospacing="1"/>
        <w:rPr>
          <w:rFonts w:cs="Calibri"/>
          <w:sz w:val="24"/>
          <w:szCs w:val="24"/>
        </w:rPr>
      </w:pPr>
      <w:r w:rsidRPr="005C255E">
        <w:rPr>
          <w:rFonts w:cs="Calibri"/>
          <w:sz w:val="24"/>
          <w:szCs w:val="24"/>
        </w:rPr>
        <w:t>Length of Time Homeless</w:t>
      </w:r>
    </w:p>
    <w:p w14:paraId="498ABC1F" w14:textId="77777777" w:rsidR="005C255E" w:rsidRDefault="009A2C2E" w:rsidP="005C255E">
      <w:pPr>
        <w:pStyle w:val="ListParagraph"/>
        <w:widowControl w:val="0"/>
        <w:numPr>
          <w:ilvl w:val="0"/>
          <w:numId w:val="43"/>
        </w:numPr>
        <w:spacing w:beforeAutospacing="1" w:afterAutospacing="1"/>
        <w:rPr>
          <w:rFonts w:cs="Calibri"/>
          <w:sz w:val="24"/>
          <w:szCs w:val="24"/>
        </w:rPr>
      </w:pPr>
      <w:r w:rsidRPr="005C255E">
        <w:rPr>
          <w:rFonts w:cs="Calibri"/>
          <w:sz w:val="24"/>
          <w:szCs w:val="24"/>
        </w:rPr>
        <w:t>Whether a client is fleeing DV</w:t>
      </w:r>
    </w:p>
    <w:p w14:paraId="1F3E17DF" w14:textId="77777777" w:rsidR="005C255E" w:rsidRDefault="009A2C2E" w:rsidP="005C255E">
      <w:pPr>
        <w:pStyle w:val="ListParagraph"/>
        <w:widowControl w:val="0"/>
        <w:numPr>
          <w:ilvl w:val="0"/>
          <w:numId w:val="43"/>
        </w:numPr>
        <w:spacing w:beforeAutospacing="1" w:afterAutospacing="1"/>
        <w:rPr>
          <w:rFonts w:cs="Calibri"/>
          <w:sz w:val="24"/>
          <w:szCs w:val="24"/>
        </w:rPr>
      </w:pPr>
      <w:r w:rsidRPr="005C255E">
        <w:rPr>
          <w:rFonts w:cs="Calibri"/>
          <w:sz w:val="24"/>
          <w:szCs w:val="24"/>
        </w:rPr>
        <w:t>Age</w:t>
      </w:r>
      <w:r w:rsidR="1E247F15" w:rsidRPr="005C255E">
        <w:rPr>
          <w:rFonts w:cs="Calibri"/>
          <w:sz w:val="24"/>
          <w:szCs w:val="24"/>
        </w:rPr>
        <w:t xml:space="preserve"> (If they h</w:t>
      </w:r>
      <w:r w:rsidR="7B270814" w:rsidRPr="005C255E">
        <w:rPr>
          <w:rFonts w:cs="Calibri"/>
          <w:sz w:val="24"/>
          <w:szCs w:val="24"/>
        </w:rPr>
        <w:t xml:space="preserve">ave </w:t>
      </w:r>
      <w:r w:rsidRPr="005C255E">
        <w:rPr>
          <w:rFonts w:cs="Calibri"/>
          <w:sz w:val="24"/>
          <w:szCs w:val="24"/>
        </w:rPr>
        <w:t xml:space="preserve">young children in the home OR </w:t>
      </w:r>
      <w:r w:rsidR="536E103F" w:rsidRPr="005C255E">
        <w:rPr>
          <w:rFonts w:cs="Calibri"/>
          <w:sz w:val="24"/>
          <w:szCs w:val="24"/>
        </w:rPr>
        <w:t xml:space="preserve">are </w:t>
      </w:r>
      <w:proofErr w:type="gramStart"/>
      <w:r w:rsidRPr="005C255E">
        <w:rPr>
          <w:rFonts w:cs="Calibri"/>
          <w:sz w:val="24"/>
          <w:szCs w:val="24"/>
        </w:rPr>
        <w:t>pregnant</w:t>
      </w:r>
      <w:r w:rsidR="55CC5B46" w:rsidRPr="005C255E">
        <w:rPr>
          <w:rFonts w:cs="Calibri"/>
          <w:sz w:val="24"/>
          <w:szCs w:val="24"/>
        </w:rPr>
        <w:t>,</w:t>
      </w:r>
      <w:r w:rsidRPr="005C255E">
        <w:rPr>
          <w:rFonts w:cs="Calibri"/>
          <w:sz w:val="24"/>
          <w:szCs w:val="24"/>
        </w:rPr>
        <w:t xml:space="preserve"> OR</w:t>
      </w:r>
      <w:proofErr w:type="gramEnd"/>
      <w:r w:rsidRPr="005C255E">
        <w:rPr>
          <w:rFonts w:cs="Calibri"/>
          <w:sz w:val="24"/>
          <w:szCs w:val="24"/>
        </w:rPr>
        <w:t xml:space="preserve"> have a teen in the home</w:t>
      </w:r>
      <w:r w:rsidR="25757643" w:rsidRPr="005C255E">
        <w:rPr>
          <w:rFonts w:cs="Calibri"/>
          <w:sz w:val="24"/>
          <w:szCs w:val="24"/>
        </w:rPr>
        <w:t>.)</w:t>
      </w:r>
    </w:p>
    <w:p w14:paraId="731C2059" w14:textId="77777777" w:rsidR="005C255E" w:rsidRDefault="009A2C2E" w:rsidP="005C255E">
      <w:pPr>
        <w:pStyle w:val="ListParagraph"/>
        <w:widowControl w:val="0"/>
        <w:numPr>
          <w:ilvl w:val="0"/>
          <w:numId w:val="43"/>
        </w:numPr>
        <w:spacing w:beforeAutospacing="1" w:afterAutospacing="1"/>
        <w:rPr>
          <w:rFonts w:cs="Calibri"/>
          <w:sz w:val="24"/>
          <w:szCs w:val="24"/>
        </w:rPr>
      </w:pPr>
      <w:r w:rsidRPr="005C255E">
        <w:rPr>
          <w:rFonts w:cs="Calibri"/>
          <w:sz w:val="24"/>
          <w:szCs w:val="24"/>
        </w:rPr>
        <w:t>Accessing Emergency Services in the last six months</w:t>
      </w:r>
      <w:r w:rsidR="05836F3D" w:rsidRPr="005C255E">
        <w:rPr>
          <w:rFonts w:cs="Calibri"/>
          <w:sz w:val="24"/>
          <w:szCs w:val="24"/>
        </w:rPr>
        <w:t>, and</w:t>
      </w:r>
    </w:p>
    <w:p w14:paraId="15811800" w14:textId="6D9121D6" w:rsidR="005C255E" w:rsidRDefault="009A2C2E" w:rsidP="005C255E">
      <w:pPr>
        <w:pStyle w:val="ListParagraph"/>
        <w:widowControl w:val="0"/>
        <w:numPr>
          <w:ilvl w:val="0"/>
          <w:numId w:val="43"/>
        </w:numPr>
        <w:spacing w:beforeAutospacing="1" w:afterAutospacing="1"/>
        <w:rPr>
          <w:rFonts w:cs="Calibri"/>
          <w:sz w:val="24"/>
          <w:szCs w:val="24"/>
        </w:rPr>
      </w:pPr>
      <w:r w:rsidRPr="005C255E">
        <w:rPr>
          <w:rFonts w:cs="Calibri"/>
          <w:sz w:val="24"/>
          <w:szCs w:val="24"/>
        </w:rPr>
        <w:t>How many times arrested, incarcerated or had run-ins with the police in the last six months</w:t>
      </w:r>
      <w:r w:rsidR="005C255E">
        <w:rPr>
          <w:rFonts w:cs="Calibri"/>
          <w:sz w:val="24"/>
          <w:szCs w:val="24"/>
        </w:rPr>
        <w:t xml:space="preserve"> and</w:t>
      </w:r>
    </w:p>
    <w:p w14:paraId="062F1533" w14:textId="5795DDA9" w:rsidR="009A2C2E" w:rsidRPr="00910892" w:rsidRDefault="009A2C2E" w:rsidP="00142C08">
      <w:pPr>
        <w:widowControl w:val="0"/>
        <w:spacing w:beforeAutospacing="1" w:afterAutospacing="1"/>
        <w:jc w:val="both"/>
        <w:rPr>
          <w:rFonts w:cs="Calibri"/>
          <w:sz w:val="24"/>
          <w:szCs w:val="24"/>
        </w:rPr>
      </w:pPr>
      <w:r w:rsidRPr="00910892">
        <w:rPr>
          <w:rFonts w:cs="Calibri"/>
          <w:sz w:val="24"/>
          <w:szCs w:val="24"/>
        </w:rPr>
        <w:t>Clients in need of housing are placed on a centralized, regional queue to ensure those who are most vulnerable receive assistance first. The CoC works in collaboration with the statewide 211 system, service providers, and other community stakeholders to facilitate client access to the Coordinated Entry system. Client data and system reporting is administered through HMIS.</w:t>
      </w:r>
      <w:r w:rsidRPr="00910892">
        <w:rPr>
          <w:rFonts w:cs="Calibri"/>
          <w:sz w:val="24"/>
          <w:szCs w:val="24"/>
        </w:rPr>
        <w:br/>
        <w:t xml:space="preserve">The CE process includes multiple assessment tools to evaluate and identify client needs. The process for all clients begins with a Crisis Needs Assessment to determine a client's housing status and determine the appropriate path through the system. This step also includes diversion tactics to assist households </w:t>
      </w:r>
      <w:r w:rsidR="581A863B" w:rsidRPr="00910892">
        <w:rPr>
          <w:rFonts w:cs="Calibri"/>
          <w:sz w:val="24"/>
          <w:szCs w:val="24"/>
        </w:rPr>
        <w:t>to remain</w:t>
      </w:r>
      <w:r w:rsidRPr="00910892">
        <w:rPr>
          <w:rFonts w:cs="Calibri"/>
          <w:sz w:val="24"/>
          <w:szCs w:val="24"/>
        </w:rPr>
        <w:t xml:space="preserve"> housed without the use of homelessness assistance resources. The next step is the Housing Assistance Assessment. Clients who are at risk of homelessness leave the Housing Assistance Assessment and continue through the process with a Homelessness Prevention Assessment.</w:t>
      </w:r>
    </w:p>
    <w:p w14:paraId="40423DFA" w14:textId="77777777" w:rsidR="00142C08" w:rsidRDefault="73019F31" w:rsidP="00142C08">
      <w:pPr>
        <w:pStyle w:val="ListParagraph"/>
        <w:widowControl w:val="0"/>
        <w:numPr>
          <w:ilvl w:val="0"/>
          <w:numId w:val="44"/>
        </w:numPr>
        <w:tabs>
          <w:tab w:val="clear" w:pos="360"/>
        </w:tabs>
        <w:spacing w:beforeAutospacing="1" w:afterAutospacing="1"/>
        <w:ind w:left="450" w:hanging="450"/>
        <w:rPr>
          <w:rFonts w:cs="Calibri"/>
          <w:sz w:val="24"/>
          <w:szCs w:val="24"/>
        </w:rPr>
      </w:pPr>
      <w:r w:rsidRPr="00142C08">
        <w:rPr>
          <w:rFonts w:cs="Calibri"/>
          <w:sz w:val="24"/>
          <w:szCs w:val="24"/>
        </w:rPr>
        <w:t xml:space="preserve">Identify the process for making sub-awards and describe how the ESG allocation available to private nonprofit organizations (including community and faith-based organizations).  The process for awarding funds to organizations (including community and faith-based) is described fully in AP-30. In summary, private and nonprofit organizations may </w:t>
      </w:r>
      <w:proofErr w:type="gramStart"/>
      <w:r w:rsidRPr="00142C08">
        <w:rPr>
          <w:rFonts w:cs="Calibri"/>
          <w:sz w:val="24"/>
          <w:szCs w:val="24"/>
        </w:rPr>
        <w:t>submit an application</w:t>
      </w:r>
      <w:proofErr w:type="gramEnd"/>
      <w:r w:rsidRPr="00142C08">
        <w:rPr>
          <w:rFonts w:cs="Calibri"/>
          <w:sz w:val="24"/>
          <w:szCs w:val="24"/>
        </w:rPr>
        <w:t xml:space="preserve"> during the open competition. In addition to the application, applicants must submit supporting documentation, such as financial statements and policies/procedures. Organizations must also </w:t>
      </w:r>
      <w:r w:rsidR="367F3511" w:rsidRPr="00142C08">
        <w:rPr>
          <w:rFonts w:cs="Calibri"/>
          <w:sz w:val="24"/>
          <w:szCs w:val="24"/>
        </w:rPr>
        <w:tab/>
      </w:r>
      <w:r w:rsidRPr="00142C08">
        <w:rPr>
          <w:rFonts w:cs="Calibri"/>
          <w:sz w:val="24"/>
          <w:szCs w:val="24"/>
        </w:rPr>
        <w:t>agree to certain conditions and submit a budget proposal.</w:t>
      </w:r>
      <w:r w:rsidR="367F3511" w:rsidRPr="00142C08">
        <w:rPr>
          <w:rFonts w:cs="Calibri"/>
          <w:sz w:val="24"/>
          <w:szCs w:val="24"/>
        </w:rPr>
        <w:br/>
      </w:r>
      <w:r w:rsidR="53EA0BC2" w:rsidRPr="00142C08">
        <w:rPr>
          <w:rFonts w:cs="Calibri"/>
          <w:sz w:val="24"/>
          <w:szCs w:val="24"/>
        </w:rPr>
        <w:lastRenderedPageBreak/>
        <w:t>Ap</w:t>
      </w:r>
      <w:r w:rsidR="77D9C602" w:rsidRPr="00142C08">
        <w:rPr>
          <w:rFonts w:cs="Calibri"/>
          <w:sz w:val="24"/>
          <w:szCs w:val="24"/>
        </w:rPr>
        <w:t>pli</w:t>
      </w:r>
      <w:r w:rsidRPr="00142C08">
        <w:rPr>
          <w:rFonts w:cs="Calibri"/>
          <w:sz w:val="24"/>
          <w:szCs w:val="24"/>
        </w:rPr>
        <w:t>cation</w:t>
      </w:r>
      <w:r w:rsidR="303771CC" w:rsidRPr="00142C08">
        <w:rPr>
          <w:rFonts w:cs="Calibri"/>
          <w:sz w:val="24"/>
          <w:szCs w:val="24"/>
        </w:rPr>
        <w:t>s are</w:t>
      </w:r>
      <w:r w:rsidRPr="00142C08">
        <w:rPr>
          <w:rFonts w:cs="Calibri"/>
          <w:sz w:val="24"/>
          <w:szCs w:val="24"/>
        </w:rPr>
        <w:t xml:space="preserve"> </w:t>
      </w:r>
      <w:r w:rsidR="4B12C455" w:rsidRPr="00142C08">
        <w:rPr>
          <w:rFonts w:cs="Calibri"/>
          <w:sz w:val="24"/>
          <w:szCs w:val="24"/>
        </w:rPr>
        <w:t>scored</w:t>
      </w:r>
      <w:r w:rsidR="4D2C269E" w:rsidRPr="00142C08">
        <w:rPr>
          <w:rFonts w:cs="Calibri"/>
          <w:sz w:val="24"/>
          <w:szCs w:val="24"/>
        </w:rPr>
        <w:t xml:space="preserve"> based on the following: </w:t>
      </w:r>
      <w:r w:rsidR="57FD7B41" w:rsidRPr="00142C08">
        <w:rPr>
          <w:rFonts w:cs="Calibri"/>
          <w:sz w:val="24"/>
          <w:szCs w:val="24"/>
        </w:rPr>
        <w:t>agency narrative, project narrative, regional allocation, financial</w:t>
      </w:r>
      <w:r w:rsidR="4D2C269E" w:rsidRPr="00142C08">
        <w:rPr>
          <w:rFonts w:cs="Calibri"/>
          <w:sz w:val="24"/>
          <w:szCs w:val="24"/>
        </w:rPr>
        <w:t xml:space="preserve"> stability, match ability</w:t>
      </w:r>
      <w:r w:rsidR="100DA995" w:rsidRPr="00142C08">
        <w:rPr>
          <w:rFonts w:cs="Calibri"/>
          <w:sz w:val="24"/>
          <w:szCs w:val="24"/>
        </w:rPr>
        <w:t>,</w:t>
      </w:r>
      <w:r w:rsidR="4D2C269E" w:rsidRPr="00142C08">
        <w:rPr>
          <w:rFonts w:cs="Calibri"/>
          <w:sz w:val="24"/>
          <w:szCs w:val="24"/>
        </w:rPr>
        <w:t xml:space="preserve"> and grant outcomes (renewal grants). Gran</w:t>
      </w:r>
      <w:r w:rsidR="00142C08">
        <w:rPr>
          <w:rFonts w:cs="Calibri"/>
          <w:sz w:val="24"/>
          <w:szCs w:val="24"/>
        </w:rPr>
        <w:t xml:space="preserve">t </w:t>
      </w:r>
      <w:r w:rsidR="4BED7987" w:rsidRPr="00142C08">
        <w:rPr>
          <w:rFonts w:cs="Calibri"/>
          <w:sz w:val="24"/>
          <w:szCs w:val="24"/>
        </w:rPr>
        <w:t>proposals are funded based on the application score and ranking. Conditional awards are issued</w:t>
      </w:r>
      <w:r w:rsidR="6A52EE6C" w:rsidRPr="00142C08">
        <w:rPr>
          <w:rFonts w:cs="Calibri"/>
          <w:sz w:val="24"/>
          <w:szCs w:val="24"/>
        </w:rPr>
        <w:t xml:space="preserve"> t</w:t>
      </w:r>
      <w:r w:rsidR="5D9D48A1" w:rsidRPr="00142C08">
        <w:rPr>
          <w:rFonts w:cs="Calibri"/>
          <w:sz w:val="24"/>
          <w:szCs w:val="24"/>
        </w:rPr>
        <w:t xml:space="preserve">o subrecipients. Once a contract is signed and the budget is </w:t>
      </w:r>
      <w:r w:rsidR="1137DC65" w:rsidRPr="00142C08">
        <w:rPr>
          <w:rFonts w:cs="Calibri"/>
          <w:sz w:val="24"/>
          <w:szCs w:val="24"/>
        </w:rPr>
        <w:t>f</w:t>
      </w:r>
      <w:r w:rsidR="098FA5AC" w:rsidRPr="00142C08">
        <w:rPr>
          <w:rFonts w:cs="Calibri"/>
          <w:sz w:val="24"/>
          <w:szCs w:val="24"/>
        </w:rPr>
        <w:t>i</w:t>
      </w:r>
      <w:r w:rsidRPr="00142C08">
        <w:rPr>
          <w:rFonts w:cs="Calibri"/>
          <w:sz w:val="24"/>
          <w:szCs w:val="24"/>
        </w:rPr>
        <w:t>nalized, the subrecipient may</w:t>
      </w:r>
      <w:r w:rsidR="7F75A3E7" w:rsidRPr="00142C08">
        <w:rPr>
          <w:rFonts w:cs="Calibri"/>
          <w:sz w:val="24"/>
          <w:szCs w:val="24"/>
        </w:rPr>
        <w:t xml:space="preserve"> begin submitting draw requests for eligible expenses incurred within the grant cycle. </w:t>
      </w:r>
    </w:p>
    <w:p w14:paraId="10A3BAF9" w14:textId="0788000A" w:rsidR="009A2C2E" w:rsidRDefault="7B270814" w:rsidP="00142C08">
      <w:pPr>
        <w:pStyle w:val="ListParagraph"/>
        <w:widowControl w:val="0"/>
        <w:numPr>
          <w:ilvl w:val="0"/>
          <w:numId w:val="44"/>
        </w:numPr>
        <w:tabs>
          <w:tab w:val="clear" w:pos="360"/>
        </w:tabs>
        <w:spacing w:beforeAutospacing="1" w:afterAutospacing="1"/>
        <w:ind w:left="450" w:hanging="450"/>
        <w:rPr>
          <w:rFonts w:cs="Calibri"/>
          <w:sz w:val="24"/>
          <w:szCs w:val="24"/>
        </w:rPr>
      </w:pPr>
      <w:r w:rsidRPr="00142C08">
        <w:rPr>
          <w:rFonts w:cs="Calibri"/>
          <w:sz w:val="24"/>
          <w:szCs w:val="24"/>
        </w:rPr>
        <w:t xml:space="preserve">If the jurisdiction is unable to meet the homeless participation requirement in 24 CFR 576.405(a), the jurisdiction must specify its plan for reaching out to and consulting with homeless or formerly homeless individuals in considering policies and funding decisions regarding facilities and services funded under ESG. </w:t>
      </w:r>
      <w:r w:rsidR="00142C08">
        <w:rPr>
          <w:rFonts w:cs="Calibri"/>
          <w:sz w:val="24"/>
          <w:szCs w:val="24"/>
        </w:rPr>
        <w:br/>
      </w:r>
      <w:r w:rsidR="00142C08">
        <w:rPr>
          <w:rFonts w:cs="Calibri"/>
          <w:sz w:val="24"/>
          <w:szCs w:val="24"/>
        </w:rPr>
        <w:br/>
      </w:r>
      <w:r w:rsidR="4A1A378A" w:rsidRPr="00142C08">
        <w:rPr>
          <w:rFonts w:cs="Calibri"/>
          <w:sz w:val="24"/>
          <w:szCs w:val="24"/>
        </w:rPr>
        <w:t>The ESG recipient supports the BoS CoC’s structure, which reserves a seat on the board for an individual who is currently experiencing homelessness</w:t>
      </w:r>
      <w:r w:rsidR="6B941CF8" w:rsidRPr="00142C08">
        <w:rPr>
          <w:rFonts w:cs="Calibri"/>
          <w:sz w:val="24"/>
          <w:szCs w:val="24"/>
        </w:rPr>
        <w:t xml:space="preserve"> or has experienced homelessness in the past seven years. Additionally, all ESG and CoC subrecipients are required to include an individual with lived experience (LE) of homelessness on their board, or in another policy-making capacity. </w:t>
      </w:r>
    </w:p>
    <w:p w14:paraId="713004E6" w14:textId="77777777" w:rsidR="00142C08" w:rsidRPr="00142C08" w:rsidRDefault="00142C08" w:rsidP="00142C08">
      <w:pPr>
        <w:pStyle w:val="ListParagraph"/>
        <w:widowControl w:val="0"/>
        <w:spacing w:beforeAutospacing="1" w:afterAutospacing="1"/>
        <w:ind w:left="450"/>
        <w:rPr>
          <w:rFonts w:cs="Calibri"/>
          <w:sz w:val="24"/>
          <w:szCs w:val="24"/>
        </w:rPr>
      </w:pPr>
    </w:p>
    <w:p w14:paraId="39BB93FA" w14:textId="45D1A61B" w:rsidR="009A2C2E" w:rsidRPr="00142C08" w:rsidRDefault="367F3511" w:rsidP="00142C08">
      <w:pPr>
        <w:pStyle w:val="ListParagraph"/>
        <w:widowControl w:val="0"/>
        <w:numPr>
          <w:ilvl w:val="0"/>
          <w:numId w:val="44"/>
        </w:numPr>
        <w:spacing w:beforeAutospacing="1" w:afterAutospacing="1"/>
        <w:jc w:val="both"/>
        <w:rPr>
          <w:rFonts w:cs="Calibri"/>
          <w:sz w:val="24"/>
          <w:szCs w:val="24"/>
        </w:rPr>
      </w:pPr>
      <w:r w:rsidRPr="00142C08">
        <w:rPr>
          <w:rFonts w:cs="Calibri"/>
          <w:sz w:val="24"/>
          <w:szCs w:val="24"/>
        </w:rPr>
        <w:t xml:space="preserve">Additionally, the BoS CoC has two homeless lived experience (LE) subcommittees: the Lived Experience Panel (LEP) and the Youth Action Board (YAB). The LEP and YAB are statewide groups that integrate the feedback of individuals and families with LE in all decisions made by the CoC that directly impact the homeless population, including ESG project funding allocations. </w:t>
      </w:r>
      <w:r w:rsidR="009A2C2E" w:rsidRPr="00142C08">
        <w:rPr>
          <w:rFonts w:cs="Calibri"/>
          <w:sz w:val="24"/>
          <w:szCs w:val="24"/>
        </w:rPr>
        <w:t xml:space="preserve">Describe performance standards for evaluating ESG. </w:t>
      </w:r>
    </w:p>
    <w:p w14:paraId="6C28A4ED" w14:textId="1333A950" w:rsidR="009A2C2E" w:rsidRPr="00910892" w:rsidRDefault="009A2C2E" w:rsidP="00910892">
      <w:pPr>
        <w:widowControl w:val="0"/>
        <w:spacing w:beforeAutospacing="1" w:afterAutospacing="1"/>
        <w:ind w:left="360"/>
        <w:jc w:val="both"/>
        <w:rPr>
          <w:rFonts w:cs="Calibri"/>
          <w:sz w:val="24"/>
          <w:szCs w:val="24"/>
        </w:rPr>
      </w:pPr>
      <w:r w:rsidRPr="00910892">
        <w:rPr>
          <w:rFonts w:cs="Calibri"/>
          <w:sz w:val="24"/>
          <w:szCs w:val="24"/>
        </w:rPr>
        <w:t xml:space="preserve">Performance standards set by IHFA staff, with the recommendations and input of the BoS CoC’s board, the </w:t>
      </w:r>
      <w:r w:rsidR="4333AFC7" w:rsidRPr="00910892">
        <w:rPr>
          <w:rFonts w:cs="Calibri"/>
          <w:sz w:val="24"/>
          <w:szCs w:val="24"/>
        </w:rPr>
        <w:t>Guiding</w:t>
      </w:r>
      <w:r w:rsidRPr="00910892">
        <w:rPr>
          <w:rFonts w:cs="Calibri"/>
          <w:sz w:val="24"/>
          <w:szCs w:val="24"/>
        </w:rPr>
        <w:t xml:space="preserve"> Idaho </w:t>
      </w:r>
      <w:r w:rsidR="4333AFC7" w:rsidRPr="00910892">
        <w:rPr>
          <w:rFonts w:cs="Calibri"/>
          <w:sz w:val="24"/>
          <w:szCs w:val="24"/>
        </w:rPr>
        <w:t>Committee</w:t>
      </w:r>
      <w:r w:rsidRPr="00910892">
        <w:rPr>
          <w:rFonts w:cs="Calibri"/>
          <w:sz w:val="24"/>
          <w:szCs w:val="24"/>
        </w:rPr>
        <w:t xml:space="preserve"> is used to evaluate target outcomes set for each project participating in the program. The following performance measures have been established for ESG:</w:t>
      </w:r>
    </w:p>
    <w:p w14:paraId="6E4C0065" w14:textId="36B10D22" w:rsidR="009A2C2E" w:rsidRPr="00142C08" w:rsidRDefault="009A2C2E" w:rsidP="00142C08">
      <w:pPr>
        <w:pStyle w:val="ListParagraph"/>
        <w:widowControl w:val="0"/>
        <w:numPr>
          <w:ilvl w:val="0"/>
          <w:numId w:val="43"/>
        </w:numPr>
        <w:spacing w:beforeAutospacing="1" w:afterAutospacing="1"/>
        <w:jc w:val="both"/>
        <w:rPr>
          <w:rFonts w:cs="Calibri"/>
          <w:sz w:val="24"/>
          <w:szCs w:val="24"/>
        </w:rPr>
      </w:pPr>
      <w:r w:rsidRPr="00142C08">
        <w:rPr>
          <w:rFonts w:cs="Calibri"/>
          <w:sz w:val="24"/>
          <w:szCs w:val="24"/>
        </w:rPr>
        <w:t>Reduce</w:t>
      </w:r>
      <w:r w:rsidR="7B270814" w:rsidRPr="00142C08">
        <w:rPr>
          <w:rFonts w:cs="Calibri"/>
          <w:sz w:val="24"/>
          <w:szCs w:val="24"/>
        </w:rPr>
        <w:t xml:space="preserve"> </w:t>
      </w:r>
      <w:r w:rsidR="624D4641" w:rsidRPr="00142C08">
        <w:rPr>
          <w:rFonts w:cs="Calibri"/>
          <w:sz w:val="24"/>
          <w:szCs w:val="24"/>
        </w:rPr>
        <w:t>the</w:t>
      </w:r>
      <w:r w:rsidRPr="00142C08">
        <w:rPr>
          <w:rFonts w:cs="Calibri"/>
          <w:sz w:val="24"/>
          <w:szCs w:val="24"/>
        </w:rPr>
        <w:t xml:space="preserve"> Number of Those Living on Streets or In Shelters or First Time Homeless: Sixty-five percent (65%) of households receiving homelessness prevention will not enter a HUD-funded shelter or rapid re-housing program or access homelessness prevention funding again within twelve (12) months of receiving assistance. Achievement of the applicable goal will be verified using HMIS data or a comparable database. </w:t>
      </w:r>
      <w:r w:rsidR="7B270814" w:rsidRPr="00142C08">
        <w:rPr>
          <w:rFonts w:cs="Calibri"/>
          <w:sz w:val="24"/>
          <w:szCs w:val="24"/>
        </w:rPr>
        <w:t>(H</w:t>
      </w:r>
      <w:r w:rsidR="11B853AC" w:rsidRPr="00142C08">
        <w:rPr>
          <w:rFonts w:cs="Calibri"/>
          <w:sz w:val="24"/>
          <w:szCs w:val="24"/>
        </w:rPr>
        <w:t>omeless Prevention (HP) projects apply.)</w:t>
      </w:r>
    </w:p>
    <w:p w14:paraId="74B81CE6" w14:textId="54F3EAF9" w:rsidR="009A2C2E" w:rsidRPr="00142C08" w:rsidRDefault="009A2C2E" w:rsidP="00142C08">
      <w:pPr>
        <w:pStyle w:val="ListParagraph"/>
        <w:widowControl w:val="0"/>
        <w:numPr>
          <w:ilvl w:val="0"/>
          <w:numId w:val="43"/>
        </w:numPr>
        <w:spacing w:beforeAutospacing="1" w:afterAutospacing="1"/>
        <w:jc w:val="both"/>
        <w:rPr>
          <w:rFonts w:cs="Calibri"/>
          <w:sz w:val="24"/>
          <w:szCs w:val="24"/>
        </w:rPr>
      </w:pPr>
      <w:r w:rsidRPr="00142C08">
        <w:rPr>
          <w:rFonts w:cs="Calibri"/>
          <w:sz w:val="24"/>
          <w:szCs w:val="24"/>
        </w:rPr>
        <w:t>Shorten</w:t>
      </w:r>
      <w:r w:rsidR="7B270814" w:rsidRPr="00142C08">
        <w:rPr>
          <w:rFonts w:cs="Calibri"/>
          <w:sz w:val="24"/>
          <w:szCs w:val="24"/>
        </w:rPr>
        <w:t xml:space="preserve"> </w:t>
      </w:r>
      <w:r w:rsidR="060D298A" w:rsidRPr="00142C08">
        <w:rPr>
          <w:rFonts w:cs="Calibri"/>
          <w:sz w:val="24"/>
          <w:szCs w:val="24"/>
        </w:rPr>
        <w:t>the</w:t>
      </w:r>
      <w:r w:rsidRPr="00142C08">
        <w:rPr>
          <w:rFonts w:cs="Calibri"/>
          <w:sz w:val="24"/>
          <w:szCs w:val="24"/>
        </w:rPr>
        <w:t xml:space="preserve"> Length of Homelessness and Risk of Housing Instability: Fifty percent (50%) of participants living in shelter will exit to permanent housing. Achievement of this goal will be verified using HMIS data or a comparable database. </w:t>
      </w:r>
      <w:r w:rsidR="7A521864" w:rsidRPr="00142C08">
        <w:rPr>
          <w:rFonts w:cs="Calibri"/>
          <w:sz w:val="24"/>
          <w:szCs w:val="24"/>
        </w:rPr>
        <w:t xml:space="preserve">(Emergency Shelter </w:t>
      </w:r>
      <w:r w:rsidR="7B270814" w:rsidRPr="00142C08">
        <w:rPr>
          <w:rFonts w:cs="Calibri"/>
          <w:sz w:val="24"/>
          <w:szCs w:val="24"/>
        </w:rPr>
        <w:t>(ES)</w:t>
      </w:r>
      <w:r w:rsidR="4ECF795B" w:rsidRPr="00142C08">
        <w:rPr>
          <w:rFonts w:cs="Calibri"/>
          <w:sz w:val="24"/>
          <w:szCs w:val="24"/>
        </w:rPr>
        <w:t xml:space="preserve"> projects apply.)</w:t>
      </w:r>
    </w:p>
    <w:p w14:paraId="56398749" w14:textId="3F9A28A4" w:rsidR="009A2C2E" w:rsidRPr="00142C08" w:rsidRDefault="009A2C2E" w:rsidP="00142C08">
      <w:pPr>
        <w:pStyle w:val="ListParagraph"/>
        <w:widowControl w:val="0"/>
        <w:numPr>
          <w:ilvl w:val="0"/>
          <w:numId w:val="43"/>
        </w:numPr>
        <w:spacing w:beforeAutospacing="1" w:afterAutospacing="1"/>
        <w:jc w:val="both"/>
        <w:rPr>
          <w:rFonts w:cs="Calibri"/>
          <w:sz w:val="24"/>
          <w:szCs w:val="24"/>
        </w:rPr>
      </w:pPr>
      <w:r w:rsidRPr="00142C08">
        <w:rPr>
          <w:rFonts w:cs="Calibri"/>
          <w:sz w:val="24"/>
          <w:szCs w:val="24"/>
        </w:rPr>
        <w:lastRenderedPageBreak/>
        <w:t xml:space="preserve">Reduce Housing Barriers or Risk of Housing Stability: Sixty percent (60%) of participants will exit the program receiving at least one mainstream resource. Achievement of this goal will be verified using HMIS data or a comparable database. (ES, RRH). Ten percent (10%) of households will gain or increase employment or other income at the time of project exit. Achievement of this goal will be verified using HMIS data or a comparable database. </w:t>
      </w:r>
      <w:r w:rsidR="42356D11" w:rsidRPr="00142C08">
        <w:rPr>
          <w:rFonts w:cs="Calibri"/>
          <w:sz w:val="24"/>
          <w:szCs w:val="24"/>
        </w:rPr>
        <w:t xml:space="preserve">(Rapid Rehousing </w:t>
      </w:r>
      <w:r w:rsidR="7B270814" w:rsidRPr="00142C08">
        <w:rPr>
          <w:rFonts w:cs="Calibri"/>
          <w:sz w:val="24"/>
          <w:szCs w:val="24"/>
        </w:rPr>
        <w:t>(RRH)</w:t>
      </w:r>
      <w:r w:rsidR="7AF1A7C9" w:rsidRPr="00142C08">
        <w:rPr>
          <w:rFonts w:cs="Calibri"/>
          <w:sz w:val="24"/>
          <w:szCs w:val="24"/>
        </w:rPr>
        <w:t xml:space="preserve"> projects apply.)</w:t>
      </w:r>
    </w:p>
    <w:p w14:paraId="7807CC5D" w14:textId="1DAFC7F2" w:rsidR="009A2C2E" w:rsidRPr="00142C08" w:rsidRDefault="009A2C2E" w:rsidP="00142C08">
      <w:pPr>
        <w:pStyle w:val="ListParagraph"/>
        <w:widowControl w:val="0"/>
        <w:numPr>
          <w:ilvl w:val="0"/>
          <w:numId w:val="43"/>
        </w:numPr>
        <w:spacing w:beforeAutospacing="1" w:afterAutospacing="1"/>
        <w:jc w:val="both"/>
        <w:rPr>
          <w:rFonts w:cs="Calibri"/>
          <w:sz w:val="24"/>
          <w:szCs w:val="24"/>
        </w:rPr>
      </w:pPr>
      <w:r w:rsidRPr="00142C08">
        <w:rPr>
          <w:rFonts w:cs="Calibri"/>
          <w:sz w:val="24"/>
          <w:szCs w:val="24"/>
        </w:rPr>
        <w:t xml:space="preserve">Maintain Data Quality: Programs will maintain 95% data completeness of the Universal Data Elements in HMIS or a comparable database. Achievement of this goal will be verified using HMIS data or a comparable database. </w:t>
      </w:r>
      <w:r w:rsidR="7B270814" w:rsidRPr="00142C08">
        <w:rPr>
          <w:rFonts w:cs="Calibri"/>
          <w:sz w:val="24"/>
          <w:szCs w:val="24"/>
        </w:rPr>
        <w:t>(</w:t>
      </w:r>
      <w:r w:rsidR="08963681" w:rsidRPr="00142C08">
        <w:rPr>
          <w:rFonts w:cs="Calibri"/>
          <w:sz w:val="24"/>
          <w:szCs w:val="24"/>
        </w:rPr>
        <w:t xml:space="preserve">All ESG projects apply: </w:t>
      </w:r>
      <w:r w:rsidR="7B270814" w:rsidRPr="00142C08">
        <w:rPr>
          <w:rFonts w:cs="Calibri"/>
          <w:sz w:val="24"/>
          <w:szCs w:val="24"/>
        </w:rPr>
        <w:t>ES, RRH, HP)</w:t>
      </w:r>
    </w:p>
    <w:p w14:paraId="5E380B9C" w14:textId="77777777" w:rsidR="009A2C2E" w:rsidRPr="00910892" w:rsidRDefault="009A2C2E" w:rsidP="00910892">
      <w:pPr>
        <w:jc w:val="both"/>
        <w:rPr>
          <w:rFonts w:cs="Calibri"/>
          <w:sz w:val="24"/>
          <w:szCs w:val="24"/>
        </w:rPr>
      </w:pPr>
    </w:p>
    <w:p w14:paraId="27225B61" w14:textId="77777777" w:rsidR="009A2C2E" w:rsidRPr="00910892" w:rsidRDefault="009A2C2E" w:rsidP="00910892">
      <w:pPr>
        <w:contextualSpacing/>
        <w:jc w:val="both"/>
        <w:rPr>
          <w:rFonts w:cs="Calibri"/>
          <w:b/>
          <w:bCs/>
          <w:sz w:val="24"/>
          <w:szCs w:val="24"/>
        </w:rPr>
      </w:pPr>
      <w:r w:rsidRPr="00910892">
        <w:rPr>
          <w:rFonts w:cs="Calibri"/>
          <w:b/>
          <w:bCs/>
          <w:sz w:val="24"/>
          <w:szCs w:val="24"/>
        </w:rPr>
        <w:t>Housing Trust Fund (HTF)</w:t>
      </w:r>
    </w:p>
    <w:p w14:paraId="6C186DCE" w14:textId="77777777" w:rsidR="009A2C2E" w:rsidRPr="00910892" w:rsidRDefault="009A2C2E" w:rsidP="00910892">
      <w:pPr>
        <w:jc w:val="both"/>
        <w:rPr>
          <w:rFonts w:cs="Calibri"/>
          <w:sz w:val="24"/>
          <w:szCs w:val="24"/>
        </w:rPr>
      </w:pPr>
      <w:r w:rsidRPr="00910892">
        <w:rPr>
          <w:rFonts w:cs="Calibri"/>
          <w:b/>
          <w:bCs/>
          <w:sz w:val="24"/>
          <w:szCs w:val="24"/>
        </w:rPr>
        <w:t>Reference 24 CFR 91.320(k)(5)</w:t>
      </w:r>
    </w:p>
    <w:p w14:paraId="00396250" w14:textId="77777777" w:rsidR="009A2C2E" w:rsidRPr="00910892" w:rsidRDefault="009A2C2E" w:rsidP="00910892">
      <w:pPr>
        <w:spacing w:after="0" w:line="240" w:lineRule="auto"/>
        <w:jc w:val="both"/>
        <w:rPr>
          <w:rFonts w:cs="Calibri"/>
          <w:sz w:val="24"/>
          <w:szCs w:val="24"/>
        </w:rPr>
      </w:pPr>
      <w:r w:rsidRPr="00910892">
        <w:rPr>
          <w:rFonts w:cs="Calibri"/>
          <w:sz w:val="24"/>
          <w:szCs w:val="24"/>
        </w:rPr>
        <w:t>1. How will the grantee distribute its HTF funds?  Select all that apply:</w:t>
      </w:r>
    </w:p>
    <w:p w14:paraId="347D4EE3" w14:textId="77777777" w:rsidR="009A2C2E" w:rsidRPr="00910892" w:rsidRDefault="009A2C2E" w:rsidP="00910892">
      <w:pPr>
        <w:jc w:val="both"/>
        <w:rPr>
          <w:rFonts w:cs="Calibri"/>
          <w:sz w:val="24"/>
          <w:szCs w:val="24"/>
        </w:rPr>
      </w:pPr>
    </w:p>
    <w:p w14:paraId="46481A4E" w14:textId="58B84650" w:rsidR="009A2C2E" w:rsidRPr="00910892" w:rsidRDefault="009A2C2E" w:rsidP="00910892">
      <w:pPr>
        <w:keepNext/>
        <w:widowControl w:val="0"/>
        <w:spacing w:after="100" w:afterAutospacing="1" w:line="240" w:lineRule="auto"/>
        <w:jc w:val="both"/>
        <w:rPr>
          <w:rFonts w:cs="Calibri"/>
          <w:color w:val="000000" w:themeColor="text1"/>
          <w:sz w:val="24"/>
          <w:szCs w:val="24"/>
        </w:rPr>
      </w:pPr>
      <w:r w:rsidRPr="00910892">
        <w:rPr>
          <w:rFonts w:cs="Calibri"/>
          <w:color w:val="000000" w:themeColor="text1"/>
          <w:sz w:val="24"/>
          <w:szCs w:val="24"/>
        </w:rPr>
        <w:t>Applications submitted by eligible recipients</w:t>
      </w:r>
    </w:p>
    <w:p w14:paraId="57260145" w14:textId="77777777" w:rsidR="009A2C2E" w:rsidRPr="00910892" w:rsidRDefault="009A2C2E" w:rsidP="00910892">
      <w:pPr>
        <w:jc w:val="both"/>
        <w:rPr>
          <w:rFonts w:cs="Calibri"/>
          <w:sz w:val="24"/>
          <w:szCs w:val="24"/>
        </w:rPr>
      </w:pPr>
    </w:p>
    <w:p w14:paraId="680B9339" w14:textId="448FB0A4" w:rsidR="009A2C2E" w:rsidRPr="00910892" w:rsidRDefault="009A2C2E" w:rsidP="00910892">
      <w:pPr>
        <w:jc w:val="both"/>
        <w:rPr>
          <w:rFonts w:cs="Calibri"/>
          <w:sz w:val="24"/>
          <w:szCs w:val="24"/>
        </w:rPr>
      </w:pPr>
      <w:r w:rsidRPr="00910892">
        <w:rPr>
          <w:rFonts w:cs="Calibri"/>
          <w:sz w:val="24"/>
          <w:szCs w:val="24"/>
        </w:rPr>
        <w:t>2. If distributing HTF funds through grants to subgrantees, describe the method for distributing HTF funds through grants to subgrantees and how those funds will be made available to state agencies and/or units of general local government. If not distributing funds through grants to subgrantees, enter “N/A”.</w:t>
      </w:r>
    </w:p>
    <w:p w14:paraId="1F1BE5C6"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N/A</w:t>
      </w:r>
    </w:p>
    <w:p w14:paraId="0C4A9E45" w14:textId="77777777" w:rsidR="009A2C2E" w:rsidRPr="00910892" w:rsidRDefault="009A2C2E" w:rsidP="00910892">
      <w:pPr>
        <w:jc w:val="both"/>
        <w:rPr>
          <w:rFonts w:cs="Calibri"/>
          <w:sz w:val="24"/>
          <w:szCs w:val="24"/>
        </w:rPr>
      </w:pPr>
    </w:p>
    <w:p w14:paraId="25A67F88" w14:textId="77777777" w:rsidR="009A2C2E" w:rsidRPr="00910892" w:rsidRDefault="009A2C2E" w:rsidP="00910892">
      <w:pPr>
        <w:jc w:val="both"/>
        <w:rPr>
          <w:rFonts w:cs="Calibri"/>
          <w:sz w:val="24"/>
          <w:szCs w:val="24"/>
        </w:rPr>
      </w:pPr>
      <w:r w:rsidRPr="00910892">
        <w:rPr>
          <w:rFonts w:cs="Calibri"/>
          <w:sz w:val="24"/>
          <w:szCs w:val="24"/>
        </w:rPr>
        <w:t xml:space="preserve">3. If distributing HTF funds by selecting applications submitted by eligible recipients, </w:t>
      </w:r>
    </w:p>
    <w:p w14:paraId="7F773C4D" w14:textId="77777777" w:rsidR="009A2C2E" w:rsidRPr="00910892" w:rsidRDefault="009A2C2E" w:rsidP="00910892">
      <w:pPr>
        <w:jc w:val="both"/>
        <w:rPr>
          <w:rFonts w:cs="Calibri"/>
          <w:sz w:val="24"/>
          <w:szCs w:val="24"/>
        </w:rPr>
      </w:pPr>
      <w:r w:rsidRPr="00910892">
        <w:rPr>
          <w:rFonts w:cs="Calibri"/>
          <w:sz w:val="24"/>
          <w:szCs w:val="24"/>
        </w:rPr>
        <w:t>a. Describe the eligibility requirements for recipients of HTF funds (as defined in 24 CFR § 93.2).  If not distributing funds by selecting applications submitted by eligible recipients, enter “N/A”.</w:t>
      </w:r>
    </w:p>
    <w:p w14:paraId="1C514325" w14:textId="23D20C36"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Eligible recipients are owners-developers registered as a Business Entities with the State of Idaho, in </w:t>
      </w:r>
      <w:r w:rsidR="2E618AAC" w:rsidRPr="00910892">
        <w:rPr>
          <w:rFonts w:cs="Calibri"/>
          <w:sz w:val="24"/>
          <w:szCs w:val="24"/>
        </w:rPr>
        <w:t>“</w:t>
      </w:r>
      <w:r w:rsidRPr="00910892">
        <w:rPr>
          <w:rFonts w:cs="Calibri"/>
          <w:sz w:val="24"/>
          <w:szCs w:val="24"/>
        </w:rPr>
        <w:t>Good Standing</w:t>
      </w:r>
      <w:r w:rsidR="1E51ACD1" w:rsidRPr="00910892">
        <w:rPr>
          <w:rFonts w:cs="Calibri"/>
          <w:sz w:val="24"/>
          <w:szCs w:val="24"/>
        </w:rPr>
        <w:t>”</w:t>
      </w:r>
      <w:r w:rsidRPr="00910892">
        <w:rPr>
          <w:rFonts w:cs="Calibri"/>
          <w:sz w:val="24"/>
          <w:szCs w:val="24"/>
        </w:rPr>
        <w:t xml:space="preserve"> with IHFA, have demonstrated experience and capacity to own, develop, manage, and market federally assisted rental housing, and are familiar with the requirements of other federal housing programs that may be used in conjunction with CPD funds. These requirements help to ensure compliance with applicable requirements and regulations. Demonstrated experience includes completing previous projects on time, within approved </w:t>
      </w:r>
      <w:r w:rsidRPr="00910892">
        <w:rPr>
          <w:rFonts w:cs="Calibri"/>
          <w:sz w:val="24"/>
          <w:szCs w:val="24"/>
        </w:rPr>
        <w:lastRenderedPageBreak/>
        <w:t>budget, with no outstanding material findings or non-compliance during the period of affordability.</w:t>
      </w:r>
    </w:p>
    <w:p w14:paraId="7489AEF1" w14:textId="77777777" w:rsidR="009A2C2E" w:rsidRPr="00910892" w:rsidRDefault="009A2C2E" w:rsidP="00910892">
      <w:pPr>
        <w:jc w:val="both"/>
        <w:rPr>
          <w:rFonts w:cs="Calibri"/>
          <w:sz w:val="24"/>
          <w:szCs w:val="24"/>
        </w:rPr>
      </w:pPr>
      <w:r w:rsidRPr="00910892">
        <w:rPr>
          <w:rFonts w:cs="Calibri"/>
          <w:sz w:val="24"/>
          <w:szCs w:val="24"/>
        </w:rPr>
        <w:t xml:space="preserve">b. Describe the grantee’s application requirements for eligible recipients to apply for HTF funds.  If not distributing funds by selecting applications submitted by eligible recipients, enter “N/A”. </w:t>
      </w:r>
    </w:p>
    <w:p w14:paraId="61093ED9" w14:textId="1533D7A0" w:rsidR="009A2C2E" w:rsidRPr="00910892" w:rsidRDefault="009A2C2E" w:rsidP="00910892">
      <w:pPr>
        <w:keepNext/>
        <w:widowControl w:val="0"/>
        <w:spacing w:beforeAutospacing="1" w:afterAutospacing="1"/>
        <w:jc w:val="both"/>
        <w:rPr>
          <w:rFonts w:cs="Calibri"/>
          <w:b/>
          <w:sz w:val="24"/>
          <w:szCs w:val="24"/>
        </w:rPr>
      </w:pPr>
      <w:r w:rsidRPr="00910892">
        <w:rPr>
          <w:rFonts w:cs="Calibri"/>
          <w:sz w:val="24"/>
          <w:szCs w:val="24"/>
        </w:rPr>
        <w:t>MINIMUM APPLICATION THRESHOLD CRITERIA</w:t>
      </w:r>
    </w:p>
    <w:p w14:paraId="3ABCE8DE" w14:textId="6F8C3418"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CPA audited financial statements</w:t>
      </w:r>
      <w:r w:rsidR="00142C08">
        <w:rPr>
          <w:rFonts w:cs="Calibri"/>
          <w:sz w:val="24"/>
          <w:szCs w:val="24"/>
        </w:rPr>
        <w:t xml:space="preserve">. </w:t>
      </w:r>
      <w:r w:rsidRPr="00910892">
        <w:rPr>
          <w:rFonts w:cs="Calibri"/>
          <w:sz w:val="24"/>
          <w:szCs w:val="24"/>
        </w:rPr>
        <w:t xml:space="preserve"> </w:t>
      </w:r>
      <w:r w:rsidR="00142C08">
        <w:rPr>
          <w:rFonts w:cs="Calibri"/>
          <w:sz w:val="24"/>
          <w:szCs w:val="24"/>
        </w:rPr>
        <w:t>F</w:t>
      </w:r>
      <w:r w:rsidRPr="00910892">
        <w:rPr>
          <w:rFonts w:cs="Calibri"/>
          <w:sz w:val="24"/>
          <w:szCs w:val="24"/>
        </w:rPr>
        <w:t>or prior year-end</w:t>
      </w:r>
      <w:r w:rsidR="00142C08">
        <w:rPr>
          <w:rFonts w:cs="Calibri"/>
          <w:sz w:val="24"/>
          <w:szCs w:val="24"/>
        </w:rPr>
        <w:t xml:space="preserve">, CPA audited financial </w:t>
      </w:r>
      <w:proofErr w:type="spellStart"/>
      <w:r w:rsidR="00142C08">
        <w:rPr>
          <w:rFonts w:cs="Calibri"/>
          <w:sz w:val="24"/>
          <w:szCs w:val="24"/>
        </w:rPr>
        <w:t>Statment</w:t>
      </w:r>
      <w:proofErr w:type="spellEnd"/>
      <w:r w:rsidRPr="00910892">
        <w:rPr>
          <w:rFonts w:cs="Calibri"/>
          <w:sz w:val="24"/>
          <w:szCs w:val="24"/>
        </w:rPr>
        <w:t xml:space="preserve"> is not required if the entity is newly formed. The HOME Department will use the financial statement to help determine if the recipient has adequate financial management systems and practices in place, and sufficient financial resources to carry out the project to completion, including positive net income for the most recent year end.</w:t>
      </w:r>
    </w:p>
    <w:p w14:paraId="7C3E64E9" w14:textId="76EE1967"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Capital Needs Assessment for all acquisition and/or rehabilitation activities</w:t>
      </w:r>
      <w:r w:rsidR="002404BD">
        <w:rPr>
          <w:rFonts w:cs="Calibri"/>
          <w:sz w:val="24"/>
          <w:szCs w:val="24"/>
        </w:rPr>
        <w:t>.</w:t>
      </w:r>
    </w:p>
    <w:p w14:paraId="00B23DCD" w14:textId="77777777"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Exhibit S- Site Selection and Environmental Checklist.  Previously, submission of this form was recommended, but is now required as part of the application. </w:t>
      </w:r>
    </w:p>
    <w:p w14:paraId="50F99E63" w14:textId="77777777"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Language Access Plan for Limited English Proficient (LEP) Persons.  See chapter 6 for LEP requirements.</w:t>
      </w:r>
    </w:p>
    <w:p w14:paraId="133E2FA9" w14:textId="2EE9D161"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Section 3 and MBE/WBE Developer Plan</w:t>
      </w:r>
      <w:r w:rsidR="002404BD">
        <w:rPr>
          <w:rFonts w:cs="Calibri"/>
          <w:sz w:val="24"/>
          <w:szCs w:val="24"/>
        </w:rPr>
        <w:t>.</w:t>
      </w:r>
    </w:p>
    <w:p w14:paraId="53B7105A" w14:textId="3509C8E4"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 xml:space="preserve">Independent </w:t>
      </w:r>
      <w:proofErr w:type="gramStart"/>
      <w:r w:rsidRPr="00910892">
        <w:rPr>
          <w:rFonts w:cs="Calibri"/>
          <w:sz w:val="24"/>
          <w:szCs w:val="24"/>
        </w:rPr>
        <w:t>third Party</w:t>
      </w:r>
      <w:proofErr w:type="gramEnd"/>
      <w:r w:rsidRPr="00910892">
        <w:rPr>
          <w:rFonts w:cs="Calibri"/>
          <w:sz w:val="24"/>
          <w:szCs w:val="24"/>
        </w:rPr>
        <w:t xml:space="preserve"> Capital Needs Assessment- Required for </w:t>
      </w:r>
      <w:r w:rsidRPr="00910892">
        <w:rPr>
          <w:rFonts w:cs="Calibri"/>
          <w:sz w:val="24"/>
          <w:szCs w:val="24"/>
          <w:u w:val="single"/>
        </w:rPr>
        <w:t>all</w:t>
      </w:r>
      <w:r w:rsidRPr="00910892">
        <w:rPr>
          <w:rFonts w:cs="Calibri"/>
          <w:sz w:val="24"/>
          <w:szCs w:val="24"/>
        </w:rPr>
        <w:t xml:space="preserve"> projects</w:t>
      </w:r>
      <w:r w:rsidR="002404BD">
        <w:rPr>
          <w:rFonts w:cs="Calibri"/>
          <w:sz w:val="24"/>
          <w:szCs w:val="24"/>
        </w:rPr>
        <w:t>.</w:t>
      </w:r>
    </w:p>
    <w:p w14:paraId="30FB421C" w14:textId="49C5E564"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Operating Costs – Minimum operating costs per unit per year benchmarks</w:t>
      </w:r>
      <w:r w:rsidR="002404BD">
        <w:rPr>
          <w:rFonts w:cs="Calibri"/>
          <w:sz w:val="24"/>
          <w:szCs w:val="24"/>
        </w:rPr>
        <w:t>.</w:t>
      </w:r>
    </w:p>
    <w:p w14:paraId="3223F7DA" w14:textId="7280426F"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Market Study.  </w:t>
      </w:r>
      <w:r w:rsidR="002404BD">
        <w:rPr>
          <w:rFonts w:cs="Calibri"/>
          <w:sz w:val="24"/>
          <w:szCs w:val="24"/>
        </w:rPr>
        <w:t>S</w:t>
      </w:r>
      <w:r w:rsidRPr="00910892">
        <w:rPr>
          <w:rFonts w:cs="Calibri"/>
          <w:sz w:val="24"/>
          <w:szCs w:val="24"/>
        </w:rPr>
        <w:t>ee Exhibit M for requirements</w:t>
      </w:r>
    </w:p>
    <w:p w14:paraId="28E82B35" w14:textId="74BD3BAB"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Affirmatively Furthering Fair Housing (AFFH) Resolution adopted by the proposed project’s unit of local government (City or County) depending on the location of the project)</w:t>
      </w:r>
      <w:r w:rsidR="00C83C27">
        <w:rPr>
          <w:rFonts w:cs="Calibri"/>
          <w:sz w:val="24"/>
          <w:szCs w:val="24"/>
        </w:rPr>
        <w:t>.</w:t>
      </w:r>
      <w:r w:rsidRPr="00910892">
        <w:rPr>
          <w:rFonts w:cs="Calibri"/>
          <w:sz w:val="24"/>
          <w:szCs w:val="24"/>
        </w:rPr>
        <w:t xml:space="preserve"> Resolution should be no more than 5 years old.  Refer to Chapter 6 and Exhibit F for requirements that should be included in resolution. </w:t>
      </w:r>
      <w:r w:rsidR="00A54170" w:rsidRPr="00910892">
        <w:rPr>
          <w:rFonts w:cs="Calibri"/>
          <w:sz w:val="24"/>
          <w:szCs w:val="24"/>
        </w:rPr>
        <w:t xml:space="preserve">If the local government does not have an affirmatively furthering fair housing plan, the developer may adopt </w:t>
      </w:r>
      <w:proofErr w:type="gramStart"/>
      <w:r w:rsidR="00A54170" w:rsidRPr="00910892">
        <w:rPr>
          <w:rFonts w:cs="Calibri"/>
          <w:sz w:val="24"/>
          <w:szCs w:val="24"/>
        </w:rPr>
        <w:t>action’s</w:t>
      </w:r>
      <w:proofErr w:type="gramEnd"/>
      <w:r w:rsidR="00A54170" w:rsidRPr="00910892">
        <w:rPr>
          <w:rFonts w:cs="Calibri"/>
          <w:sz w:val="24"/>
          <w:szCs w:val="24"/>
        </w:rPr>
        <w:t xml:space="preserve"> to support IHFAs AI.</w:t>
      </w:r>
    </w:p>
    <w:p w14:paraId="6DCE4EE4" w14:textId="1B1EB8C5"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Fair Housing Requirements</w:t>
      </w:r>
      <w:r w:rsidR="00C83C27">
        <w:rPr>
          <w:rFonts w:cs="Calibri"/>
          <w:sz w:val="24"/>
          <w:szCs w:val="24"/>
        </w:rPr>
        <w:t>.</w:t>
      </w:r>
      <w:r w:rsidRPr="00910892">
        <w:rPr>
          <w:rFonts w:cs="Calibri"/>
          <w:sz w:val="24"/>
          <w:szCs w:val="24"/>
        </w:rPr>
        <w:t xml:space="preserve"> If the proposed activity will be located in a CDBG Non-Entitlement area, then submit the local jurisdiction's most recent Fair Housing Assessment Plan reviewed by the State of Idaho's CDBG Program (Idaho Department of Commerce);  </w:t>
      </w:r>
      <w:r w:rsidRPr="00C83C27">
        <w:rPr>
          <w:rFonts w:cs="Calibri"/>
          <w:b/>
          <w:bCs/>
          <w:sz w:val="24"/>
          <w:szCs w:val="24"/>
        </w:rPr>
        <w:t>or   </w:t>
      </w:r>
      <w:r w:rsidRPr="00C83C27">
        <w:rPr>
          <w:rFonts w:cs="Calibri"/>
          <w:sz w:val="24"/>
          <w:szCs w:val="24"/>
        </w:rPr>
        <w:t xml:space="preserve">  </w:t>
      </w:r>
      <w:r w:rsidRPr="00910892">
        <w:rPr>
          <w:rFonts w:cs="Calibri"/>
          <w:sz w:val="24"/>
          <w:szCs w:val="24"/>
        </w:rPr>
        <w:t>If the proposed activity will be located in a CDBG Entitlement Area (Boise, Nampa, Meridian, Lewiston, Coeur d'Alene, Idaho Falls, Caldwell, and Pocatello, and Twin Falls), submit that city's most recent Analysis of Impediments To Affirmatively Further Fair Housing.</w:t>
      </w:r>
    </w:p>
    <w:p w14:paraId="1EB57B57" w14:textId="77777777"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 xml:space="preserve">Evidence the recipient has the experience and capacity to begin construction within 12 months and complete the project within a reasonable </w:t>
      </w:r>
      <w:proofErr w:type="gramStart"/>
      <w:r w:rsidRPr="00910892">
        <w:rPr>
          <w:rFonts w:cs="Calibri"/>
          <w:sz w:val="24"/>
          <w:szCs w:val="24"/>
        </w:rPr>
        <w:t>time period</w:t>
      </w:r>
      <w:proofErr w:type="gramEnd"/>
      <w:r w:rsidRPr="00910892">
        <w:rPr>
          <w:rFonts w:cs="Calibri"/>
          <w:sz w:val="24"/>
          <w:szCs w:val="24"/>
        </w:rPr>
        <w:t xml:space="preserve">. A narrative should be included in the application detailing the experience and not just a list of past projects and </w:t>
      </w:r>
      <w:r w:rsidRPr="00910892">
        <w:rPr>
          <w:rFonts w:cs="Calibri"/>
          <w:sz w:val="24"/>
          <w:szCs w:val="24"/>
        </w:rPr>
        <w:lastRenderedPageBreak/>
        <w:t>resumé.</w:t>
      </w:r>
    </w:p>
    <w:p w14:paraId="33496B7C" w14:textId="77777777"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 xml:space="preserve">Evidence of site control that complies with the Uniform Relocation Assistance and Real Property Acquisition Policies Act of 1970 and Environmental Review </w:t>
      </w:r>
      <w:proofErr w:type="gramStart"/>
      <w:r w:rsidRPr="00910892">
        <w:rPr>
          <w:rFonts w:cs="Calibri"/>
          <w:sz w:val="24"/>
          <w:szCs w:val="24"/>
        </w:rPr>
        <w:t>Procedure  24</w:t>
      </w:r>
      <w:proofErr w:type="gramEnd"/>
      <w:r w:rsidRPr="00910892">
        <w:rPr>
          <w:rFonts w:cs="Calibri"/>
          <w:sz w:val="24"/>
          <w:szCs w:val="24"/>
        </w:rPr>
        <w:t xml:space="preserve"> CFR §58.22  </w:t>
      </w:r>
    </w:p>
    <w:p w14:paraId="22AD3456" w14:textId="6044732B" w:rsidR="009A2C2E" w:rsidRPr="00910892" w:rsidRDefault="00C83C27" w:rsidP="00910892">
      <w:pPr>
        <w:keepNext/>
        <w:widowControl w:val="0"/>
        <w:numPr>
          <w:ilvl w:val="0"/>
          <w:numId w:val="12"/>
        </w:numPr>
        <w:spacing w:beforeAutospacing="1" w:afterAutospacing="1"/>
        <w:jc w:val="both"/>
        <w:rPr>
          <w:rFonts w:cs="Calibri"/>
          <w:b/>
          <w:sz w:val="24"/>
          <w:szCs w:val="24"/>
        </w:rPr>
      </w:pPr>
      <w:r>
        <w:rPr>
          <w:rFonts w:cs="Calibri"/>
          <w:sz w:val="24"/>
          <w:szCs w:val="24"/>
        </w:rPr>
        <w:t xml:space="preserve">Green Standards. </w:t>
      </w:r>
      <w:r w:rsidR="009A2C2E" w:rsidRPr="00910892">
        <w:rPr>
          <w:rFonts w:cs="Calibri"/>
          <w:sz w:val="24"/>
          <w:szCs w:val="24"/>
        </w:rPr>
        <w:t>Must meet one of four Green Building Design Standards or certifications: Energy Star, LEED, Enterprise Green Communities, and/or IHFA Green Building Standards. Once the standard is selected the proposed project may not change the standard.</w:t>
      </w:r>
    </w:p>
    <w:p w14:paraId="69BD9B3C" w14:textId="77777777"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Request for Release of Information. To all/any outside agencies the recipient has an active project(s)</w:t>
      </w:r>
    </w:p>
    <w:p w14:paraId="29F93E64" w14:textId="22F789BE"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Pro forma</w:t>
      </w:r>
      <w:r w:rsidR="00A318F4">
        <w:rPr>
          <w:rFonts w:cs="Calibri"/>
          <w:sz w:val="24"/>
          <w:szCs w:val="24"/>
        </w:rPr>
        <w:t>.</w:t>
      </w:r>
      <w:r w:rsidRPr="00910892">
        <w:rPr>
          <w:rFonts w:cs="Calibri"/>
          <w:sz w:val="24"/>
          <w:szCs w:val="24"/>
        </w:rPr>
        <w:t xml:space="preserve"> All operating costs and revenues must be in sufficient detail to compare line items against properties that are similar in physical type and size, so that the HOME Department may determine whether the planned expenditures are sufficient and reasonable.</w:t>
      </w:r>
    </w:p>
    <w:p w14:paraId="59DB43E4" w14:textId="7462AEFF"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Minimum Match Requirement of 10% requested loan amount-HOME Only</w:t>
      </w:r>
      <w:r w:rsidR="00A318F4">
        <w:rPr>
          <w:rFonts w:cs="Calibri"/>
          <w:sz w:val="24"/>
          <w:szCs w:val="24"/>
        </w:rPr>
        <w:t>.</w:t>
      </w:r>
    </w:p>
    <w:p w14:paraId="4BC85932" w14:textId="3B745AD1"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Subsidy Layering sheet</w:t>
      </w:r>
      <w:r w:rsidR="00A318F4">
        <w:rPr>
          <w:rFonts w:cs="Calibri"/>
          <w:sz w:val="24"/>
          <w:szCs w:val="24"/>
        </w:rPr>
        <w:t>.</w:t>
      </w:r>
    </w:p>
    <w:p w14:paraId="6012A50F" w14:textId="38929464"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Funding Commitments</w:t>
      </w:r>
      <w:r w:rsidR="00A318F4">
        <w:rPr>
          <w:rFonts w:cs="Calibri"/>
          <w:sz w:val="24"/>
          <w:szCs w:val="24"/>
        </w:rPr>
        <w:t xml:space="preserve">. </w:t>
      </w:r>
      <w:r w:rsidRPr="00910892">
        <w:rPr>
          <w:rFonts w:cs="Calibri"/>
          <w:sz w:val="24"/>
          <w:szCs w:val="24"/>
        </w:rPr>
        <w:t xml:space="preserve">To receive the points, the application must include a written commitment from </w:t>
      </w:r>
      <w:r w:rsidRPr="00910892">
        <w:rPr>
          <w:rFonts w:cs="Calibri"/>
          <w:b/>
          <w:sz w:val="24"/>
          <w:szCs w:val="24"/>
        </w:rPr>
        <w:t>all</w:t>
      </w:r>
      <w:r w:rsidRPr="00910892">
        <w:rPr>
          <w:rFonts w:cs="Calibri"/>
          <w:sz w:val="24"/>
          <w:szCs w:val="24"/>
        </w:rPr>
        <w:t xml:space="preserve"> proposed funding sources (excluding HOME, HTF, and LIHTC). An application that does not include evidence of commitments will not be underwritten and be deemed incomplete.</w:t>
      </w:r>
    </w:p>
    <w:p w14:paraId="46531EBE" w14:textId="4183CA46" w:rsidR="009A2C2E" w:rsidRPr="00910892" w:rsidRDefault="009A2C2E" w:rsidP="00910892">
      <w:pPr>
        <w:keepNext/>
        <w:widowControl w:val="0"/>
        <w:numPr>
          <w:ilvl w:val="0"/>
          <w:numId w:val="12"/>
        </w:numPr>
        <w:spacing w:beforeAutospacing="1" w:afterAutospacing="1"/>
        <w:jc w:val="both"/>
        <w:rPr>
          <w:rFonts w:cs="Calibri"/>
          <w:b/>
          <w:sz w:val="24"/>
          <w:szCs w:val="24"/>
        </w:rPr>
      </w:pPr>
      <w:r w:rsidRPr="00910892">
        <w:rPr>
          <w:rFonts w:cs="Calibri"/>
          <w:sz w:val="24"/>
          <w:szCs w:val="24"/>
        </w:rPr>
        <w:t>Project Narrative Description</w:t>
      </w:r>
      <w:r w:rsidR="00A318F4">
        <w:rPr>
          <w:rFonts w:cs="Calibri"/>
          <w:sz w:val="24"/>
          <w:szCs w:val="24"/>
        </w:rPr>
        <w:t>.</w:t>
      </w:r>
    </w:p>
    <w:p w14:paraId="7DCF473F" w14:textId="77777777" w:rsidR="009A2C2E" w:rsidRPr="00910892" w:rsidRDefault="009A2C2E" w:rsidP="00910892">
      <w:pPr>
        <w:jc w:val="both"/>
        <w:rPr>
          <w:rFonts w:cs="Calibri"/>
          <w:sz w:val="24"/>
          <w:szCs w:val="24"/>
        </w:rPr>
      </w:pPr>
    </w:p>
    <w:p w14:paraId="13ED2F21" w14:textId="77777777" w:rsidR="009A2C2E" w:rsidRPr="00910892" w:rsidRDefault="009A2C2E" w:rsidP="00910892">
      <w:pPr>
        <w:jc w:val="both"/>
        <w:rPr>
          <w:rFonts w:cs="Calibri"/>
          <w:b/>
          <w:bCs/>
          <w:sz w:val="24"/>
          <w:szCs w:val="24"/>
        </w:rPr>
      </w:pPr>
      <w:r w:rsidRPr="00910892">
        <w:rPr>
          <w:rFonts w:cs="Calibri"/>
          <w:b/>
          <w:bCs/>
          <w:sz w:val="24"/>
          <w:szCs w:val="24"/>
        </w:rPr>
        <w:t>c. Describe the selection criteria that the grantee will use to select applications submitted by eligible recipients.  If not distributing funds by selecting applications submitted by eligible recipients, enter “N/A”.</w:t>
      </w:r>
    </w:p>
    <w:p w14:paraId="0D35C68E" w14:textId="77777777" w:rsidR="009A2C2E" w:rsidRPr="00910892" w:rsidRDefault="009A2C2E" w:rsidP="00910892">
      <w:pPr>
        <w:keepNext/>
        <w:widowControl w:val="0"/>
        <w:spacing w:beforeAutospacing="1" w:afterAutospacing="1"/>
        <w:jc w:val="both"/>
        <w:rPr>
          <w:rFonts w:cs="Calibri"/>
          <w:b/>
          <w:sz w:val="24"/>
          <w:szCs w:val="24"/>
        </w:rPr>
      </w:pPr>
      <w:r w:rsidRPr="00910892">
        <w:rPr>
          <w:rFonts w:cs="Calibri"/>
          <w:sz w:val="24"/>
          <w:szCs w:val="24"/>
        </w:rPr>
        <w:t xml:space="preserve">In addition to the minimum threshold criteria described in 3.b. (above), HTF applications/proposals undergo receive a full review of additional criteria. This includes type, scope, and description of the project, per-unit investment, proposed project reserves, other proposed funding sources/programs, debt service coverage ratio, proposed loan or repayment structure, ownership structure, federal cross-cutting requirements, local planning and zoning approval, proposed tenant preference population(s), geographic diversity, development timeline, developer capacity, and proximity to essential services based on tenant population (based on proposed tenant population, i.e. elderly, family, special needs), green building, energy </w:t>
      </w:r>
      <w:r w:rsidRPr="00910892">
        <w:rPr>
          <w:rFonts w:cs="Calibri"/>
          <w:sz w:val="24"/>
          <w:szCs w:val="24"/>
        </w:rPr>
        <w:lastRenderedPageBreak/>
        <w:t>efficiency, site/unit design and amenities, additional units over minimum required, etc.</w:t>
      </w:r>
    </w:p>
    <w:p w14:paraId="630EE696" w14:textId="77777777" w:rsidR="009A2C2E" w:rsidRPr="00910892" w:rsidRDefault="009A2C2E" w:rsidP="00910892">
      <w:pPr>
        <w:jc w:val="both"/>
        <w:rPr>
          <w:rFonts w:cs="Calibri"/>
          <w:b/>
          <w:bCs/>
          <w:sz w:val="24"/>
          <w:szCs w:val="24"/>
        </w:rPr>
      </w:pPr>
      <w:r w:rsidRPr="00910892">
        <w:rPr>
          <w:rFonts w:cs="Calibri"/>
          <w:b/>
          <w:bCs/>
          <w:sz w:val="24"/>
          <w:szCs w:val="24"/>
        </w:rPr>
        <w:t>d. Describe the grantee’s required priority for funding based on geographic diversity (as defined by the grantee in the consolidated plan).  If not distributing funds by selecting applications submitted by eligible recipients, enter “N/A”.</w:t>
      </w:r>
    </w:p>
    <w:p w14:paraId="4DB100C0" w14:textId="77206EDC" w:rsidR="009A2C2E" w:rsidRPr="00910892" w:rsidRDefault="009A2C2E" w:rsidP="00910892">
      <w:pPr>
        <w:keepNext/>
        <w:widowControl w:val="0"/>
        <w:spacing w:beforeAutospacing="1" w:afterAutospacing="1"/>
        <w:jc w:val="both"/>
        <w:rPr>
          <w:rFonts w:cs="Calibri"/>
          <w:b/>
          <w:sz w:val="24"/>
          <w:szCs w:val="24"/>
        </w:rPr>
      </w:pPr>
      <w:r w:rsidRPr="00910892">
        <w:rPr>
          <w:rFonts w:cs="Calibri"/>
          <w:sz w:val="24"/>
          <w:szCs w:val="24"/>
        </w:rPr>
        <w:t xml:space="preserve">Geographic Diversity </w:t>
      </w:r>
      <w:r w:rsidR="3ADAB859" w:rsidRPr="00910892">
        <w:rPr>
          <w:rFonts w:cs="Calibri"/>
          <w:sz w:val="24"/>
          <w:szCs w:val="24"/>
        </w:rPr>
        <w:t>three (</w:t>
      </w:r>
      <w:r w:rsidR="7B270814" w:rsidRPr="00910892">
        <w:rPr>
          <w:rFonts w:cs="Calibri"/>
          <w:sz w:val="24"/>
          <w:szCs w:val="24"/>
        </w:rPr>
        <w:t>3</w:t>
      </w:r>
      <w:r w:rsidR="0E03304A" w:rsidRPr="00910892">
        <w:rPr>
          <w:rFonts w:cs="Calibri"/>
          <w:sz w:val="24"/>
          <w:szCs w:val="24"/>
        </w:rPr>
        <w:t>)</w:t>
      </w:r>
      <w:r w:rsidR="00A318F4">
        <w:rPr>
          <w:rFonts w:cs="Calibri"/>
          <w:sz w:val="24"/>
          <w:szCs w:val="24"/>
        </w:rPr>
        <w:t xml:space="preserve"> </w:t>
      </w:r>
      <w:r w:rsidR="7B270814" w:rsidRPr="00910892">
        <w:rPr>
          <w:rFonts w:cs="Calibri"/>
          <w:sz w:val="24"/>
          <w:szCs w:val="24"/>
        </w:rPr>
        <w:t>Pts</w:t>
      </w:r>
      <w:r w:rsidRPr="00910892">
        <w:rPr>
          <w:rFonts w:cs="Calibri"/>
          <w:sz w:val="24"/>
          <w:szCs w:val="24"/>
        </w:rPr>
        <w:t xml:space="preserve"> if Project </w:t>
      </w:r>
      <w:proofErr w:type="gramStart"/>
      <w:r w:rsidRPr="00910892">
        <w:rPr>
          <w:rFonts w:cs="Calibri"/>
          <w:sz w:val="24"/>
          <w:szCs w:val="24"/>
        </w:rPr>
        <w:t>is located in</w:t>
      </w:r>
      <w:proofErr w:type="gramEnd"/>
      <w:r w:rsidRPr="00910892">
        <w:rPr>
          <w:rFonts w:cs="Calibri"/>
          <w:sz w:val="24"/>
          <w:szCs w:val="24"/>
        </w:rPr>
        <w:t xml:space="preserve"> an Opportunity Incentive Area </w:t>
      </w:r>
    </w:p>
    <w:p w14:paraId="1A76B40C" w14:textId="7B4B52E0" w:rsidR="009A2C2E" w:rsidRPr="00910892" w:rsidRDefault="009A2C2E" w:rsidP="00910892">
      <w:pPr>
        <w:keepNext/>
        <w:widowControl w:val="0"/>
        <w:spacing w:beforeAutospacing="1" w:afterAutospacing="1"/>
        <w:jc w:val="both"/>
        <w:rPr>
          <w:rFonts w:cs="Calibri"/>
          <w:b/>
          <w:sz w:val="24"/>
          <w:szCs w:val="24"/>
        </w:rPr>
      </w:pPr>
      <w:r w:rsidRPr="00910892">
        <w:rPr>
          <w:rFonts w:cs="Calibri"/>
          <w:sz w:val="24"/>
          <w:szCs w:val="24"/>
        </w:rPr>
        <w:t xml:space="preserve">The project site </w:t>
      </w:r>
      <w:proofErr w:type="gramStart"/>
      <w:r w:rsidRPr="00910892">
        <w:rPr>
          <w:rFonts w:cs="Calibri"/>
          <w:sz w:val="24"/>
          <w:szCs w:val="24"/>
        </w:rPr>
        <w:t>is located in</w:t>
      </w:r>
      <w:proofErr w:type="gramEnd"/>
      <w:r w:rsidRPr="00910892">
        <w:rPr>
          <w:rFonts w:cs="Calibri"/>
          <w:sz w:val="24"/>
          <w:szCs w:val="24"/>
        </w:rPr>
        <w:t xml:space="preserve"> an </w:t>
      </w:r>
      <w:r w:rsidR="6AB72371" w:rsidRPr="00910892">
        <w:rPr>
          <w:rFonts w:cs="Calibri"/>
          <w:sz w:val="24"/>
          <w:szCs w:val="24"/>
        </w:rPr>
        <w:t>“</w:t>
      </w:r>
      <w:r w:rsidRPr="00910892">
        <w:rPr>
          <w:rFonts w:cs="Calibri"/>
          <w:sz w:val="24"/>
          <w:szCs w:val="24"/>
        </w:rPr>
        <w:t>Opportunity Incentive Area</w:t>
      </w:r>
      <w:r w:rsidR="7B270814" w:rsidRPr="00910892">
        <w:rPr>
          <w:rFonts w:cs="Calibri"/>
          <w:sz w:val="24"/>
          <w:szCs w:val="24"/>
        </w:rPr>
        <w:t>.</w:t>
      </w:r>
      <w:r w:rsidR="58714F75" w:rsidRPr="00910892">
        <w:rPr>
          <w:rFonts w:cs="Calibri"/>
          <w:sz w:val="24"/>
          <w:szCs w:val="24"/>
        </w:rPr>
        <w:t>”</w:t>
      </w:r>
      <w:r w:rsidR="7B270814" w:rsidRPr="00910892">
        <w:rPr>
          <w:rFonts w:cs="Calibri"/>
          <w:sz w:val="24"/>
          <w:szCs w:val="24"/>
        </w:rPr>
        <w:t xml:space="preserve"> </w:t>
      </w:r>
      <w:r w:rsidR="7B270814" w:rsidRPr="00910892">
        <w:rPr>
          <w:rFonts w:cs="Calibri"/>
          <w:i/>
          <w:iCs/>
          <w:sz w:val="24"/>
          <w:szCs w:val="24"/>
        </w:rPr>
        <w:t>(</w:t>
      </w:r>
      <w:r w:rsidR="248180E1" w:rsidRPr="00910892">
        <w:rPr>
          <w:rFonts w:cs="Calibri"/>
          <w:i/>
          <w:iCs/>
          <w:sz w:val="24"/>
          <w:szCs w:val="24"/>
        </w:rPr>
        <w:t xml:space="preserve">Meaning it </w:t>
      </w:r>
      <w:proofErr w:type="gramStart"/>
      <w:r w:rsidR="248180E1" w:rsidRPr="00910892">
        <w:rPr>
          <w:rFonts w:cs="Calibri"/>
          <w:i/>
          <w:iCs/>
          <w:sz w:val="24"/>
          <w:szCs w:val="24"/>
        </w:rPr>
        <w:t>is l</w:t>
      </w:r>
      <w:r w:rsidR="7B270814" w:rsidRPr="00910892">
        <w:rPr>
          <w:rFonts w:cs="Calibri"/>
          <w:i/>
          <w:iCs/>
          <w:sz w:val="24"/>
          <w:szCs w:val="24"/>
        </w:rPr>
        <w:t>ocated</w:t>
      </w:r>
      <w:r w:rsidRPr="00910892">
        <w:rPr>
          <w:rFonts w:cs="Calibri"/>
          <w:i/>
          <w:sz w:val="24"/>
          <w:szCs w:val="24"/>
        </w:rPr>
        <w:t xml:space="preserve"> in</w:t>
      </w:r>
      <w:proofErr w:type="gramEnd"/>
      <w:r w:rsidRPr="00910892">
        <w:rPr>
          <w:rFonts w:cs="Calibri"/>
          <w:i/>
          <w:sz w:val="24"/>
          <w:szCs w:val="24"/>
        </w:rPr>
        <w:t xml:space="preserve"> a census tract with a poverty rate that is less than or equal to the corresponding city's Persons in Poverty Rate. If the city's population is less than 5,000, or if the development </w:t>
      </w:r>
      <w:proofErr w:type="gramStart"/>
      <w:r w:rsidRPr="00910892">
        <w:rPr>
          <w:rFonts w:cs="Calibri"/>
          <w:i/>
          <w:sz w:val="24"/>
          <w:szCs w:val="24"/>
        </w:rPr>
        <w:t>is located in</w:t>
      </w:r>
      <w:proofErr w:type="gramEnd"/>
      <w:r w:rsidRPr="00910892">
        <w:rPr>
          <w:rFonts w:cs="Calibri"/>
          <w:i/>
          <w:sz w:val="24"/>
          <w:szCs w:val="24"/>
        </w:rPr>
        <w:t xml:space="preserve"> a census tract located outside of the corresponding city limits, then the site's census-tract poverty rate will be compared against the corresponding county's Persons in Poverty Rate.)</w:t>
      </w:r>
    </w:p>
    <w:p w14:paraId="56E5F238" w14:textId="77777777" w:rsidR="009A2C2E" w:rsidRPr="00910892" w:rsidRDefault="009A2C2E" w:rsidP="00910892">
      <w:pPr>
        <w:jc w:val="both"/>
        <w:rPr>
          <w:rFonts w:cs="Calibri"/>
          <w:sz w:val="24"/>
          <w:szCs w:val="24"/>
        </w:rPr>
      </w:pPr>
    </w:p>
    <w:p w14:paraId="4E8A4195" w14:textId="77777777" w:rsidR="009A2C2E" w:rsidRPr="00910892" w:rsidRDefault="009A2C2E" w:rsidP="00910892">
      <w:pPr>
        <w:jc w:val="both"/>
        <w:rPr>
          <w:rFonts w:cs="Calibri"/>
          <w:b/>
          <w:bCs/>
          <w:sz w:val="24"/>
          <w:szCs w:val="24"/>
        </w:rPr>
      </w:pPr>
      <w:r w:rsidRPr="00910892">
        <w:rPr>
          <w:rFonts w:cs="Calibri"/>
          <w:b/>
          <w:bCs/>
          <w:sz w:val="24"/>
          <w:szCs w:val="24"/>
        </w:rPr>
        <w:t>e. Describe the grantee’s required priority for funding based on the applicant's ability to obligate HTF funds and undertake eligible activities in a timely manner.  If not distributing funds by selecting applications submitted by eligible recipients, enter “N/A”.</w:t>
      </w:r>
    </w:p>
    <w:p w14:paraId="2902D8E8" w14:textId="2A44657F" w:rsidR="009A2C2E" w:rsidRPr="00910892" w:rsidRDefault="26922759" w:rsidP="00910892">
      <w:pPr>
        <w:keepNext/>
        <w:widowControl w:val="0"/>
        <w:spacing w:beforeAutospacing="1" w:afterAutospacing="1"/>
        <w:jc w:val="both"/>
        <w:rPr>
          <w:rFonts w:cs="Calibri"/>
          <w:sz w:val="24"/>
          <w:szCs w:val="24"/>
        </w:rPr>
      </w:pPr>
      <w:r w:rsidRPr="00910892">
        <w:rPr>
          <w:rFonts w:cs="Calibri"/>
          <w:sz w:val="24"/>
          <w:szCs w:val="24"/>
        </w:rPr>
        <w:t xml:space="preserve">The </w:t>
      </w:r>
      <w:r w:rsidR="009A2C2E" w:rsidRPr="00910892">
        <w:rPr>
          <w:rFonts w:cs="Calibri"/>
          <w:sz w:val="24"/>
          <w:szCs w:val="24"/>
        </w:rPr>
        <w:t xml:space="preserve">Minimum Threshold requirement </w:t>
      </w:r>
      <w:r w:rsidR="25F3D5C1" w:rsidRPr="00910892">
        <w:rPr>
          <w:rFonts w:cs="Calibri"/>
          <w:sz w:val="24"/>
          <w:szCs w:val="24"/>
        </w:rPr>
        <w:t xml:space="preserve">is </w:t>
      </w:r>
      <w:r w:rsidR="009A2C2E" w:rsidRPr="00910892">
        <w:rPr>
          <w:rFonts w:cs="Calibri"/>
          <w:sz w:val="24"/>
          <w:szCs w:val="24"/>
        </w:rPr>
        <w:t>described in 3b above.</w:t>
      </w:r>
    </w:p>
    <w:p w14:paraId="6D4805B5" w14:textId="77777777" w:rsidR="009A2C2E" w:rsidRPr="00910892" w:rsidRDefault="009A2C2E" w:rsidP="00910892">
      <w:pPr>
        <w:jc w:val="both"/>
        <w:rPr>
          <w:rFonts w:cs="Calibri"/>
          <w:b/>
          <w:bCs/>
          <w:sz w:val="24"/>
          <w:szCs w:val="24"/>
        </w:rPr>
      </w:pPr>
      <w:r w:rsidRPr="00910892">
        <w:rPr>
          <w:rFonts w:cs="Calibri"/>
          <w:b/>
          <w:bCs/>
          <w:sz w:val="24"/>
          <w:szCs w:val="24"/>
        </w:rPr>
        <w:t>f. Describe the grantee’s required priority for funding based on the extent to which the rental project has Federal, State, or local project-based rental assistance so that rents are affordable to extremely low-income families.  If not distributing funds by selecting applications submitted by eligible recipients, enter “N/A”.</w:t>
      </w:r>
    </w:p>
    <w:p w14:paraId="7F0FF141" w14:textId="49E43DC2" w:rsidR="009A2C2E" w:rsidRPr="00910892" w:rsidRDefault="009A2C2E" w:rsidP="00910892">
      <w:pPr>
        <w:keepNext/>
        <w:widowControl w:val="0"/>
        <w:spacing w:beforeAutospacing="1" w:afterAutospacing="1"/>
        <w:jc w:val="both"/>
        <w:rPr>
          <w:rFonts w:cs="Calibri"/>
          <w:b/>
          <w:sz w:val="24"/>
          <w:szCs w:val="24"/>
          <w:highlight w:val="yellow"/>
        </w:rPr>
      </w:pPr>
      <w:r w:rsidRPr="00910892">
        <w:rPr>
          <w:rFonts w:cs="Calibri"/>
          <w:sz w:val="24"/>
          <w:szCs w:val="24"/>
        </w:rPr>
        <w:t xml:space="preserve">Project Based Rental Assistance </w:t>
      </w:r>
      <w:r w:rsidR="56CC414A" w:rsidRPr="00910892">
        <w:rPr>
          <w:rFonts w:cs="Calibri"/>
          <w:sz w:val="24"/>
          <w:szCs w:val="24"/>
        </w:rPr>
        <w:t>three (</w:t>
      </w:r>
      <w:r w:rsidRPr="00910892">
        <w:rPr>
          <w:rFonts w:cs="Calibri"/>
          <w:sz w:val="24"/>
          <w:szCs w:val="24"/>
        </w:rPr>
        <w:t>3</w:t>
      </w:r>
      <w:r w:rsidR="7D42F827" w:rsidRPr="00910892">
        <w:rPr>
          <w:rFonts w:cs="Calibri"/>
          <w:sz w:val="24"/>
          <w:szCs w:val="24"/>
        </w:rPr>
        <w:t>)</w:t>
      </w:r>
      <w:r w:rsidRPr="00910892">
        <w:rPr>
          <w:rFonts w:cs="Calibri"/>
          <w:sz w:val="24"/>
          <w:szCs w:val="24"/>
        </w:rPr>
        <w:t xml:space="preserve"> pts</w:t>
      </w:r>
    </w:p>
    <w:p w14:paraId="21A7383C" w14:textId="4DC7E3EA" w:rsidR="009A2C2E" w:rsidRPr="00910892" w:rsidRDefault="4B9CC315" w:rsidP="00910892">
      <w:pPr>
        <w:keepNext/>
        <w:widowControl w:val="0"/>
        <w:spacing w:beforeAutospacing="1" w:afterAutospacing="1"/>
        <w:jc w:val="both"/>
        <w:rPr>
          <w:rFonts w:cs="Calibri"/>
          <w:b/>
          <w:sz w:val="24"/>
          <w:szCs w:val="24"/>
        </w:rPr>
      </w:pPr>
      <w:r w:rsidRPr="00910892">
        <w:rPr>
          <w:rFonts w:cs="Calibri"/>
          <w:sz w:val="24"/>
          <w:szCs w:val="24"/>
        </w:rPr>
        <w:t>The p</w:t>
      </w:r>
      <w:r w:rsidR="7B270814" w:rsidRPr="00910892">
        <w:rPr>
          <w:rFonts w:cs="Calibri"/>
          <w:sz w:val="24"/>
          <w:szCs w:val="24"/>
        </w:rPr>
        <w:t xml:space="preserve">roject </w:t>
      </w:r>
      <w:r w:rsidR="009A2C2E" w:rsidRPr="00910892">
        <w:rPr>
          <w:rFonts w:cs="Calibri"/>
          <w:sz w:val="24"/>
          <w:szCs w:val="24"/>
        </w:rPr>
        <w:t xml:space="preserve">has project based-rental assistance or other </w:t>
      </w:r>
      <w:r w:rsidR="00A54170" w:rsidRPr="00910892">
        <w:rPr>
          <w:rFonts w:cs="Calibri"/>
          <w:sz w:val="24"/>
          <w:szCs w:val="24"/>
        </w:rPr>
        <w:t>mechanisms</w:t>
      </w:r>
      <w:r w:rsidR="009A2C2E" w:rsidRPr="00910892">
        <w:rPr>
          <w:rFonts w:cs="Calibri"/>
          <w:sz w:val="24"/>
          <w:szCs w:val="24"/>
        </w:rPr>
        <w:t xml:space="preserve"> that ensure affordability.  If using vouchers a contract must be signed and in place to receive points.</w:t>
      </w:r>
    </w:p>
    <w:p w14:paraId="272525BF" w14:textId="77777777" w:rsidR="009A2C2E" w:rsidRPr="00910892" w:rsidRDefault="009A2C2E" w:rsidP="00910892">
      <w:pPr>
        <w:jc w:val="both"/>
        <w:rPr>
          <w:rFonts w:cs="Calibri"/>
          <w:b/>
          <w:bCs/>
          <w:sz w:val="24"/>
          <w:szCs w:val="24"/>
        </w:rPr>
      </w:pPr>
      <w:r w:rsidRPr="00910892">
        <w:rPr>
          <w:rFonts w:cs="Calibri"/>
          <w:b/>
          <w:bCs/>
          <w:sz w:val="24"/>
          <w:szCs w:val="24"/>
        </w:rPr>
        <w:t>g. Describe the grantee’s required priority for funding based on the financial feasibility of the project beyond the required 30-year period.  If not distributing funds by selecting applications submitted by eligible recipients, enter “N/A”.</w:t>
      </w:r>
    </w:p>
    <w:p w14:paraId="5725E2F5" w14:textId="4512572A" w:rsidR="009A2C2E" w:rsidRPr="00910892" w:rsidRDefault="009A2C2E" w:rsidP="00910892">
      <w:pPr>
        <w:keepNext/>
        <w:widowControl w:val="0"/>
        <w:spacing w:beforeAutospacing="1" w:afterAutospacing="1"/>
        <w:jc w:val="both"/>
        <w:rPr>
          <w:rFonts w:cs="Calibri"/>
          <w:b/>
          <w:sz w:val="24"/>
          <w:szCs w:val="24"/>
        </w:rPr>
      </w:pPr>
      <w:r w:rsidRPr="00910892">
        <w:rPr>
          <w:rFonts w:cs="Calibri"/>
          <w:sz w:val="24"/>
          <w:szCs w:val="24"/>
        </w:rPr>
        <w:t xml:space="preserve">No point selection criteria for extending past the </w:t>
      </w:r>
      <w:r w:rsidR="77ACCFB7" w:rsidRPr="00910892">
        <w:rPr>
          <w:rFonts w:cs="Calibri"/>
          <w:sz w:val="24"/>
          <w:szCs w:val="24"/>
        </w:rPr>
        <w:t>thirty (</w:t>
      </w:r>
      <w:r w:rsidRPr="00910892">
        <w:rPr>
          <w:rFonts w:cs="Calibri"/>
          <w:sz w:val="24"/>
          <w:szCs w:val="24"/>
        </w:rPr>
        <w:t>30</w:t>
      </w:r>
      <w:r w:rsidR="2FC868B8" w:rsidRPr="00910892">
        <w:rPr>
          <w:rFonts w:cs="Calibri"/>
          <w:sz w:val="24"/>
          <w:szCs w:val="24"/>
        </w:rPr>
        <w:t>)-</w:t>
      </w:r>
      <w:r w:rsidRPr="00910892">
        <w:rPr>
          <w:rFonts w:cs="Calibri"/>
          <w:sz w:val="24"/>
          <w:szCs w:val="24"/>
        </w:rPr>
        <w:t xml:space="preserve">year Period of Affordability. Financial feasibility is reviewed to ensure projects successfulness through the lifespan of all funding </w:t>
      </w:r>
      <w:r w:rsidRPr="00910892">
        <w:rPr>
          <w:rFonts w:cs="Calibri"/>
          <w:sz w:val="24"/>
          <w:szCs w:val="24"/>
        </w:rPr>
        <w:lastRenderedPageBreak/>
        <w:t>sources within the applicant</w:t>
      </w:r>
      <w:r w:rsidR="00A318F4">
        <w:rPr>
          <w:rFonts w:cs="Calibri"/>
          <w:sz w:val="24"/>
          <w:szCs w:val="24"/>
        </w:rPr>
        <w:t>’</w:t>
      </w:r>
      <w:r w:rsidRPr="00910892">
        <w:rPr>
          <w:rFonts w:cs="Calibri"/>
          <w:sz w:val="24"/>
          <w:szCs w:val="24"/>
        </w:rPr>
        <w:t>s proforma.</w:t>
      </w:r>
    </w:p>
    <w:p w14:paraId="6380B149" w14:textId="77777777" w:rsidR="009A2C2E" w:rsidRPr="00910892" w:rsidRDefault="009A2C2E" w:rsidP="00910892">
      <w:pPr>
        <w:jc w:val="both"/>
        <w:rPr>
          <w:rFonts w:cs="Calibri"/>
          <w:b/>
          <w:bCs/>
          <w:sz w:val="24"/>
          <w:szCs w:val="24"/>
        </w:rPr>
      </w:pPr>
      <w:r w:rsidRPr="00910892">
        <w:rPr>
          <w:rFonts w:cs="Calibri"/>
          <w:b/>
          <w:bCs/>
          <w:sz w:val="24"/>
          <w:szCs w:val="24"/>
        </w:rPr>
        <w:t>h. Describe the grantee’s required priority for funding based on the merits of the application in meeting the priority housing needs of the grantee (such as housing that is accessible to transit or employment centers, housing that includes green building and sustainable development features, or housing that serves special needs populations).  If not distributing funds by selecting applications submitted by eligible recipients, enter “N/A”.</w:t>
      </w:r>
    </w:p>
    <w:p w14:paraId="2FC8257B" w14:textId="77777777" w:rsidR="00A318F4" w:rsidRDefault="009A2C2E" w:rsidP="00910892">
      <w:pPr>
        <w:keepNext/>
        <w:widowControl w:val="0"/>
        <w:spacing w:beforeAutospacing="1" w:afterAutospacing="1"/>
        <w:jc w:val="both"/>
        <w:rPr>
          <w:rFonts w:cs="Calibri"/>
          <w:sz w:val="24"/>
          <w:szCs w:val="24"/>
        </w:rPr>
      </w:pPr>
      <w:r w:rsidRPr="00910892">
        <w:rPr>
          <w:rFonts w:cs="Calibri"/>
          <w:sz w:val="24"/>
          <w:szCs w:val="24"/>
        </w:rPr>
        <w:t xml:space="preserve">Project will provide a housing preference (minimum </w:t>
      </w:r>
      <w:r w:rsidR="2AC2EE55" w:rsidRPr="00910892">
        <w:rPr>
          <w:rFonts w:cs="Calibri"/>
          <w:sz w:val="24"/>
          <w:szCs w:val="24"/>
        </w:rPr>
        <w:t>three (</w:t>
      </w:r>
      <w:r w:rsidRPr="00910892">
        <w:rPr>
          <w:rFonts w:cs="Calibri"/>
          <w:sz w:val="24"/>
          <w:szCs w:val="24"/>
        </w:rPr>
        <w:t>3</w:t>
      </w:r>
      <w:r w:rsidR="2AC2EE55" w:rsidRPr="00910892">
        <w:rPr>
          <w:rFonts w:cs="Calibri"/>
          <w:sz w:val="24"/>
          <w:szCs w:val="24"/>
        </w:rPr>
        <w:t>)</w:t>
      </w:r>
      <w:r w:rsidRPr="00910892">
        <w:rPr>
          <w:rFonts w:cs="Calibri"/>
          <w:sz w:val="24"/>
          <w:szCs w:val="24"/>
        </w:rPr>
        <w:t xml:space="preserve"> units) for </w:t>
      </w:r>
      <w:r w:rsidR="08F30140" w:rsidRPr="00910892">
        <w:rPr>
          <w:rFonts w:cs="Calibri"/>
          <w:sz w:val="24"/>
          <w:szCs w:val="24"/>
        </w:rPr>
        <w:t>two (</w:t>
      </w:r>
      <w:r w:rsidRPr="00910892">
        <w:rPr>
          <w:rFonts w:cs="Calibri"/>
          <w:sz w:val="24"/>
          <w:szCs w:val="24"/>
        </w:rPr>
        <w:t>2</w:t>
      </w:r>
      <w:r w:rsidR="5A15AE32" w:rsidRPr="00910892">
        <w:rPr>
          <w:rFonts w:cs="Calibri"/>
          <w:sz w:val="24"/>
          <w:szCs w:val="24"/>
        </w:rPr>
        <w:t>)</w:t>
      </w:r>
      <w:r w:rsidRPr="00910892">
        <w:rPr>
          <w:rFonts w:cs="Calibri"/>
          <w:sz w:val="24"/>
          <w:szCs w:val="24"/>
        </w:rPr>
        <w:t xml:space="preserve"> of the </w:t>
      </w:r>
      <w:r w:rsidR="7D684C24" w:rsidRPr="00910892">
        <w:rPr>
          <w:rFonts w:cs="Calibri"/>
          <w:sz w:val="24"/>
          <w:szCs w:val="24"/>
        </w:rPr>
        <w:t>three (</w:t>
      </w:r>
      <w:r w:rsidRPr="00910892">
        <w:rPr>
          <w:rFonts w:cs="Calibri"/>
          <w:sz w:val="24"/>
          <w:szCs w:val="24"/>
        </w:rPr>
        <w:t>3</w:t>
      </w:r>
      <w:r w:rsidR="5E7354D3" w:rsidRPr="00910892">
        <w:rPr>
          <w:rFonts w:cs="Calibri"/>
          <w:sz w:val="24"/>
          <w:szCs w:val="24"/>
        </w:rPr>
        <w:t>)</w:t>
      </w:r>
      <w:r w:rsidRPr="00910892">
        <w:rPr>
          <w:rFonts w:cs="Calibri"/>
          <w:sz w:val="24"/>
          <w:szCs w:val="24"/>
        </w:rPr>
        <w:t xml:space="preserve"> Priority Housing Needs categories below, as identified in the Consolidated Plan. </w:t>
      </w:r>
      <w:r w:rsidR="0AF335E3" w:rsidRPr="00910892">
        <w:rPr>
          <w:rFonts w:cs="Calibri"/>
          <w:sz w:val="24"/>
          <w:szCs w:val="24"/>
        </w:rPr>
        <w:t>Three (</w:t>
      </w:r>
      <w:r w:rsidRPr="00910892">
        <w:rPr>
          <w:rFonts w:cs="Calibri"/>
          <w:sz w:val="24"/>
          <w:szCs w:val="24"/>
        </w:rPr>
        <w:t>3</w:t>
      </w:r>
      <w:r w:rsidR="0AF335E3" w:rsidRPr="00910892">
        <w:rPr>
          <w:rFonts w:cs="Calibri"/>
          <w:sz w:val="24"/>
          <w:szCs w:val="24"/>
        </w:rPr>
        <w:t>)</w:t>
      </w:r>
      <w:r w:rsidRPr="00910892">
        <w:rPr>
          <w:rFonts w:cs="Calibri"/>
          <w:sz w:val="24"/>
          <w:szCs w:val="24"/>
        </w:rPr>
        <w:t xml:space="preserve"> pts. </w:t>
      </w:r>
    </w:p>
    <w:p w14:paraId="2C3A1CDC" w14:textId="530F1E88" w:rsidR="00A318F4" w:rsidRPr="00A318F4" w:rsidRDefault="009A2C2E" w:rsidP="00A318F4">
      <w:pPr>
        <w:pStyle w:val="ListParagraph"/>
        <w:keepNext/>
        <w:widowControl w:val="0"/>
        <w:numPr>
          <w:ilvl w:val="0"/>
          <w:numId w:val="47"/>
        </w:numPr>
        <w:spacing w:beforeAutospacing="1" w:afterAutospacing="1"/>
        <w:jc w:val="both"/>
        <w:rPr>
          <w:rFonts w:cs="Calibri"/>
          <w:sz w:val="24"/>
          <w:szCs w:val="24"/>
        </w:rPr>
      </w:pPr>
      <w:r w:rsidRPr="00A318F4">
        <w:rPr>
          <w:rFonts w:cs="Calibri"/>
          <w:sz w:val="24"/>
          <w:szCs w:val="24"/>
        </w:rPr>
        <w:t xml:space="preserve">≤30% AMI (families or individuals) </w:t>
      </w:r>
    </w:p>
    <w:p w14:paraId="1C3D52A9" w14:textId="430B5F71" w:rsidR="00A318F4" w:rsidRPr="00A318F4" w:rsidRDefault="009A2C2E" w:rsidP="00A318F4">
      <w:pPr>
        <w:pStyle w:val="ListParagraph"/>
        <w:keepNext/>
        <w:widowControl w:val="0"/>
        <w:numPr>
          <w:ilvl w:val="0"/>
          <w:numId w:val="47"/>
        </w:numPr>
        <w:spacing w:beforeAutospacing="1" w:afterAutospacing="1"/>
        <w:jc w:val="both"/>
        <w:rPr>
          <w:rFonts w:cs="Calibri"/>
          <w:sz w:val="24"/>
          <w:szCs w:val="24"/>
        </w:rPr>
      </w:pPr>
      <w:r w:rsidRPr="00A318F4">
        <w:rPr>
          <w:rFonts w:cs="Calibri"/>
          <w:sz w:val="24"/>
          <w:szCs w:val="24"/>
        </w:rPr>
        <w:t xml:space="preserve">Elderly (at least one member of the household is </w:t>
      </w:r>
      <w:r w:rsidR="7B270814" w:rsidRPr="00A318F4">
        <w:rPr>
          <w:rFonts w:cs="Calibri"/>
          <w:sz w:val="24"/>
          <w:szCs w:val="24"/>
        </w:rPr>
        <w:t>age</w:t>
      </w:r>
      <w:r w:rsidR="6695C3BE" w:rsidRPr="00A318F4">
        <w:rPr>
          <w:rFonts w:cs="Calibri"/>
          <w:sz w:val="24"/>
          <w:szCs w:val="24"/>
        </w:rPr>
        <w:t xml:space="preserve">d </w:t>
      </w:r>
      <w:proofErr w:type="gramStart"/>
      <w:r w:rsidR="6FFCC59F" w:rsidRPr="00A318F4">
        <w:rPr>
          <w:rFonts w:cs="Calibri"/>
          <w:sz w:val="24"/>
          <w:szCs w:val="24"/>
        </w:rPr>
        <w:t>sixty two</w:t>
      </w:r>
      <w:proofErr w:type="gramEnd"/>
      <w:r w:rsidR="6FFCC59F" w:rsidRPr="00A318F4">
        <w:rPr>
          <w:rFonts w:cs="Calibri"/>
          <w:sz w:val="24"/>
          <w:szCs w:val="24"/>
        </w:rPr>
        <w:t xml:space="preserve"> (</w:t>
      </w:r>
      <w:r w:rsidRPr="00A318F4">
        <w:rPr>
          <w:rFonts w:cs="Calibri"/>
          <w:sz w:val="24"/>
          <w:szCs w:val="24"/>
        </w:rPr>
        <w:t>62</w:t>
      </w:r>
      <w:r w:rsidR="5E13ED62" w:rsidRPr="00A318F4">
        <w:rPr>
          <w:rFonts w:cs="Calibri"/>
          <w:sz w:val="24"/>
          <w:szCs w:val="24"/>
        </w:rPr>
        <w:t>)</w:t>
      </w:r>
      <w:r w:rsidR="6695C3BE" w:rsidRPr="00A318F4">
        <w:rPr>
          <w:rFonts w:cs="Calibri"/>
          <w:sz w:val="24"/>
          <w:szCs w:val="24"/>
        </w:rPr>
        <w:t xml:space="preserve"> and older.</w:t>
      </w:r>
      <w:r w:rsidRPr="00A318F4">
        <w:rPr>
          <w:rFonts w:cs="Calibri"/>
          <w:sz w:val="24"/>
          <w:szCs w:val="24"/>
        </w:rPr>
        <w:t xml:space="preserve"> </w:t>
      </w:r>
    </w:p>
    <w:p w14:paraId="5B1E2704" w14:textId="754BBFD3" w:rsidR="009A2C2E" w:rsidRPr="00A318F4" w:rsidRDefault="009A2C2E" w:rsidP="00A318F4">
      <w:pPr>
        <w:pStyle w:val="ListParagraph"/>
        <w:keepNext/>
        <w:widowControl w:val="0"/>
        <w:numPr>
          <w:ilvl w:val="0"/>
          <w:numId w:val="47"/>
        </w:numPr>
        <w:spacing w:beforeAutospacing="1" w:afterAutospacing="1"/>
        <w:jc w:val="both"/>
        <w:rPr>
          <w:rFonts w:cs="Calibri"/>
          <w:sz w:val="24"/>
          <w:szCs w:val="24"/>
        </w:rPr>
      </w:pPr>
      <w:r w:rsidRPr="00A318F4">
        <w:rPr>
          <w:rFonts w:cs="Calibri"/>
          <w:sz w:val="24"/>
          <w:szCs w:val="24"/>
        </w:rPr>
        <w:t>Disabled. </w:t>
      </w:r>
      <w:r w:rsidR="1FFCBE94" w:rsidRPr="00A318F4">
        <w:rPr>
          <w:rFonts w:cs="Calibri"/>
          <w:sz w:val="24"/>
          <w:szCs w:val="24"/>
        </w:rPr>
        <w:t>Two (</w:t>
      </w:r>
      <w:r w:rsidRPr="00A318F4">
        <w:rPr>
          <w:rFonts w:cs="Calibri"/>
          <w:sz w:val="24"/>
          <w:szCs w:val="24"/>
        </w:rPr>
        <w:t>2</w:t>
      </w:r>
      <w:r w:rsidR="26B89290" w:rsidRPr="00A318F4">
        <w:rPr>
          <w:rFonts w:cs="Calibri"/>
          <w:sz w:val="24"/>
          <w:szCs w:val="24"/>
        </w:rPr>
        <w:t>)</w:t>
      </w:r>
      <w:r w:rsidRPr="00A318F4">
        <w:rPr>
          <w:rFonts w:cs="Calibri"/>
          <w:sz w:val="24"/>
          <w:szCs w:val="24"/>
        </w:rPr>
        <w:t xml:space="preserve"> pts per identified preference.</w:t>
      </w:r>
    </w:p>
    <w:p w14:paraId="2ECBBB11" w14:textId="77777777" w:rsidR="009A2C2E" w:rsidRPr="00910892" w:rsidRDefault="009A2C2E" w:rsidP="00910892">
      <w:pPr>
        <w:jc w:val="both"/>
        <w:rPr>
          <w:rFonts w:cs="Calibri"/>
          <w:b/>
          <w:bCs/>
          <w:sz w:val="24"/>
          <w:szCs w:val="24"/>
        </w:rPr>
      </w:pPr>
      <w:r w:rsidRPr="00910892">
        <w:rPr>
          <w:rFonts w:cs="Calibri"/>
          <w:b/>
          <w:bCs/>
          <w:sz w:val="24"/>
          <w:szCs w:val="24"/>
        </w:rPr>
        <w:t>i. Describe the grantee’s required priority for funding based on the extent to which the application makes use of non-federal funding sources.  If not distributing funds by selecting applications submitted by eligible recipients, enter “N/A”.</w:t>
      </w:r>
    </w:p>
    <w:p w14:paraId="58D44341" w14:textId="521B3656" w:rsidR="009A2C2E" w:rsidRPr="00910892" w:rsidRDefault="009A2C2E" w:rsidP="00910892">
      <w:pPr>
        <w:keepNext/>
        <w:widowControl w:val="0"/>
        <w:spacing w:beforeAutospacing="1" w:afterAutospacing="1"/>
        <w:jc w:val="both"/>
        <w:rPr>
          <w:rFonts w:cs="Calibri"/>
          <w:sz w:val="24"/>
          <w:szCs w:val="24"/>
        </w:rPr>
      </w:pPr>
      <w:r w:rsidRPr="00910892">
        <w:rPr>
          <w:rFonts w:cs="Calibri"/>
          <w:sz w:val="24"/>
          <w:szCs w:val="24"/>
        </w:rPr>
        <w:t xml:space="preserve">To be considered, the application must document all sources of funding committed at the time the application is submitted. For scoring purposes, "commitment" is defined as a letter from the issuing entity and outlines the source of funding and the purpose of the </w:t>
      </w:r>
      <w:proofErr w:type="spellStart"/>
      <w:r w:rsidRPr="00910892">
        <w:rPr>
          <w:rFonts w:cs="Calibri"/>
          <w:sz w:val="24"/>
          <w:szCs w:val="24"/>
        </w:rPr>
        <w:t>fundng</w:t>
      </w:r>
      <w:proofErr w:type="spellEnd"/>
      <w:r w:rsidRPr="00910892">
        <w:rPr>
          <w:rFonts w:cs="Calibri"/>
          <w:sz w:val="24"/>
          <w:szCs w:val="24"/>
        </w:rPr>
        <w:t xml:space="preserve"> (permanent loan, construction loan, interim financing, etc.). </w:t>
      </w:r>
      <w:r w:rsidR="2C4DD729" w:rsidRPr="00910892">
        <w:rPr>
          <w:rFonts w:cs="Calibri"/>
          <w:sz w:val="24"/>
          <w:szCs w:val="24"/>
        </w:rPr>
        <w:t xml:space="preserve">The </w:t>
      </w:r>
      <w:r w:rsidRPr="00910892">
        <w:rPr>
          <w:rFonts w:cs="Calibri"/>
          <w:sz w:val="24"/>
          <w:szCs w:val="24"/>
        </w:rPr>
        <w:t xml:space="preserve">Minimum Threshold requirement </w:t>
      </w:r>
      <w:r w:rsidR="153470A2" w:rsidRPr="00910892">
        <w:rPr>
          <w:rFonts w:cs="Calibri"/>
          <w:sz w:val="24"/>
          <w:szCs w:val="24"/>
        </w:rPr>
        <w:t xml:space="preserve">is </w:t>
      </w:r>
      <w:r w:rsidRPr="00910892">
        <w:rPr>
          <w:rFonts w:cs="Calibri"/>
          <w:sz w:val="24"/>
          <w:szCs w:val="24"/>
        </w:rPr>
        <w:t>described in 3b above.</w:t>
      </w:r>
    </w:p>
    <w:p w14:paraId="62250AC6" w14:textId="77777777" w:rsidR="009A2C2E" w:rsidRPr="00910892" w:rsidRDefault="009A2C2E" w:rsidP="00910892">
      <w:pPr>
        <w:jc w:val="both"/>
        <w:rPr>
          <w:rFonts w:cs="Calibri"/>
          <w:b/>
          <w:bCs/>
          <w:sz w:val="24"/>
          <w:szCs w:val="24"/>
        </w:rPr>
      </w:pPr>
      <w:r w:rsidRPr="00910892">
        <w:rPr>
          <w:rFonts w:cs="Calibri"/>
          <w:b/>
          <w:bCs/>
          <w:sz w:val="24"/>
          <w:szCs w:val="24"/>
        </w:rPr>
        <w:t xml:space="preserve">4. Does the grantee’s application require the applicant to include a description of the eligible activities to be conducted with HTF funds?  If not distributing funds by selecting applications submitted by eligible recipients, select “N/A”.  </w:t>
      </w:r>
    </w:p>
    <w:p w14:paraId="421B38ED" w14:textId="2A0563D7" w:rsidR="009A2C2E" w:rsidRPr="00910892" w:rsidRDefault="009A2C2E" w:rsidP="00910892">
      <w:pPr>
        <w:spacing w:beforeAutospacing="1" w:afterAutospacing="1"/>
        <w:jc w:val="both"/>
        <w:rPr>
          <w:rFonts w:cs="Calibri"/>
          <w:sz w:val="24"/>
          <w:szCs w:val="24"/>
        </w:rPr>
      </w:pPr>
      <w:r w:rsidRPr="00910892">
        <w:rPr>
          <w:rFonts w:cs="Calibri"/>
          <w:sz w:val="24"/>
          <w:szCs w:val="24"/>
        </w:rPr>
        <w:t>Yes</w:t>
      </w:r>
      <w:r w:rsidR="5A6DD0F1" w:rsidRPr="00910892">
        <w:rPr>
          <w:rFonts w:cs="Calibri"/>
          <w:sz w:val="24"/>
          <w:szCs w:val="24"/>
        </w:rPr>
        <w:t>.</w:t>
      </w:r>
    </w:p>
    <w:p w14:paraId="2963C4A0" w14:textId="77777777" w:rsidR="009A2C2E" w:rsidRPr="00910892" w:rsidRDefault="009A2C2E" w:rsidP="00910892">
      <w:pPr>
        <w:jc w:val="both"/>
        <w:rPr>
          <w:rFonts w:cs="Calibri"/>
          <w:b/>
          <w:bCs/>
          <w:sz w:val="24"/>
          <w:szCs w:val="24"/>
        </w:rPr>
      </w:pPr>
      <w:r w:rsidRPr="00910892">
        <w:rPr>
          <w:rFonts w:cs="Calibri"/>
          <w:b/>
          <w:bCs/>
          <w:sz w:val="24"/>
          <w:szCs w:val="24"/>
        </w:rPr>
        <w:t>5. Does the grantee’s application require that each eligible recipient certify that housing units assisted with HTF funds will comply with HTF requirements?  If not distributing funds by selecting applications submitted by eligible recipients, select “N/A”.</w:t>
      </w:r>
    </w:p>
    <w:p w14:paraId="737AF082" w14:textId="4038E1C9" w:rsidR="009A2C2E" w:rsidRPr="00910892" w:rsidRDefault="009A2C2E" w:rsidP="00910892">
      <w:pPr>
        <w:spacing w:beforeAutospacing="1" w:afterAutospacing="1"/>
        <w:jc w:val="both"/>
        <w:rPr>
          <w:rFonts w:cs="Calibri"/>
          <w:sz w:val="24"/>
          <w:szCs w:val="24"/>
        </w:rPr>
      </w:pPr>
      <w:r w:rsidRPr="00910892">
        <w:rPr>
          <w:rFonts w:cs="Calibri"/>
          <w:sz w:val="24"/>
          <w:szCs w:val="24"/>
        </w:rPr>
        <w:t>Yes</w:t>
      </w:r>
      <w:r w:rsidR="4F6161D9" w:rsidRPr="00910892">
        <w:rPr>
          <w:rFonts w:cs="Calibri"/>
          <w:sz w:val="24"/>
          <w:szCs w:val="24"/>
        </w:rPr>
        <w:t>.</w:t>
      </w:r>
    </w:p>
    <w:p w14:paraId="4E69A8E1" w14:textId="77777777" w:rsidR="009A2C2E" w:rsidRPr="00910892" w:rsidRDefault="009A2C2E" w:rsidP="00910892">
      <w:pPr>
        <w:jc w:val="both"/>
        <w:rPr>
          <w:rFonts w:cs="Calibri"/>
          <w:sz w:val="24"/>
          <w:szCs w:val="24"/>
        </w:rPr>
      </w:pPr>
      <w:r w:rsidRPr="00910892">
        <w:rPr>
          <w:rFonts w:cs="Calibri"/>
          <w:sz w:val="24"/>
          <w:szCs w:val="24"/>
        </w:rPr>
        <w:t xml:space="preserve">6. </w:t>
      </w:r>
      <w:r w:rsidRPr="00910892">
        <w:rPr>
          <w:rFonts w:cs="Calibri"/>
          <w:b/>
          <w:sz w:val="24"/>
          <w:szCs w:val="24"/>
        </w:rPr>
        <w:t>Performance Goals and Benchmarks.</w:t>
      </w:r>
      <w:r w:rsidRPr="00910892">
        <w:rPr>
          <w:rFonts w:cs="Calibri"/>
          <w:sz w:val="24"/>
          <w:szCs w:val="24"/>
        </w:rPr>
        <w:t xml:space="preserve">  The grantee has met the requirement to provide for performance goals and benchmarks against which the grantee will measure its progress, consistent with the grantee’s goals established under 24 CFR 91.315(b)(2), by including HTF in its </w:t>
      </w:r>
      <w:r w:rsidRPr="00910892">
        <w:rPr>
          <w:rFonts w:cs="Calibri"/>
          <w:sz w:val="24"/>
          <w:szCs w:val="24"/>
        </w:rPr>
        <w:lastRenderedPageBreak/>
        <w:t xml:space="preserve">housing goals in the housing table on the SP-45 Goals and AP-20 Annual Goals and Objectives screens.  </w:t>
      </w:r>
    </w:p>
    <w:p w14:paraId="4680B11B" w14:textId="33A5E520" w:rsidR="009A2C2E" w:rsidRPr="00910892" w:rsidRDefault="009A2C2E" w:rsidP="00910892">
      <w:pPr>
        <w:spacing w:beforeAutospacing="1" w:afterAutospacing="1"/>
        <w:jc w:val="both"/>
        <w:rPr>
          <w:rFonts w:cs="Calibri"/>
          <w:sz w:val="24"/>
          <w:szCs w:val="24"/>
        </w:rPr>
      </w:pPr>
      <w:r w:rsidRPr="00910892">
        <w:rPr>
          <w:rFonts w:cs="Calibri"/>
          <w:sz w:val="24"/>
          <w:szCs w:val="24"/>
        </w:rPr>
        <w:t>Yes</w:t>
      </w:r>
      <w:r w:rsidR="3847EBBC" w:rsidRPr="00910892">
        <w:rPr>
          <w:rFonts w:cs="Calibri"/>
          <w:sz w:val="24"/>
          <w:szCs w:val="24"/>
        </w:rPr>
        <w:t>.</w:t>
      </w:r>
    </w:p>
    <w:p w14:paraId="52172BD4" w14:textId="77777777" w:rsidR="009A2C2E" w:rsidRPr="00910892" w:rsidRDefault="009A2C2E" w:rsidP="00910892">
      <w:pPr>
        <w:jc w:val="both"/>
        <w:rPr>
          <w:rFonts w:cs="Calibri"/>
          <w:sz w:val="24"/>
          <w:szCs w:val="24"/>
        </w:rPr>
      </w:pPr>
      <w:r w:rsidRPr="00910892">
        <w:rPr>
          <w:rFonts w:cs="Calibri"/>
          <w:sz w:val="24"/>
          <w:szCs w:val="24"/>
        </w:rPr>
        <w:t xml:space="preserve">7. </w:t>
      </w:r>
      <w:r w:rsidRPr="00910892">
        <w:rPr>
          <w:rFonts w:cs="Calibri"/>
          <w:b/>
          <w:sz w:val="24"/>
          <w:szCs w:val="24"/>
        </w:rPr>
        <w:t>Maximum Per-unit Development Subsidy Amount for Housing Assisted with HTF Funds.</w:t>
      </w:r>
      <w:r w:rsidRPr="00910892">
        <w:rPr>
          <w:rFonts w:cs="Calibri"/>
          <w:sz w:val="24"/>
          <w:szCs w:val="24"/>
        </w:rPr>
        <w:t xml:space="preserve">  Enter or attach the grantee’s maximum per-unit development subsidy limits for housing assisted with HTF funds.</w:t>
      </w:r>
    </w:p>
    <w:p w14:paraId="5DF947BE" w14:textId="77777777" w:rsidR="009A2C2E" w:rsidRPr="00910892" w:rsidRDefault="009A2C2E" w:rsidP="00910892">
      <w:pPr>
        <w:jc w:val="both"/>
        <w:rPr>
          <w:rFonts w:cs="Calibri"/>
          <w:sz w:val="24"/>
          <w:szCs w:val="24"/>
        </w:rPr>
      </w:pPr>
      <w:r w:rsidRPr="00910892">
        <w:rPr>
          <w:rFonts w:cs="Calibri"/>
          <w:sz w:val="24"/>
          <w:szCs w:val="24"/>
        </w:rPr>
        <w:t>The limits must be adjusted for the number of bedrooms and the geographic location of the project.  The limits must also be reasonable and based on actual costs of developing non-luxury housing in the area.</w:t>
      </w:r>
    </w:p>
    <w:p w14:paraId="3F423B29" w14:textId="77777777" w:rsidR="009A2C2E" w:rsidRPr="00910892" w:rsidRDefault="009A2C2E" w:rsidP="00910892">
      <w:pPr>
        <w:jc w:val="both"/>
        <w:rPr>
          <w:rFonts w:cs="Calibri"/>
          <w:sz w:val="24"/>
          <w:szCs w:val="24"/>
        </w:rPr>
      </w:pPr>
      <w:r w:rsidRPr="00910892">
        <w:rPr>
          <w:rFonts w:cs="Calibri"/>
          <w:sz w:val="24"/>
          <w:szCs w:val="24"/>
        </w:rPr>
        <w:t>If the grantee will use existing limits developed for other federal programs such as the Low Income Housing Tax Credit (LIHTC) per unit cost limits, HOME’s maximum per-unit subsidy amounts, and/or Public Housing Development Cost Limits (TDCs), it must include a description of how the HTF maximum per-unit development subsidy limits were established or a description of how existing limits developed for another program and being adopted for HTF meet the HTF requirements specified above.</w:t>
      </w:r>
    </w:p>
    <w:p w14:paraId="6AE46663" w14:textId="767DBE28" w:rsidR="009A2C2E" w:rsidRPr="00910892" w:rsidRDefault="009A2C2E" w:rsidP="00A318F4">
      <w:pPr>
        <w:spacing w:beforeAutospacing="1" w:afterAutospacing="1"/>
        <w:rPr>
          <w:rFonts w:cs="Calibri"/>
          <w:sz w:val="24"/>
          <w:szCs w:val="24"/>
        </w:rPr>
      </w:pPr>
      <w:r w:rsidRPr="00910892">
        <w:rPr>
          <w:rFonts w:cs="Calibri"/>
          <w:sz w:val="24"/>
          <w:szCs w:val="24"/>
        </w:rPr>
        <w:t>Idaho's HOME Maximum Per-unit Subsidy Limits are 240% of the base limit for the Section 234</w:t>
      </w:r>
      <w:r w:rsidR="00A54170" w:rsidRPr="00910892">
        <w:rPr>
          <w:rFonts w:cs="Calibri"/>
          <w:sz w:val="24"/>
          <w:szCs w:val="24"/>
        </w:rPr>
        <w:t xml:space="preserve"> limits..</w:t>
      </w:r>
      <w:r w:rsidRPr="00910892">
        <w:rPr>
          <w:rFonts w:cs="Calibri"/>
          <w:sz w:val="24"/>
          <w:szCs w:val="24"/>
        </w:rPr>
        <w:t>. In determining the most appropriate maximum per-unit subsidy limits for the HTF program, has determined the HOME Per-Unit Maximum Subsidy limits are an appropriate per-unit subsidy limit for the Housing Trust Fund Program.</w:t>
      </w:r>
      <w:r w:rsidRPr="00910892">
        <w:rPr>
          <w:rFonts w:cs="Calibri"/>
          <w:sz w:val="24"/>
          <w:szCs w:val="24"/>
        </w:rPr>
        <w:br/>
      </w:r>
      <w:r w:rsidRPr="00910892">
        <w:rPr>
          <w:rFonts w:cs="Calibri"/>
          <w:sz w:val="24"/>
          <w:szCs w:val="24"/>
        </w:rPr>
        <w:br/>
        <w:t xml:space="preserve">8. </w:t>
      </w:r>
      <w:r w:rsidRPr="00910892">
        <w:rPr>
          <w:rFonts w:cs="Calibri"/>
          <w:b/>
          <w:sz w:val="24"/>
          <w:szCs w:val="24"/>
        </w:rPr>
        <w:t>Rehabilitation Standards.</w:t>
      </w:r>
      <w:r w:rsidRPr="00910892">
        <w:rPr>
          <w:rFonts w:cs="Calibri"/>
          <w:sz w:val="24"/>
          <w:szCs w:val="24"/>
        </w:rPr>
        <w:t xml:space="preserve">  The grantee must establish rehabilitation standards for all HTF-assisted housing rehabilitation activities that set forth the requirements that the housing must meet upon project completion. The grantee’s description of its standards must be in sufficient detail to determine the required rehabilitation work including methods and materials.  The standards may refer to applicable codes or they may establish requirements that exceed the minimum requirements of the codes.  The grantee must attach its rehabilitation standards below.  </w:t>
      </w:r>
    </w:p>
    <w:p w14:paraId="3C81F833" w14:textId="7ABE4469" w:rsidR="009A2C2E" w:rsidRPr="00910892" w:rsidRDefault="009A2C2E" w:rsidP="00910892">
      <w:pPr>
        <w:jc w:val="both"/>
        <w:rPr>
          <w:rFonts w:cs="Calibri"/>
          <w:sz w:val="24"/>
          <w:szCs w:val="24"/>
        </w:rPr>
      </w:pPr>
      <w:r w:rsidRPr="00910892">
        <w:rPr>
          <w:rFonts w:cs="Calibri"/>
          <w:sz w:val="24"/>
          <w:szCs w:val="24"/>
        </w:rPr>
        <w:t>In addition, the rehabilitation standards must address each of the following: health and safety; major systems; lead-based paint; accessibility; disaster mitigation (where relevant); state and local codes, ordinances, and zoning requirements; Uniform Physical Condition Standards; Capital Needs Assessments (if applicable); and broadband infrastructure (if applicable).</w:t>
      </w:r>
      <w:bookmarkStart w:id="146" w:name="_bookmark16"/>
      <w:bookmarkStart w:id="147" w:name="_bookmark17"/>
      <w:bookmarkStart w:id="148" w:name="VI.__Other_Requirements"/>
      <w:bookmarkStart w:id="149" w:name="_bookmark18"/>
      <w:bookmarkStart w:id="150" w:name="_bookmark19"/>
      <w:bookmarkStart w:id="151" w:name="_bookmark20"/>
      <w:bookmarkEnd w:id="146"/>
      <w:bookmarkEnd w:id="147"/>
      <w:bookmarkEnd w:id="148"/>
      <w:bookmarkEnd w:id="149"/>
      <w:bookmarkEnd w:id="150"/>
      <w:bookmarkEnd w:id="151"/>
    </w:p>
    <w:p w14:paraId="611B8C66"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The HTF Rehabilitation Standards are available online in the 2024 Annual Administrative Plan Exhibit C-2 at https://www.idahohousing.com/federal-programs/home-program/</w:t>
      </w:r>
    </w:p>
    <w:p w14:paraId="78E61704" w14:textId="77777777" w:rsidR="009A2C2E" w:rsidRPr="00910892" w:rsidRDefault="009A2C2E" w:rsidP="00910892">
      <w:pPr>
        <w:jc w:val="both"/>
        <w:rPr>
          <w:rFonts w:cs="Calibri"/>
          <w:sz w:val="24"/>
          <w:szCs w:val="24"/>
        </w:rPr>
      </w:pPr>
      <w:r w:rsidRPr="00910892">
        <w:rPr>
          <w:rFonts w:cs="Calibri"/>
          <w:sz w:val="24"/>
          <w:szCs w:val="24"/>
        </w:rPr>
        <w:lastRenderedPageBreak/>
        <w:t xml:space="preserve">9. </w:t>
      </w:r>
      <w:r w:rsidRPr="00910892">
        <w:rPr>
          <w:rFonts w:cs="Calibri"/>
          <w:b/>
          <w:sz w:val="24"/>
          <w:szCs w:val="24"/>
        </w:rPr>
        <w:t>Resale or Recapture Guidelines.</w:t>
      </w:r>
      <w:r w:rsidRPr="00910892">
        <w:rPr>
          <w:rFonts w:cs="Calibri"/>
          <w:sz w:val="24"/>
          <w:szCs w:val="24"/>
        </w:rPr>
        <w:t xml:space="preserve">  Below, the grantee must enter (or attach) a description of the guidelines that will be used for resale or recapture of HTF funds when used to assist first-time homebuyers.  If the grantee will not use HTF funds to assist first-time homebuyers, enter “N/A”.  </w:t>
      </w:r>
    </w:p>
    <w:p w14:paraId="2E0DFF39"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N/A- Idaho's HTF program is not used for homebuyer activities.</w:t>
      </w:r>
    </w:p>
    <w:p w14:paraId="5A89FF5D" w14:textId="120040F4" w:rsidR="009A2C2E" w:rsidRPr="00910892" w:rsidRDefault="009A2C2E" w:rsidP="00910892">
      <w:pPr>
        <w:jc w:val="both"/>
        <w:rPr>
          <w:rFonts w:cs="Calibri"/>
          <w:sz w:val="24"/>
          <w:szCs w:val="24"/>
        </w:rPr>
      </w:pPr>
      <w:bookmarkStart w:id="152" w:name="_bookmark21"/>
      <w:bookmarkEnd w:id="152"/>
      <w:r w:rsidRPr="00910892">
        <w:rPr>
          <w:rFonts w:cs="Calibri"/>
          <w:bCs/>
          <w:sz w:val="24"/>
          <w:szCs w:val="24"/>
        </w:rPr>
        <w:t xml:space="preserve">10. </w:t>
      </w:r>
      <w:bookmarkStart w:id="153" w:name="_bookmark22"/>
      <w:bookmarkEnd w:id="153"/>
      <w:r w:rsidRPr="00910892">
        <w:rPr>
          <w:rFonts w:cs="Calibri"/>
          <w:b/>
          <w:sz w:val="24"/>
          <w:szCs w:val="24"/>
        </w:rPr>
        <w:t>HTF Affordable Homeownership Limits.</w:t>
      </w:r>
      <w:r w:rsidRPr="00910892">
        <w:rPr>
          <w:rFonts w:cs="Calibri"/>
          <w:sz w:val="24"/>
          <w:szCs w:val="24"/>
        </w:rPr>
        <w:t xml:space="preserve">  If the grantee intends to use HTF funds for homebuyer assistance and does not use the HTF affordable homeownership limits for the area provided by HUD, it must determine 95</w:t>
      </w:r>
      <w:r w:rsidR="78C2E67A" w:rsidRPr="00910892">
        <w:rPr>
          <w:rFonts w:cs="Calibri"/>
          <w:sz w:val="24"/>
          <w:szCs w:val="24"/>
        </w:rPr>
        <w:t>%</w:t>
      </w:r>
      <w:r w:rsidRPr="00910892">
        <w:rPr>
          <w:rFonts w:cs="Calibri"/>
          <w:sz w:val="24"/>
          <w:szCs w:val="24"/>
        </w:rPr>
        <w:t xml:space="preserve"> of the median area purchase price and set forth the information in accordance with §93.305.  If the grantee will not use HTF funds to assist first-time homebuyers, enter “N/A”.    </w:t>
      </w:r>
    </w:p>
    <w:p w14:paraId="7B166F78" w14:textId="77777777" w:rsidR="009A2C2E" w:rsidRPr="00910892" w:rsidRDefault="009A2C2E" w:rsidP="00910892">
      <w:pPr>
        <w:jc w:val="both"/>
        <w:rPr>
          <w:rFonts w:cs="Calibri"/>
          <w:sz w:val="24"/>
          <w:szCs w:val="24"/>
        </w:rPr>
      </w:pPr>
      <w:r w:rsidRPr="00910892">
        <w:rPr>
          <w:rFonts w:cs="Calibri"/>
          <w:sz w:val="24"/>
          <w:szCs w:val="24"/>
        </w:rPr>
        <w:t>Any limitation or preference must not violate nondiscrimination requirements in § 93.350, and the grantee must not limit or give preferences to students.  The grantee may permit rental housing owners to limit tenants or give a preference in accordance with § 93.303(d)(3) only if such limitation or preference is described in the action plan.</w:t>
      </w:r>
    </w:p>
    <w:p w14:paraId="76269DC8" w14:textId="77777777" w:rsidR="007814E7" w:rsidRDefault="009A2C2E" w:rsidP="00910892">
      <w:pPr>
        <w:spacing w:beforeAutospacing="1" w:afterAutospacing="1"/>
        <w:jc w:val="both"/>
        <w:rPr>
          <w:rFonts w:cs="Calibri"/>
          <w:sz w:val="24"/>
          <w:szCs w:val="24"/>
        </w:rPr>
      </w:pPr>
      <w:r w:rsidRPr="00910892">
        <w:rPr>
          <w:rFonts w:cs="Calibri"/>
          <w:sz w:val="24"/>
          <w:szCs w:val="24"/>
        </w:rPr>
        <w:t xml:space="preserve">Tenant Selection Criteria &amp; Preference Populations </w:t>
      </w:r>
    </w:p>
    <w:p w14:paraId="1270060E" w14:textId="77777777" w:rsidR="007814E7" w:rsidRDefault="009A2C2E" w:rsidP="00910892">
      <w:pPr>
        <w:spacing w:beforeAutospacing="1" w:afterAutospacing="1"/>
        <w:jc w:val="both"/>
        <w:rPr>
          <w:rFonts w:cs="Calibri"/>
          <w:sz w:val="24"/>
          <w:szCs w:val="24"/>
        </w:rPr>
      </w:pPr>
      <w:r w:rsidRPr="00910892">
        <w:rPr>
          <w:rFonts w:cs="Calibri"/>
          <w:sz w:val="24"/>
          <w:szCs w:val="24"/>
        </w:rPr>
        <w:t xml:space="preserve">(1) Limit the housing to income eligible </w:t>
      </w:r>
      <w:proofErr w:type="gramStart"/>
      <w:r w:rsidRPr="00910892">
        <w:rPr>
          <w:rFonts w:cs="Calibri"/>
          <w:sz w:val="24"/>
          <w:szCs w:val="24"/>
        </w:rPr>
        <w:t>families;</w:t>
      </w:r>
      <w:proofErr w:type="gramEnd"/>
    </w:p>
    <w:p w14:paraId="49C857E4" w14:textId="77777777" w:rsidR="007814E7" w:rsidRDefault="009A2C2E" w:rsidP="00910892">
      <w:pPr>
        <w:spacing w:beforeAutospacing="1" w:afterAutospacing="1"/>
        <w:jc w:val="both"/>
        <w:rPr>
          <w:rFonts w:cs="Calibri"/>
          <w:sz w:val="24"/>
          <w:szCs w:val="24"/>
        </w:rPr>
      </w:pPr>
      <w:r w:rsidRPr="00910892">
        <w:rPr>
          <w:rFonts w:cs="Calibri"/>
          <w:sz w:val="24"/>
          <w:szCs w:val="24"/>
        </w:rPr>
        <w:t xml:space="preserve">(2) Are reasonably related to the applicants’ ability to </w:t>
      </w:r>
      <w:proofErr w:type="gramStart"/>
      <w:r w:rsidRPr="00910892">
        <w:rPr>
          <w:rFonts w:cs="Calibri"/>
          <w:sz w:val="24"/>
          <w:szCs w:val="24"/>
        </w:rPr>
        <w:t>perform</w:t>
      </w:r>
      <w:proofErr w:type="gramEnd"/>
      <w:r w:rsidRPr="00910892">
        <w:rPr>
          <w:rFonts w:cs="Calibri"/>
          <w:sz w:val="24"/>
          <w:szCs w:val="24"/>
        </w:rPr>
        <w:t xml:space="preserve"> the obligations of the lease (i.e., to pay the rent, not to damage the housing; not to interfere with the rights and quiet enjoyment of other tenants</w:t>
      </w:r>
      <w:proofErr w:type="gramStart"/>
      <w:r w:rsidRPr="00910892">
        <w:rPr>
          <w:rFonts w:cs="Calibri"/>
          <w:sz w:val="24"/>
          <w:szCs w:val="24"/>
        </w:rPr>
        <w:t>);</w:t>
      </w:r>
      <w:proofErr w:type="gramEnd"/>
      <w:r w:rsidRPr="00910892">
        <w:rPr>
          <w:rFonts w:cs="Calibri"/>
          <w:sz w:val="24"/>
          <w:szCs w:val="24"/>
        </w:rPr>
        <w:t xml:space="preserve"> </w:t>
      </w:r>
    </w:p>
    <w:p w14:paraId="1F0F2A17" w14:textId="77777777" w:rsidR="007814E7" w:rsidRDefault="009A2C2E" w:rsidP="00910892">
      <w:pPr>
        <w:spacing w:beforeAutospacing="1" w:afterAutospacing="1"/>
        <w:jc w:val="both"/>
        <w:rPr>
          <w:rFonts w:cs="Calibri"/>
          <w:sz w:val="24"/>
          <w:szCs w:val="24"/>
        </w:rPr>
      </w:pPr>
      <w:r w:rsidRPr="00910892">
        <w:rPr>
          <w:rFonts w:cs="Calibri"/>
          <w:sz w:val="24"/>
          <w:szCs w:val="24"/>
        </w:rPr>
        <w:t xml:space="preserve">(3) Limit eligibility or give a preference to a particular segment of the population if permitted in its written agreement with the grantee (and only if the limitation or preference is described in the grantee’s consolidated plan). </w:t>
      </w:r>
    </w:p>
    <w:p w14:paraId="13643038" w14:textId="77777777" w:rsidR="007814E7" w:rsidRDefault="009A2C2E" w:rsidP="007814E7">
      <w:pPr>
        <w:spacing w:beforeAutospacing="1" w:afterAutospacing="1"/>
        <w:ind w:left="720"/>
        <w:jc w:val="both"/>
        <w:rPr>
          <w:rFonts w:cs="Calibri"/>
          <w:sz w:val="24"/>
          <w:szCs w:val="24"/>
        </w:rPr>
      </w:pPr>
      <w:r w:rsidRPr="00910892">
        <w:rPr>
          <w:rFonts w:cs="Calibri"/>
          <w:sz w:val="24"/>
          <w:szCs w:val="24"/>
        </w:rPr>
        <w:t xml:space="preserve">(i) Any limitation or preference must not violate nondiscrimination requirements in § 93.350. A limitation or preference does not violate nondiscrimination requirements if the housing also receives funding from a </w:t>
      </w:r>
      <w:r w:rsidR="73773745" w:rsidRPr="00910892">
        <w:rPr>
          <w:rFonts w:cs="Calibri"/>
          <w:sz w:val="24"/>
          <w:szCs w:val="24"/>
        </w:rPr>
        <w:t>f</w:t>
      </w:r>
      <w:r w:rsidR="7B270814" w:rsidRPr="00910892">
        <w:rPr>
          <w:rFonts w:cs="Calibri"/>
          <w:sz w:val="24"/>
          <w:szCs w:val="24"/>
        </w:rPr>
        <w:t>ederal</w:t>
      </w:r>
      <w:r w:rsidRPr="00910892">
        <w:rPr>
          <w:rFonts w:cs="Calibri"/>
          <w:sz w:val="24"/>
          <w:szCs w:val="24"/>
        </w:rPr>
        <w:t xml:space="preserve"> program that limits eligibility to a particular segment of the population (e.g., the Housing Opportunity for Persons </w:t>
      </w:r>
      <w:proofErr w:type="gramStart"/>
      <w:r w:rsidRPr="00910892">
        <w:rPr>
          <w:rFonts w:cs="Calibri"/>
          <w:sz w:val="24"/>
          <w:szCs w:val="24"/>
        </w:rPr>
        <w:t>With</w:t>
      </w:r>
      <w:proofErr w:type="gramEnd"/>
      <w:r w:rsidRPr="00910892">
        <w:rPr>
          <w:rFonts w:cs="Calibri"/>
          <w:sz w:val="24"/>
          <w:szCs w:val="24"/>
        </w:rPr>
        <w:t xml:space="preserve"> AIDS program under 24 CFR part 574), and the limit or preference is tailored to serve that segment of the population.</w:t>
      </w:r>
    </w:p>
    <w:p w14:paraId="77E8287B" w14:textId="77777777" w:rsidR="007814E7" w:rsidRDefault="009A2C2E" w:rsidP="007814E7">
      <w:pPr>
        <w:spacing w:beforeAutospacing="1" w:afterAutospacing="1"/>
        <w:ind w:left="720"/>
        <w:jc w:val="both"/>
        <w:rPr>
          <w:rFonts w:cs="Calibri"/>
          <w:sz w:val="24"/>
          <w:szCs w:val="24"/>
        </w:rPr>
      </w:pPr>
      <w:r w:rsidRPr="00910892">
        <w:rPr>
          <w:rFonts w:cs="Calibri"/>
          <w:sz w:val="24"/>
          <w:szCs w:val="24"/>
        </w:rPr>
        <w:t xml:space="preserve">(ii) If a project does not receive funding from a </w:t>
      </w:r>
      <w:r w:rsidR="1AD48848" w:rsidRPr="00910892">
        <w:rPr>
          <w:rFonts w:cs="Calibri"/>
          <w:sz w:val="24"/>
          <w:szCs w:val="24"/>
        </w:rPr>
        <w:t>f</w:t>
      </w:r>
      <w:r w:rsidR="7B270814" w:rsidRPr="00910892">
        <w:rPr>
          <w:rFonts w:cs="Calibri"/>
          <w:sz w:val="24"/>
          <w:szCs w:val="24"/>
        </w:rPr>
        <w:t>ederal</w:t>
      </w:r>
      <w:r w:rsidRPr="00910892">
        <w:rPr>
          <w:rFonts w:cs="Calibri"/>
          <w:sz w:val="24"/>
          <w:szCs w:val="24"/>
        </w:rPr>
        <w:t xml:space="preserve"> program that limits eligibility to a particular segment of the population, the project may have a limitation or preference for persons with disabilities who need services offered at a project only if: </w:t>
      </w:r>
    </w:p>
    <w:p w14:paraId="146EC3EC" w14:textId="77777777" w:rsidR="007814E7" w:rsidRDefault="009A2C2E" w:rsidP="007814E7">
      <w:pPr>
        <w:spacing w:beforeAutospacing="1" w:afterAutospacing="1"/>
        <w:ind w:left="1440"/>
        <w:jc w:val="both"/>
        <w:rPr>
          <w:rFonts w:cs="Calibri"/>
          <w:sz w:val="24"/>
          <w:szCs w:val="24"/>
        </w:rPr>
      </w:pPr>
      <w:r w:rsidRPr="00910892">
        <w:rPr>
          <w:rFonts w:cs="Calibri"/>
          <w:sz w:val="24"/>
          <w:szCs w:val="24"/>
        </w:rPr>
        <w:lastRenderedPageBreak/>
        <w:t xml:space="preserve">(A) The limitation or preference is limited to the population of families (including individuals) with disabilities that significantly interfere with their ability to obtain and maintain </w:t>
      </w:r>
      <w:proofErr w:type="gramStart"/>
      <w:r w:rsidRPr="00910892">
        <w:rPr>
          <w:rFonts w:cs="Calibri"/>
          <w:sz w:val="24"/>
          <w:szCs w:val="24"/>
        </w:rPr>
        <w:t>housing;</w:t>
      </w:r>
      <w:proofErr w:type="gramEnd"/>
      <w:r w:rsidRPr="00910892">
        <w:rPr>
          <w:rFonts w:cs="Calibri"/>
          <w:sz w:val="24"/>
          <w:szCs w:val="24"/>
        </w:rPr>
        <w:t xml:space="preserve"> </w:t>
      </w:r>
    </w:p>
    <w:p w14:paraId="2CBCD356" w14:textId="77777777" w:rsidR="007814E7" w:rsidRDefault="009A2C2E" w:rsidP="007814E7">
      <w:pPr>
        <w:spacing w:beforeAutospacing="1" w:afterAutospacing="1"/>
        <w:ind w:left="1440"/>
        <w:jc w:val="both"/>
        <w:rPr>
          <w:rFonts w:cs="Calibri"/>
          <w:sz w:val="24"/>
          <w:szCs w:val="24"/>
        </w:rPr>
      </w:pPr>
      <w:r w:rsidRPr="00910892">
        <w:rPr>
          <w:rFonts w:cs="Calibri"/>
          <w:sz w:val="24"/>
          <w:szCs w:val="24"/>
        </w:rPr>
        <w:t xml:space="preserve">(B) Such families will not be able to obtain or maintain themselves in housing without appropriate supportive services; and </w:t>
      </w:r>
    </w:p>
    <w:p w14:paraId="40C38C3B" w14:textId="79437A6E" w:rsidR="007814E7" w:rsidRDefault="009A2C2E" w:rsidP="007814E7">
      <w:pPr>
        <w:spacing w:beforeAutospacing="1" w:afterAutospacing="1"/>
        <w:ind w:left="1440"/>
        <w:jc w:val="both"/>
        <w:rPr>
          <w:rFonts w:cs="Calibri"/>
          <w:sz w:val="24"/>
          <w:szCs w:val="24"/>
        </w:rPr>
      </w:pPr>
      <w:r w:rsidRPr="00910892">
        <w:rPr>
          <w:rFonts w:cs="Calibri"/>
          <w:sz w:val="24"/>
          <w:szCs w:val="24"/>
        </w:rPr>
        <w:t xml:space="preserve">(C) Such services cannot be provided in a </w:t>
      </w:r>
      <w:r w:rsidR="007814E7" w:rsidRPr="00910892">
        <w:rPr>
          <w:rFonts w:cs="Calibri"/>
          <w:sz w:val="24"/>
          <w:szCs w:val="24"/>
        </w:rPr>
        <w:t>non-segregated</w:t>
      </w:r>
      <w:r w:rsidRPr="00910892">
        <w:rPr>
          <w:rFonts w:cs="Calibri"/>
          <w:sz w:val="24"/>
          <w:szCs w:val="24"/>
        </w:rPr>
        <w:t xml:space="preserve"> setting. The families must not be required to accept the services offered at the project. In advertising the project, the owner may advertise the project as offering services for a particular type of disability; however, the project must be open to all otherwise eligible persons with disabilities who may benefit from the services provided in the project. </w:t>
      </w:r>
    </w:p>
    <w:p w14:paraId="5F81FC05" w14:textId="77777777" w:rsidR="007814E7" w:rsidRDefault="009A2C2E" w:rsidP="00910892">
      <w:pPr>
        <w:spacing w:beforeAutospacing="1" w:afterAutospacing="1"/>
        <w:jc w:val="both"/>
        <w:rPr>
          <w:rFonts w:cs="Calibri"/>
          <w:sz w:val="24"/>
          <w:szCs w:val="24"/>
        </w:rPr>
      </w:pPr>
      <w:r w:rsidRPr="00910892">
        <w:rPr>
          <w:rFonts w:cs="Calibri"/>
          <w:sz w:val="24"/>
          <w:szCs w:val="24"/>
        </w:rPr>
        <w:t>(4) Do not exclude an applicant with a voucher under the Section 8 Tenant- Based Assistance: Housing Choice Voucher program (24 CFR part 982) or an applicant participating in a HOME tenant-based rental assistance program (24 CFR part 92) because of the status of the prospective tenant as a holder of such voucher or comparable HOME tenant-based assistance document.</w:t>
      </w:r>
    </w:p>
    <w:p w14:paraId="412CBE0C" w14:textId="77777777" w:rsidR="007814E7" w:rsidRDefault="009A2C2E" w:rsidP="00910892">
      <w:pPr>
        <w:spacing w:beforeAutospacing="1" w:afterAutospacing="1"/>
        <w:jc w:val="both"/>
        <w:rPr>
          <w:rFonts w:cs="Calibri"/>
          <w:sz w:val="24"/>
          <w:szCs w:val="24"/>
        </w:rPr>
      </w:pPr>
      <w:r w:rsidRPr="00910892">
        <w:rPr>
          <w:rFonts w:cs="Calibri"/>
          <w:sz w:val="24"/>
          <w:szCs w:val="24"/>
        </w:rPr>
        <w:t xml:space="preserve">(5) Provide for the selection of tenants from a written waiting list in the chronological order of their application, in so far as is practicable; and </w:t>
      </w:r>
    </w:p>
    <w:p w14:paraId="1275AE59" w14:textId="274946C5" w:rsidR="009A2C2E" w:rsidRPr="00910892" w:rsidRDefault="009A2C2E" w:rsidP="00910892">
      <w:pPr>
        <w:spacing w:beforeAutospacing="1" w:afterAutospacing="1"/>
        <w:jc w:val="both"/>
        <w:rPr>
          <w:rFonts w:cs="Calibri"/>
          <w:sz w:val="24"/>
          <w:szCs w:val="24"/>
        </w:rPr>
      </w:pPr>
      <w:r w:rsidRPr="00910892">
        <w:rPr>
          <w:rFonts w:cs="Calibri"/>
          <w:sz w:val="24"/>
          <w:szCs w:val="24"/>
        </w:rPr>
        <w:t>(6) Give prompt written notification to any rejected applicant of the grounds for any rejection. Idaho's current Five-Year (</w:t>
      </w:r>
      <w:r w:rsidR="00A54170" w:rsidRPr="00910892">
        <w:rPr>
          <w:rFonts w:cs="Calibri"/>
          <w:sz w:val="24"/>
          <w:szCs w:val="24"/>
        </w:rPr>
        <w:t>2025-2029</w:t>
      </w:r>
      <w:r w:rsidRPr="00910892">
        <w:rPr>
          <w:rFonts w:cs="Calibri"/>
          <w:sz w:val="24"/>
          <w:szCs w:val="24"/>
        </w:rPr>
        <w:t>) Consolidated Plan has identified three (3) Priority Housing Needs (PHN) Populations: Elderly, Disabled, and ≤30% AMI households. Permanent rental housing owners may choose to provide a tenant preference for any one or more of these PHN populations. If approved by IHFA, the priority Housing needs Population(s) will be identified as a tenant preference(s) in the HTF written agreement.</w:t>
      </w:r>
    </w:p>
    <w:p w14:paraId="47AE426E" w14:textId="77777777" w:rsidR="009A2C2E" w:rsidRPr="00910892" w:rsidRDefault="009A2C2E" w:rsidP="00910892">
      <w:pPr>
        <w:jc w:val="both"/>
        <w:rPr>
          <w:rFonts w:cs="Calibri"/>
          <w:sz w:val="24"/>
          <w:szCs w:val="24"/>
        </w:rPr>
      </w:pPr>
      <w:r w:rsidRPr="00910892">
        <w:rPr>
          <w:rFonts w:cs="Calibri"/>
          <w:bCs/>
          <w:sz w:val="24"/>
          <w:szCs w:val="24"/>
        </w:rPr>
        <w:t xml:space="preserve">12. </w:t>
      </w:r>
      <w:r w:rsidRPr="00910892">
        <w:rPr>
          <w:rFonts w:cs="Calibri"/>
          <w:b/>
          <w:bCs/>
          <w:sz w:val="24"/>
          <w:szCs w:val="24"/>
        </w:rPr>
        <w:t>Refinancing of Existing Debt.</w:t>
      </w:r>
      <w:r w:rsidRPr="00910892">
        <w:rPr>
          <w:rFonts w:cs="Calibri"/>
          <w:bCs/>
          <w:sz w:val="24"/>
          <w:szCs w:val="24"/>
        </w:rPr>
        <w:t xml:space="preserve">  Enter or attach the </w:t>
      </w:r>
      <w:r w:rsidRPr="00910892">
        <w:rPr>
          <w:rFonts w:cs="Calibri"/>
          <w:sz w:val="24"/>
          <w:szCs w:val="24"/>
        </w:rPr>
        <w:t xml:space="preserve">grantee’s </w:t>
      </w:r>
      <w:r w:rsidRPr="00910892">
        <w:rPr>
          <w:rFonts w:cs="Calibri"/>
          <w:bCs/>
          <w:sz w:val="24"/>
          <w:szCs w:val="24"/>
        </w:rPr>
        <w:t xml:space="preserve">refinancing guidelines below.  The guidelines describe the conditions under which the </w:t>
      </w:r>
      <w:r w:rsidRPr="00910892">
        <w:rPr>
          <w:rFonts w:cs="Calibri"/>
          <w:sz w:val="24"/>
          <w:szCs w:val="24"/>
        </w:rPr>
        <w:t xml:space="preserve">grantee </w:t>
      </w:r>
      <w:r w:rsidRPr="00910892">
        <w:rPr>
          <w:rFonts w:cs="Calibri"/>
          <w:bCs/>
          <w:sz w:val="24"/>
          <w:szCs w:val="24"/>
        </w:rPr>
        <w:t xml:space="preserve">will refinance existing debt.  The </w:t>
      </w:r>
      <w:r w:rsidRPr="00910892">
        <w:rPr>
          <w:rFonts w:cs="Calibri"/>
          <w:sz w:val="24"/>
          <w:szCs w:val="24"/>
        </w:rPr>
        <w:t xml:space="preserve">grantee’s </w:t>
      </w:r>
      <w:r w:rsidRPr="00910892">
        <w:rPr>
          <w:rFonts w:cs="Calibri"/>
          <w:bCs/>
          <w:sz w:val="24"/>
          <w:szCs w:val="24"/>
        </w:rPr>
        <w:t xml:space="preserve">refinancing guidelines must, at minimum, demonstrate that rehabilitation is the primary eligible activity and ensure that this requirement is met by establishing a minimum level of rehabilitation per unit or a required ratio between rehabilitation and refinancing.  </w:t>
      </w:r>
      <w:r w:rsidRPr="00910892">
        <w:rPr>
          <w:rFonts w:cs="Calibri"/>
          <w:sz w:val="24"/>
          <w:szCs w:val="24"/>
        </w:rPr>
        <w:t xml:space="preserve">If the grantee </w:t>
      </w:r>
      <w:r w:rsidRPr="00910892">
        <w:rPr>
          <w:rFonts w:cs="Calibri"/>
          <w:bCs/>
          <w:sz w:val="24"/>
          <w:szCs w:val="24"/>
        </w:rPr>
        <w:t>will not refinance existing debt</w:t>
      </w:r>
      <w:r w:rsidRPr="00910892">
        <w:rPr>
          <w:rFonts w:cs="Calibri"/>
          <w:sz w:val="24"/>
          <w:szCs w:val="24"/>
        </w:rPr>
        <w:t>, enter “N/A.”</w:t>
      </w:r>
    </w:p>
    <w:p w14:paraId="03375559" w14:textId="410A1017" w:rsidR="009A2C2E" w:rsidRPr="00910892" w:rsidRDefault="009A2C2E" w:rsidP="00910892">
      <w:pPr>
        <w:spacing w:beforeAutospacing="1" w:afterAutospacing="1"/>
        <w:jc w:val="both"/>
        <w:rPr>
          <w:rFonts w:cs="Calibri"/>
          <w:sz w:val="24"/>
          <w:szCs w:val="24"/>
        </w:rPr>
      </w:pPr>
      <w:r w:rsidRPr="007814E7">
        <w:rPr>
          <w:rFonts w:cs="Calibri"/>
          <w:sz w:val="24"/>
          <w:szCs w:val="24"/>
        </w:rPr>
        <w:t>See Unique Appendices- AP-90 Refinance of Existing Debt</w:t>
      </w:r>
    </w:p>
    <w:p w14:paraId="7CD1F392" w14:textId="4628D053"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HOME &amp; HTF Programs </w:t>
      </w:r>
    </w:p>
    <w:p w14:paraId="1D7A29BF"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lastRenderedPageBreak/>
        <w:t xml:space="preserve">IHFA may consider </w:t>
      </w:r>
      <w:proofErr w:type="gramStart"/>
      <w:r w:rsidRPr="00910892">
        <w:rPr>
          <w:rFonts w:cs="Calibri"/>
          <w:sz w:val="24"/>
          <w:szCs w:val="24"/>
        </w:rPr>
        <w:t>refinancing of</w:t>
      </w:r>
      <w:proofErr w:type="gramEnd"/>
      <w:r w:rsidRPr="00910892">
        <w:rPr>
          <w:rFonts w:cs="Calibri"/>
          <w:sz w:val="24"/>
          <w:szCs w:val="24"/>
        </w:rPr>
        <w:t xml:space="preserve"> existing debt if the debt was not made or insured by any Federal Program (CDBG, USDA-RD, VA, HUD-202 or 811 or 221(</w:t>
      </w:r>
      <w:proofErr w:type="gramStart"/>
      <w:r w:rsidRPr="00910892">
        <w:rPr>
          <w:rFonts w:cs="Calibri"/>
          <w:sz w:val="24"/>
          <w:szCs w:val="24"/>
        </w:rPr>
        <w:t>d(</w:t>
      </w:r>
      <w:proofErr w:type="gramEnd"/>
      <w:r w:rsidRPr="00910892">
        <w:rPr>
          <w:rFonts w:cs="Calibri"/>
          <w:sz w:val="24"/>
          <w:szCs w:val="24"/>
        </w:rPr>
        <w:t xml:space="preserve">4), PHA Capitol Fund, FHA), and substantial rehabilitation will be the primary activity.  Activity is eligible within Idaho, except the City of Boise.   </w:t>
      </w:r>
    </w:p>
    <w:p w14:paraId="72A0389C"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Requirements:  </w:t>
      </w:r>
    </w:p>
    <w:p w14:paraId="07A8A9AB"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1) Refinancing is necessary to permit the continued affordability of the </w:t>
      </w:r>
      <w:proofErr w:type="gramStart"/>
      <w:r w:rsidRPr="00910892">
        <w:rPr>
          <w:rFonts w:cs="Calibri"/>
          <w:sz w:val="24"/>
          <w:szCs w:val="24"/>
        </w:rPr>
        <w:t>project;</w:t>
      </w:r>
      <w:proofErr w:type="gramEnd"/>
      <w:r w:rsidRPr="00910892">
        <w:rPr>
          <w:rFonts w:cs="Calibri"/>
          <w:sz w:val="24"/>
          <w:szCs w:val="24"/>
        </w:rPr>
        <w:t xml:space="preserve">  </w:t>
      </w:r>
    </w:p>
    <w:p w14:paraId="6C81B54C" w14:textId="26377F7A"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2) Affordability period is no less than </w:t>
      </w:r>
      <w:r w:rsidR="275E5AAE" w:rsidRPr="00910892">
        <w:rPr>
          <w:rFonts w:cs="Calibri"/>
          <w:sz w:val="24"/>
          <w:szCs w:val="24"/>
        </w:rPr>
        <w:t>fifteen (</w:t>
      </w:r>
      <w:r w:rsidRPr="00910892">
        <w:rPr>
          <w:rFonts w:cs="Calibri"/>
          <w:sz w:val="24"/>
          <w:szCs w:val="24"/>
        </w:rPr>
        <w:t>15</w:t>
      </w:r>
      <w:r w:rsidR="69D18A64" w:rsidRPr="00910892">
        <w:rPr>
          <w:rFonts w:cs="Calibri"/>
          <w:sz w:val="24"/>
          <w:szCs w:val="24"/>
        </w:rPr>
        <w:t>)</w:t>
      </w:r>
      <w:r w:rsidRPr="00910892">
        <w:rPr>
          <w:rFonts w:cs="Calibri"/>
          <w:sz w:val="24"/>
          <w:szCs w:val="24"/>
        </w:rPr>
        <w:t xml:space="preserve"> </w:t>
      </w:r>
      <w:proofErr w:type="gramStart"/>
      <w:r w:rsidRPr="00910892">
        <w:rPr>
          <w:rFonts w:cs="Calibri"/>
          <w:sz w:val="24"/>
          <w:szCs w:val="24"/>
        </w:rPr>
        <w:t>Years;</w:t>
      </w:r>
      <w:proofErr w:type="gramEnd"/>
      <w:r w:rsidRPr="00910892">
        <w:rPr>
          <w:rFonts w:cs="Calibri"/>
          <w:sz w:val="24"/>
          <w:szCs w:val="24"/>
        </w:rPr>
        <w:t xml:space="preserve">  </w:t>
      </w:r>
    </w:p>
    <w:p w14:paraId="47151CF2"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3) A review of the owner’s financial and property management practices clearly demonstrates there was no disinvestment in the </w:t>
      </w:r>
      <w:proofErr w:type="gramStart"/>
      <w:r w:rsidRPr="00910892">
        <w:rPr>
          <w:rFonts w:cs="Calibri"/>
          <w:sz w:val="24"/>
          <w:szCs w:val="24"/>
        </w:rPr>
        <w:t>property;</w:t>
      </w:r>
      <w:proofErr w:type="gramEnd"/>
      <w:r w:rsidRPr="00910892">
        <w:rPr>
          <w:rFonts w:cs="Calibri"/>
          <w:sz w:val="24"/>
          <w:szCs w:val="24"/>
        </w:rPr>
        <w:t xml:space="preserve">  </w:t>
      </w:r>
    </w:p>
    <w:p w14:paraId="10043EF7"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4) Feasibility of serving the current target population over an extended period is demonstrated by </w:t>
      </w:r>
      <w:proofErr w:type="gramStart"/>
      <w:r w:rsidRPr="00910892">
        <w:rPr>
          <w:rFonts w:cs="Calibri"/>
          <w:sz w:val="24"/>
          <w:szCs w:val="24"/>
        </w:rPr>
        <w:t>pro forma;</w:t>
      </w:r>
      <w:proofErr w:type="gramEnd"/>
      <w:r w:rsidRPr="00910892">
        <w:rPr>
          <w:rFonts w:cs="Calibri"/>
          <w:sz w:val="24"/>
          <w:szCs w:val="24"/>
        </w:rPr>
        <w:t xml:space="preserve">  </w:t>
      </w:r>
    </w:p>
    <w:p w14:paraId="0DF05569" w14:textId="59AB5B0A"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5) Substantial </w:t>
      </w:r>
      <w:r w:rsidR="007814E7">
        <w:rPr>
          <w:rFonts w:cs="Calibri"/>
          <w:sz w:val="24"/>
          <w:szCs w:val="24"/>
        </w:rPr>
        <w:t>r</w:t>
      </w:r>
      <w:r w:rsidRPr="00910892">
        <w:rPr>
          <w:rFonts w:cs="Calibri"/>
          <w:sz w:val="24"/>
          <w:szCs w:val="24"/>
        </w:rPr>
        <w:t xml:space="preserve">ehabilitation of all units and tenant common areas is necessary as demonstrated by a Physical Needs Assessment.   </w:t>
      </w:r>
    </w:p>
    <w:p w14:paraId="58096227" w14:textId="078A3C16"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a) “Substantial Rehabilitation” defined as ≥$25,000 per unit in hard rehabilitation costs.  “Hard” rehabilitation costs for this activity </w:t>
      </w:r>
      <w:r w:rsidR="3D4D572C" w:rsidRPr="00910892">
        <w:rPr>
          <w:rFonts w:cs="Calibri"/>
          <w:sz w:val="24"/>
          <w:szCs w:val="24"/>
        </w:rPr>
        <w:t>are</w:t>
      </w:r>
      <w:r w:rsidRPr="00910892">
        <w:rPr>
          <w:rFonts w:cs="Calibri"/>
          <w:sz w:val="24"/>
          <w:szCs w:val="24"/>
        </w:rPr>
        <w:t xml:space="preserve"> defined as site work, physical improvements, and construction contingency.  </w:t>
      </w:r>
    </w:p>
    <w:p w14:paraId="7B07572B" w14:textId="4EF34ECB"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6) </w:t>
      </w:r>
      <w:r w:rsidR="00A54170" w:rsidRPr="00910892">
        <w:rPr>
          <w:rFonts w:cs="Calibri"/>
          <w:sz w:val="24"/>
          <w:szCs w:val="24"/>
        </w:rPr>
        <w:t xml:space="preserve">CNA </w:t>
      </w:r>
      <w:r w:rsidRPr="00910892">
        <w:rPr>
          <w:rFonts w:cs="Calibri"/>
          <w:sz w:val="24"/>
          <w:szCs w:val="24"/>
        </w:rPr>
        <w:t xml:space="preserve">must meet the following requirements: </w:t>
      </w:r>
    </w:p>
    <w:p w14:paraId="63A80721" w14:textId="3950A928"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a) Assessment must be conducted or updated within the previous </w:t>
      </w:r>
      <w:r w:rsidR="17BDDA6B" w:rsidRPr="00910892">
        <w:rPr>
          <w:rFonts w:cs="Calibri"/>
          <w:sz w:val="24"/>
          <w:szCs w:val="24"/>
        </w:rPr>
        <w:t>six (</w:t>
      </w:r>
      <w:r w:rsidRPr="00910892">
        <w:rPr>
          <w:rFonts w:cs="Calibri"/>
          <w:sz w:val="24"/>
          <w:szCs w:val="24"/>
        </w:rPr>
        <w:t>6</w:t>
      </w:r>
      <w:r w:rsidR="2DE8384E" w:rsidRPr="00910892">
        <w:rPr>
          <w:rFonts w:cs="Calibri"/>
          <w:sz w:val="24"/>
          <w:szCs w:val="24"/>
        </w:rPr>
        <w:t>)</w:t>
      </w:r>
      <w:r w:rsidRPr="00910892">
        <w:rPr>
          <w:rFonts w:cs="Calibri"/>
          <w:sz w:val="24"/>
          <w:szCs w:val="24"/>
        </w:rPr>
        <w:t xml:space="preserve"> </w:t>
      </w:r>
      <w:proofErr w:type="gramStart"/>
      <w:r w:rsidRPr="00910892">
        <w:rPr>
          <w:rFonts w:cs="Calibri"/>
          <w:sz w:val="24"/>
          <w:szCs w:val="24"/>
        </w:rPr>
        <w:t>months;</w:t>
      </w:r>
      <w:proofErr w:type="gramEnd"/>
      <w:r w:rsidRPr="00910892">
        <w:rPr>
          <w:rFonts w:cs="Calibri"/>
          <w:sz w:val="24"/>
          <w:szCs w:val="24"/>
        </w:rPr>
        <w:t xml:space="preserve">  </w:t>
      </w:r>
    </w:p>
    <w:p w14:paraId="4026563A"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b) Assess the physical condition of all major systems, structures, units, and tenant common </w:t>
      </w:r>
      <w:proofErr w:type="gramStart"/>
      <w:r w:rsidRPr="00910892">
        <w:rPr>
          <w:rFonts w:cs="Calibri"/>
          <w:sz w:val="24"/>
          <w:szCs w:val="24"/>
        </w:rPr>
        <w:t>areas;</w:t>
      </w:r>
      <w:proofErr w:type="gramEnd"/>
      <w:r w:rsidRPr="00910892">
        <w:rPr>
          <w:rFonts w:cs="Calibri"/>
          <w:sz w:val="24"/>
          <w:szCs w:val="24"/>
        </w:rPr>
        <w:t xml:space="preserve">  </w:t>
      </w:r>
    </w:p>
    <w:p w14:paraId="19C6D5BA" w14:textId="25F969CB"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1. Identify any major system with a useful remaining life of less than </w:t>
      </w:r>
      <w:r w:rsidR="6D76AD6B" w:rsidRPr="00910892">
        <w:rPr>
          <w:rFonts w:cs="Calibri"/>
          <w:sz w:val="24"/>
          <w:szCs w:val="24"/>
        </w:rPr>
        <w:t>fifteen (</w:t>
      </w:r>
      <w:r w:rsidRPr="00910892">
        <w:rPr>
          <w:rFonts w:cs="Calibri"/>
          <w:sz w:val="24"/>
          <w:szCs w:val="24"/>
        </w:rPr>
        <w:t>15</w:t>
      </w:r>
      <w:r w:rsidR="141ED5EB" w:rsidRPr="00910892">
        <w:rPr>
          <w:rFonts w:cs="Calibri"/>
          <w:sz w:val="24"/>
          <w:szCs w:val="24"/>
        </w:rPr>
        <w:t>)</w:t>
      </w:r>
      <w:r w:rsidRPr="00910892">
        <w:rPr>
          <w:rFonts w:cs="Calibri"/>
          <w:sz w:val="24"/>
          <w:szCs w:val="24"/>
        </w:rPr>
        <w:t xml:space="preserve"> years. Any system with less than a </w:t>
      </w:r>
      <w:r w:rsidR="38A99662" w:rsidRPr="00910892">
        <w:rPr>
          <w:rFonts w:cs="Calibri"/>
          <w:sz w:val="24"/>
          <w:szCs w:val="24"/>
        </w:rPr>
        <w:t>fifteen (</w:t>
      </w:r>
      <w:r w:rsidRPr="00910892">
        <w:rPr>
          <w:rFonts w:cs="Calibri"/>
          <w:sz w:val="24"/>
          <w:szCs w:val="24"/>
        </w:rPr>
        <w:t>15</w:t>
      </w:r>
      <w:r w:rsidR="4DFC48F9" w:rsidRPr="00910892">
        <w:rPr>
          <w:rFonts w:cs="Calibri"/>
          <w:sz w:val="24"/>
          <w:szCs w:val="24"/>
        </w:rPr>
        <w:t>)</w:t>
      </w:r>
      <w:r w:rsidR="7B270814" w:rsidRPr="00910892">
        <w:rPr>
          <w:rFonts w:cs="Calibri"/>
          <w:sz w:val="24"/>
          <w:szCs w:val="24"/>
        </w:rPr>
        <w:t>-</w:t>
      </w:r>
      <w:r w:rsidRPr="00910892">
        <w:rPr>
          <w:rFonts w:cs="Calibri"/>
          <w:sz w:val="24"/>
          <w:szCs w:val="24"/>
        </w:rPr>
        <w:t>year useful remaining life must be replaced as part of the rehabilitation project</w:t>
      </w:r>
      <w:r w:rsidR="46573286" w:rsidRPr="00910892">
        <w:rPr>
          <w:rFonts w:cs="Calibri"/>
          <w:sz w:val="24"/>
          <w:szCs w:val="24"/>
        </w:rPr>
        <w:t>:</w:t>
      </w:r>
      <w:r w:rsidRPr="00910892">
        <w:rPr>
          <w:rFonts w:cs="Calibri"/>
          <w:sz w:val="24"/>
          <w:szCs w:val="24"/>
        </w:rPr>
        <w:t xml:space="preserve">    </w:t>
      </w:r>
    </w:p>
    <w:p w14:paraId="7C01EE33"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c) Prepared by an independent architect/engineer who is licensed and certified by the State of </w:t>
      </w:r>
      <w:proofErr w:type="gramStart"/>
      <w:r w:rsidRPr="00910892">
        <w:rPr>
          <w:rFonts w:cs="Calibri"/>
          <w:sz w:val="24"/>
          <w:szCs w:val="24"/>
        </w:rPr>
        <w:t>Idaho;</w:t>
      </w:r>
      <w:proofErr w:type="gramEnd"/>
      <w:r w:rsidRPr="00910892">
        <w:rPr>
          <w:rFonts w:cs="Calibri"/>
          <w:sz w:val="24"/>
          <w:szCs w:val="24"/>
        </w:rPr>
        <w:t xml:space="preserve">  </w:t>
      </w:r>
    </w:p>
    <w:p w14:paraId="711C0C1E" w14:textId="3FE9E2EA"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d) Architect or </w:t>
      </w:r>
      <w:r w:rsidR="4DD2EE89" w:rsidRPr="00910892">
        <w:rPr>
          <w:rFonts w:cs="Calibri"/>
          <w:sz w:val="24"/>
          <w:szCs w:val="24"/>
        </w:rPr>
        <w:t>e</w:t>
      </w:r>
      <w:r w:rsidR="7B270814" w:rsidRPr="00910892">
        <w:rPr>
          <w:rFonts w:cs="Calibri"/>
          <w:sz w:val="24"/>
          <w:szCs w:val="24"/>
        </w:rPr>
        <w:t>ngineer</w:t>
      </w:r>
      <w:r w:rsidRPr="00910892">
        <w:rPr>
          <w:rFonts w:cs="Calibri"/>
          <w:sz w:val="24"/>
          <w:szCs w:val="24"/>
        </w:rPr>
        <w:t xml:space="preserve"> must certify the PNA is an accurate assessment of the entire property and includes an assessment of the items needed to comply with the Property Standards:</w:t>
      </w:r>
    </w:p>
    <w:p w14:paraId="5C09C2D3"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lastRenderedPageBreak/>
        <w:t>Property Standards- State of Idaho's building codes, applicable local property standards and ordinances, Uniform Physical Condition Standards (UPCS), applicable federal crosscutting regulations (Fair Housing Act, Section 504, ADA, UFAS, HUD Lead Safe Housing Rule) and ASHRAE 90.1 for Multifamily buildings.</w:t>
      </w:r>
    </w:p>
    <w:p w14:paraId="7D83F017" w14:textId="7A0A502F" w:rsidR="009A2C2E" w:rsidRPr="00910892" w:rsidRDefault="00A54170" w:rsidP="00910892">
      <w:pPr>
        <w:spacing w:beforeAutospacing="1" w:afterAutospacing="1"/>
        <w:jc w:val="both"/>
        <w:rPr>
          <w:rFonts w:cs="Calibri"/>
          <w:sz w:val="24"/>
          <w:szCs w:val="24"/>
        </w:rPr>
      </w:pPr>
      <w:r w:rsidRPr="00910892">
        <w:rPr>
          <w:rFonts w:cs="Calibri"/>
          <w:sz w:val="24"/>
          <w:szCs w:val="24"/>
        </w:rPr>
        <w:t xml:space="preserve">CNA </w:t>
      </w:r>
      <w:r w:rsidR="009A2C2E" w:rsidRPr="00910892">
        <w:rPr>
          <w:rFonts w:cs="Calibri"/>
          <w:sz w:val="24"/>
          <w:szCs w:val="24"/>
        </w:rPr>
        <w:t>Inspectable Components</w:t>
      </w:r>
      <w:r w:rsidR="3A949836" w:rsidRPr="00910892">
        <w:rPr>
          <w:rFonts w:cs="Calibri"/>
          <w:sz w:val="24"/>
          <w:szCs w:val="24"/>
        </w:rPr>
        <w:t>:</w:t>
      </w:r>
      <w:r w:rsidR="009A2C2E" w:rsidRPr="00910892">
        <w:rPr>
          <w:rFonts w:cs="Calibri"/>
          <w:sz w:val="24"/>
          <w:szCs w:val="24"/>
        </w:rPr>
        <w:t xml:space="preserve"> </w:t>
      </w:r>
    </w:p>
    <w:p w14:paraId="499EA195" w14:textId="7B43A51A" w:rsidR="009A2C2E" w:rsidRPr="00910892" w:rsidRDefault="009A2C2E" w:rsidP="00910892">
      <w:pPr>
        <w:spacing w:beforeAutospacing="1" w:afterAutospacing="1"/>
        <w:jc w:val="both"/>
        <w:rPr>
          <w:rFonts w:cs="Calibri"/>
          <w:sz w:val="24"/>
          <w:szCs w:val="24"/>
        </w:rPr>
      </w:pPr>
      <w:r w:rsidRPr="00910892">
        <w:rPr>
          <w:rFonts w:cs="Calibri"/>
          <w:sz w:val="24"/>
          <w:szCs w:val="24"/>
        </w:rPr>
        <w:t>1. Site</w:t>
      </w:r>
      <w:r w:rsidR="3B7D228E" w:rsidRPr="00910892">
        <w:rPr>
          <w:rFonts w:cs="Calibri"/>
          <w:sz w:val="24"/>
          <w:szCs w:val="24"/>
        </w:rPr>
        <w:t xml:space="preserve"> (</w:t>
      </w:r>
      <w:r w:rsidRPr="00910892">
        <w:rPr>
          <w:rFonts w:cs="Calibri"/>
          <w:sz w:val="24"/>
          <w:szCs w:val="24"/>
        </w:rPr>
        <w:t>Topography, drainage, pavement, curbing, sidewalks, parking, landscaping, amenities, water, storm drainage, gas and electric utilities, playground, site furniture, irrigation system</w:t>
      </w:r>
      <w:proofErr w:type="gramStart"/>
      <w:r w:rsidR="43B634B6" w:rsidRPr="00910892">
        <w:rPr>
          <w:rFonts w:cs="Calibri"/>
          <w:sz w:val="24"/>
          <w:szCs w:val="24"/>
        </w:rPr>
        <w:t>)</w:t>
      </w:r>
      <w:r w:rsidR="7B270814" w:rsidRPr="00910892">
        <w:rPr>
          <w:rFonts w:cs="Calibri"/>
          <w:sz w:val="24"/>
          <w:szCs w:val="24"/>
        </w:rPr>
        <w:t>;</w:t>
      </w:r>
      <w:proofErr w:type="gramEnd"/>
      <w:r w:rsidRPr="00910892">
        <w:rPr>
          <w:rFonts w:cs="Calibri"/>
          <w:sz w:val="24"/>
          <w:szCs w:val="24"/>
        </w:rPr>
        <w:t xml:space="preserve">  </w:t>
      </w:r>
    </w:p>
    <w:p w14:paraId="65A9BB73" w14:textId="21BF830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2. Assess </w:t>
      </w:r>
      <w:proofErr w:type="gramStart"/>
      <w:r w:rsidRPr="00910892">
        <w:rPr>
          <w:rFonts w:cs="Calibri"/>
          <w:sz w:val="24"/>
          <w:szCs w:val="24"/>
        </w:rPr>
        <w:t>potential</w:t>
      </w:r>
      <w:proofErr w:type="gramEnd"/>
      <w:r w:rsidRPr="00910892">
        <w:rPr>
          <w:rFonts w:cs="Calibri"/>
          <w:sz w:val="24"/>
          <w:szCs w:val="24"/>
        </w:rPr>
        <w:t xml:space="preserve"> impact of natural disasters (e.g. earthquake, flooding, wildfires, drought) in accordance with state and local </w:t>
      </w:r>
      <w:proofErr w:type="gramStart"/>
      <w:r w:rsidRPr="00910892">
        <w:rPr>
          <w:rFonts w:cs="Calibri"/>
          <w:sz w:val="24"/>
          <w:szCs w:val="24"/>
        </w:rPr>
        <w:t>code;</w:t>
      </w:r>
      <w:proofErr w:type="gramEnd"/>
      <w:r w:rsidRPr="00910892">
        <w:rPr>
          <w:rFonts w:cs="Calibri"/>
          <w:sz w:val="24"/>
          <w:szCs w:val="24"/>
        </w:rPr>
        <w:t xml:space="preserve">  </w:t>
      </w:r>
    </w:p>
    <w:p w14:paraId="3B892151" w14:textId="405BD61A"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3. Estimate the useful remaining life of all </w:t>
      </w:r>
      <w:r w:rsidR="786E24D8" w:rsidRPr="00910892">
        <w:rPr>
          <w:rFonts w:cs="Calibri"/>
          <w:sz w:val="24"/>
          <w:szCs w:val="24"/>
        </w:rPr>
        <w:t>“</w:t>
      </w:r>
      <w:r w:rsidRPr="00910892">
        <w:rPr>
          <w:rFonts w:cs="Calibri"/>
          <w:sz w:val="24"/>
          <w:szCs w:val="24"/>
        </w:rPr>
        <w:t>Major Systems</w:t>
      </w:r>
      <w:r w:rsidR="35405FF9" w:rsidRPr="00910892">
        <w:rPr>
          <w:rFonts w:cs="Calibri"/>
          <w:sz w:val="24"/>
          <w:szCs w:val="24"/>
        </w:rPr>
        <w:t>”</w:t>
      </w:r>
      <w:r w:rsidRPr="00910892">
        <w:rPr>
          <w:rFonts w:cs="Calibri"/>
          <w:sz w:val="24"/>
          <w:szCs w:val="24"/>
        </w:rPr>
        <w:t xml:space="preserve"> and components based on current age and condition. </w:t>
      </w:r>
      <w:r w:rsidR="44096CDA" w:rsidRPr="00910892">
        <w:rPr>
          <w:rFonts w:cs="Calibri"/>
          <w:sz w:val="24"/>
          <w:szCs w:val="24"/>
        </w:rPr>
        <w:t>“</w:t>
      </w:r>
      <w:r w:rsidRPr="00910892">
        <w:rPr>
          <w:rFonts w:cs="Calibri"/>
          <w:sz w:val="24"/>
          <w:szCs w:val="24"/>
        </w:rPr>
        <w:t>Major Systems</w:t>
      </w:r>
      <w:r w:rsidR="09AC46AE" w:rsidRPr="00910892">
        <w:rPr>
          <w:rFonts w:cs="Calibri"/>
          <w:sz w:val="24"/>
          <w:szCs w:val="24"/>
        </w:rPr>
        <w:t>” are</w:t>
      </w:r>
      <w:r w:rsidRPr="00910892">
        <w:rPr>
          <w:rFonts w:cs="Calibri"/>
          <w:sz w:val="24"/>
          <w:szCs w:val="24"/>
        </w:rPr>
        <w:t xml:space="preserve"> defined as structural support, roofing, cladding and weatherproofing, plumbing, electrical, heating, and air conditioning.  </w:t>
      </w:r>
    </w:p>
    <w:p w14:paraId="16CFE18B"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4. Exterior walls, balconies, exterior doors and windows, roofing system and </w:t>
      </w:r>
      <w:proofErr w:type="gramStart"/>
      <w:r w:rsidRPr="00910892">
        <w:rPr>
          <w:rFonts w:cs="Calibri"/>
          <w:sz w:val="24"/>
          <w:szCs w:val="24"/>
        </w:rPr>
        <w:t>drainage;</w:t>
      </w:r>
      <w:proofErr w:type="gramEnd"/>
      <w:r w:rsidRPr="00910892">
        <w:rPr>
          <w:rFonts w:cs="Calibri"/>
          <w:sz w:val="24"/>
          <w:szCs w:val="24"/>
        </w:rPr>
        <w:t xml:space="preserve"> </w:t>
      </w:r>
    </w:p>
    <w:p w14:paraId="400C3F0E" w14:textId="385EE882"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5. Interior finishes of all units and tenant common areas (carpeting, vinyl tile, plaster walls, paint condition, etc.), unit kitchen finishes and appliances, unit bathroom finishes and fixtures; </w:t>
      </w:r>
      <w:r w:rsidR="509F5B17" w:rsidRPr="00910892">
        <w:rPr>
          <w:rFonts w:cs="Calibri"/>
          <w:sz w:val="24"/>
          <w:szCs w:val="24"/>
        </w:rPr>
        <w:t xml:space="preserve">and </w:t>
      </w:r>
    </w:p>
    <w:p w14:paraId="30DBC059"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6. Lobbies and corridors </w:t>
      </w:r>
    </w:p>
    <w:p w14:paraId="796EDC03" w14:textId="2AA1363E" w:rsidR="009A2C2E" w:rsidRPr="00910892" w:rsidRDefault="00A54170" w:rsidP="00910892">
      <w:pPr>
        <w:spacing w:beforeAutospacing="1" w:afterAutospacing="1"/>
        <w:jc w:val="both"/>
        <w:rPr>
          <w:rFonts w:cs="Calibri"/>
          <w:sz w:val="24"/>
          <w:szCs w:val="24"/>
        </w:rPr>
      </w:pPr>
      <w:r w:rsidRPr="00910892">
        <w:rPr>
          <w:rFonts w:cs="Calibri"/>
          <w:sz w:val="24"/>
          <w:szCs w:val="24"/>
        </w:rPr>
        <w:t xml:space="preserve">CNA </w:t>
      </w:r>
      <w:r w:rsidR="009A2C2E" w:rsidRPr="00910892">
        <w:rPr>
          <w:rFonts w:cs="Calibri"/>
          <w:sz w:val="24"/>
          <w:szCs w:val="24"/>
        </w:rPr>
        <w:t xml:space="preserve">Must Also Address </w:t>
      </w:r>
      <w:r w:rsidR="32F18507" w:rsidRPr="00910892">
        <w:rPr>
          <w:rFonts w:cs="Calibri"/>
          <w:sz w:val="24"/>
          <w:szCs w:val="24"/>
        </w:rPr>
        <w:t>t</w:t>
      </w:r>
      <w:r w:rsidR="7B270814" w:rsidRPr="00910892">
        <w:rPr>
          <w:rFonts w:cs="Calibri"/>
          <w:sz w:val="24"/>
          <w:szCs w:val="24"/>
        </w:rPr>
        <w:t>he</w:t>
      </w:r>
      <w:r w:rsidR="009A2C2E" w:rsidRPr="00910892">
        <w:rPr>
          <w:rFonts w:cs="Calibri"/>
          <w:sz w:val="24"/>
          <w:szCs w:val="24"/>
        </w:rPr>
        <w:t xml:space="preserve"> Following</w:t>
      </w:r>
      <w:r w:rsidR="3B87EEEB" w:rsidRPr="00910892">
        <w:rPr>
          <w:rFonts w:cs="Calibri"/>
          <w:sz w:val="24"/>
          <w:szCs w:val="24"/>
        </w:rPr>
        <w:t>:</w:t>
      </w:r>
    </w:p>
    <w:p w14:paraId="2CFB5C72" w14:textId="59C2D5AE" w:rsidR="009A2C2E" w:rsidRPr="00910892" w:rsidRDefault="009A2C2E" w:rsidP="00910892">
      <w:pPr>
        <w:numPr>
          <w:ilvl w:val="0"/>
          <w:numId w:val="17"/>
        </w:numPr>
        <w:spacing w:beforeAutospacing="1" w:afterAutospacing="1"/>
        <w:jc w:val="both"/>
        <w:rPr>
          <w:rFonts w:cs="Calibri"/>
          <w:sz w:val="24"/>
          <w:szCs w:val="24"/>
        </w:rPr>
      </w:pPr>
      <w:r w:rsidRPr="00910892">
        <w:rPr>
          <w:rFonts w:cs="Calibri"/>
          <w:sz w:val="24"/>
          <w:szCs w:val="24"/>
        </w:rPr>
        <w:t xml:space="preserve">Critical Repair Items- </w:t>
      </w:r>
      <w:r w:rsidR="16EF7E76" w:rsidRPr="00910892">
        <w:rPr>
          <w:rFonts w:cs="Calibri"/>
          <w:sz w:val="24"/>
          <w:szCs w:val="24"/>
        </w:rPr>
        <w:t>(</w:t>
      </w:r>
      <w:r w:rsidRPr="00910892">
        <w:rPr>
          <w:rFonts w:cs="Calibri"/>
          <w:sz w:val="24"/>
          <w:szCs w:val="24"/>
        </w:rPr>
        <w:t>Any health and safety deficiencies/violations of building code and local property standards/code that require immediate remediation</w:t>
      </w:r>
      <w:r w:rsidR="693A6087" w:rsidRPr="00910892">
        <w:rPr>
          <w:rFonts w:cs="Calibri"/>
          <w:sz w:val="24"/>
          <w:szCs w:val="24"/>
        </w:rPr>
        <w:t>)</w:t>
      </w:r>
      <w:r w:rsidR="7B270814" w:rsidRPr="00910892">
        <w:rPr>
          <w:rFonts w:cs="Calibri"/>
          <w:sz w:val="24"/>
          <w:szCs w:val="24"/>
        </w:rPr>
        <w:t>.</w:t>
      </w:r>
      <w:r w:rsidRPr="00910892">
        <w:rPr>
          <w:rFonts w:cs="Calibri"/>
          <w:sz w:val="24"/>
          <w:szCs w:val="24"/>
        </w:rPr>
        <w:t xml:space="preserve">   </w:t>
      </w:r>
    </w:p>
    <w:p w14:paraId="421656E8" w14:textId="21A03D94" w:rsidR="009A2C2E" w:rsidRPr="00910892" w:rsidRDefault="009A2C2E" w:rsidP="00910892">
      <w:pPr>
        <w:numPr>
          <w:ilvl w:val="0"/>
          <w:numId w:val="17"/>
        </w:numPr>
        <w:spacing w:beforeAutospacing="1" w:afterAutospacing="1"/>
        <w:jc w:val="both"/>
        <w:rPr>
          <w:rFonts w:cs="Calibri"/>
          <w:sz w:val="24"/>
          <w:szCs w:val="24"/>
        </w:rPr>
      </w:pPr>
      <w:r w:rsidRPr="00910892">
        <w:rPr>
          <w:rFonts w:cs="Calibri"/>
          <w:sz w:val="24"/>
          <w:szCs w:val="24"/>
        </w:rPr>
        <w:t xml:space="preserve">On-site inspection- </w:t>
      </w:r>
      <w:r w:rsidR="78709E97" w:rsidRPr="00910892">
        <w:rPr>
          <w:rFonts w:cs="Calibri"/>
          <w:sz w:val="24"/>
          <w:szCs w:val="24"/>
        </w:rPr>
        <w:t>(</w:t>
      </w:r>
      <w:r w:rsidRPr="00910892">
        <w:rPr>
          <w:rFonts w:cs="Calibri"/>
          <w:sz w:val="24"/>
          <w:szCs w:val="24"/>
        </w:rPr>
        <w:t>All units and tenant common areas</w:t>
      </w:r>
      <w:r w:rsidR="4F3E6F15" w:rsidRPr="00910892">
        <w:rPr>
          <w:rFonts w:cs="Calibri"/>
          <w:sz w:val="24"/>
          <w:szCs w:val="24"/>
        </w:rPr>
        <w:t>.)</w:t>
      </w:r>
      <w:r w:rsidRPr="00910892">
        <w:rPr>
          <w:rFonts w:cs="Calibri"/>
          <w:sz w:val="24"/>
          <w:szCs w:val="24"/>
        </w:rPr>
        <w:t xml:space="preserve">  </w:t>
      </w:r>
    </w:p>
    <w:p w14:paraId="6E10E5C9"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1. Identify all physical deficiencies based on (i) visual inspection and survey, (ii) review of pertinent documentation, and (iii) interviews with the property owner, management staff, tenants, community groups, and government </w:t>
      </w:r>
      <w:proofErr w:type="gramStart"/>
      <w:r w:rsidRPr="00910892">
        <w:rPr>
          <w:rFonts w:cs="Calibri"/>
          <w:sz w:val="24"/>
          <w:szCs w:val="24"/>
        </w:rPr>
        <w:t>officials;</w:t>
      </w:r>
      <w:proofErr w:type="gramEnd"/>
      <w:r w:rsidRPr="00910892">
        <w:rPr>
          <w:rFonts w:cs="Calibri"/>
          <w:sz w:val="24"/>
          <w:szCs w:val="24"/>
        </w:rPr>
        <w:t xml:space="preserve"> </w:t>
      </w:r>
    </w:p>
    <w:p w14:paraId="194C3241"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2. Explain how the Project will meet handicap accessibility </w:t>
      </w:r>
      <w:proofErr w:type="gramStart"/>
      <w:r w:rsidRPr="00910892">
        <w:rPr>
          <w:rFonts w:cs="Calibri"/>
          <w:sz w:val="24"/>
          <w:szCs w:val="24"/>
        </w:rPr>
        <w:t>requirements;</w:t>
      </w:r>
      <w:proofErr w:type="gramEnd"/>
      <w:r w:rsidRPr="00910892">
        <w:rPr>
          <w:rFonts w:cs="Calibri"/>
          <w:sz w:val="24"/>
          <w:szCs w:val="24"/>
        </w:rPr>
        <w:t xml:space="preserve">   </w:t>
      </w:r>
    </w:p>
    <w:p w14:paraId="1B30A030"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t xml:space="preserve">3. Identify physical obstacles and describe methods that can be taken to make the project </w:t>
      </w:r>
      <w:proofErr w:type="gramStart"/>
      <w:r w:rsidRPr="00910892">
        <w:rPr>
          <w:rFonts w:cs="Calibri"/>
          <w:sz w:val="24"/>
          <w:szCs w:val="24"/>
        </w:rPr>
        <w:t>accessible;</w:t>
      </w:r>
      <w:proofErr w:type="gramEnd"/>
      <w:r w:rsidRPr="00910892">
        <w:rPr>
          <w:rFonts w:cs="Calibri"/>
          <w:sz w:val="24"/>
          <w:szCs w:val="24"/>
        </w:rPr>
        <w:t xml:space="preserve"> </w:t>
      </w:r>
    </w:p>
    <w:p w14:paraId="337E0A3C" w14:textId="77777777" w:rsidR="009A2C2E" w:rsidRPr="00910892" w:rsidRDefault="009A2C2E" w:rsidP="00910892">
      <w:pPr>
        <w:spacing w:beforeAutospacing="1" w:afterAutospacing="1"/>
        <w:jc w:val="both"/>
        <w:rPr>
          <w:rFonts w:cs="Calibri"/>
          <w:sz w:val="24"/>
          <w:szCs w:val="24"/>
        </w:rPr>
      </w:pPr>
      <w:r w:rsidRPr="00910892">
        <w:rPr>
          <w:rFonts w:cs="Calibri"/>
          <w:sz w:val="24"/>
          <w:szCs w:val="24"/>
        </w:rPr>
        <w:lastRenderedPageBreak/>
        <w:t xml:space="preserve">4. Prepare a Scope of Work that follows the HOME Rehabilitation Standards See Admin Plan Exhibit </w:t>
      </w:r>
      <w:proofErr w:type="gramStart"/>
      <w:r w:rsidRPr="00910892">
        <w:rPr>
          <w:rFonts w:cs="Calibri"/>
          <w:sz w:val="24"/>
          <w:szCs w:val="24"/>
        </w:rPr>
        <w:t>C;</w:t>
      </w:r>
      <w:proofErr w:type="gramEnd"/>
      <w:r w:rsidRPr="00910892">
        <w:rPr>
          <w:rFonts w:cs="Calibri"/>
          <w:sz w:val="24"/>
          <w:szCs w:val="24"/>
        </w:rPr>
        <w:t xml:space="preserve">  </w:t>
      </w:r>
    </w:p>
    <w:p w14:paraId="1B8C2F69" w14:textId="4F1ADD42" w:rsidR="00844595" w:rsidRPr="00910892" w:rsidRDefault="009A2C2E" w:rsidP="00910892">
      <w:pPr>
        <w:spacing w:beforeAutospacing="1" w:afterAutospacing="1"/>
        <w:jc w:val="both"/>
        <w:rPr>
          <w:rFonts w:cs="Calibri"/>
          <w:sz w:val="24"/>
          <w:szCs w:val="24"/>
        </w:rPr>
      </w:pPr>
      <w:r w:rsidRPr="00910892">
        <w:rPr>
          <w:rFonts w:cs="Calibri"/>
          <w:sz w:val="24"/>
          <w:szCs w:val="24"/>
        </w:rPr>
        <w:t xml:space="preserve">5. Determine the cost/benefit of each significant work item in the rehabilitation plan (items greater than $5,000) that will reduce operating expenses and/or tenant expenses (e.g., individual utility metering, extra insulation, </w:t>
      </w:r>
      <w:proofErr w:type="spellStart"/>
      <w:r w:rsidRPr="00910892">
        <w:rPr>
          <w:rFonts w:cs="Calibri"/>
          <w:sz w:val="24"/>
          <w:szCs w:val="24"/>
        </w:rPr>
        <w:t>thermopane</w:t>
      </w:r>
      <w:proofErr w:type="spellEnd"/>
      <w:r w:rsidRPr="00910892">
        <w:rPr>
          <w:rFonts w:cs="Calibri"/>
          <w:sz w:val="24"/>
          <w:szCs w:val="24"/>
        </w:rPr>
        <w:t xml:space="preserve"> windows, and setback thermostats.</w:t>
      </w:r>
    </w:p>
    <w:bookmarkEnd w:id="50"/>
    <w:p w14:paraId="4C4572DC" w14:textId="6C038311" w:rsidR="00D61E55" w:rsidRPr="00910892" w:rsidRDefault="00D61E55" w:rsidP="00910892">
      <w:pPr>
        <w:spacing w:after="160" w:line="259" w:lineRule="auto"/>
        <w:jc w:val="both"/>
        <w:rPr>
          <w:rFonts w:cs="Calibri"/>
          <w:sz w:val="24"/>
          <w:szCs w:val="24"/>
        </w:rPr>
      </w:pPr>
    </w:p>
    <w:sectPr w:rsidR="00D61E55" w:rsidRPr="00910892" w:rsidSect="0084459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72456" w14:textId="77777777" w:rsidR="00EA59E7" w:rsidRDefault="00EA59E7">
      <w:pPr>
        <w:spacing w:after="0" w:line="240" w:lineRule="auto"/>
      </w:pPr>
      <w:r>
        <w:separator/>
      </w:r>
    </w:p>
  </w:endnote>
  <w:endnote w:type="continuationSeparator" w:id="0">
    <w:p w14:paraId="5C44A811" w14:textId="77777777" w:rsidR="00EA59E7" w:rsidRDefault="00EA59E7">
      <w:pPr>
        <w:spacing w:after="0" w:line="240" w:lineRule="auto"/>
      </w:pPr>
      <w:r>
        <w:continuationSeparator/>
      </w:r>
    </w:p>
  </w:endnote>
  <w:endnote w:type="continuationNotice" w:id="1">
    <w:p w14:paraId="34518EC3" w14:textId="77777777" w:rsidR="00EA59E7" w:rsidRDefault="00EA59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Look w:val="01E0" w:firstRow="1" w:lastRow="1" w:firstColumn="1" w:lastColumn="1" w:noHBand="0" w:noVBand="0"/>
    </w:tblPr>
    <w:tblGrid>
      <w:gridCol w:w="828"/>
      <w:gridCol w:w="7976"/>
      <w:gridCol w:w="772"/>
    </w:tblGrid>
    <w:tr w:rsidR="00320486" w14:paraId="51F226DF" w14:textId="77777777">
      <w:trPr>
        <w:jc w:val="center"/>
      </w:trPr>
      <w:tc>
        <w:tcPr>
          <w:tcW w:w="828" w:type="dxa"/>
        </w:tcPr>
        <w:p w14:paraId="17B14A66" w14:textId="77777777" w:rsidR="00320486" w:rsidRDefault="00320486">
          <w:pPr>
            <w:pStyle w:val="Footer"/>
            <w:spacing w:after="0" w:line="240" w:lineRule="auto"/>
            <w:jc w:val="center"/>
          </w:pPr>
        </w:p>
      </w:tc>
      <w:tc>
        <w:tcPr>
          <w:tcW w:w="7976" w:type="dxa"/>
        </w:tcPr>
        <w:p w14:paraId="4ECB219D" w14:textId="12D4B2AC" w:rsidR="00320486" w:rsidRDefault="00320486">
          <w:pPr>
            <w:pStyle w:val="Footer"/>
            <w:spacing w:after="0" w:line="240" w:lineRule="auto"/>
            <w:jc w:val="center"/>
            <w:rPr>
              <w:rFonts w:cs="Arial"/>
            </w:rPr>
          </w:pPr>
        </w:p>
      </w:tc>
      <w:tc>
        <w:tcPr>
          <w:tcW w:w="772" w:type="dxa"/>
        </w:tcPr>
        <w:p w14:paraId="61D560DF" w14:textId="77777777" w:rsidR="00320486" w:rsidRDefault="00320486">
          <w:pPr>
            <w:pStyle w:val="Footer"/>
            <w:spacing w:after="0" w:line="240" w:lineRule="auto"/>
            <w:jc w:val="right"/>
          </w:pPr>
          <w:r>
            <w:fldChar w:fldCharType="begin"/>
          </w:r>
          <w:r>
            <w:instrText>page</w:instrText>
          </w:r>
          <w:r>
            <w:fldChar w:fldCharType="separate"/>
          </w:r>
          <w:r>
            <w:t>1</w:t>
          </w:r>
          <w:r>
            <w:fldChar w:fldCharType="end"/>
          </w:r>
        </w:p>
      </w:tc>
    </w:tr>
  </w:tbl>
  <w:p w14:paraId="51CA2D60" w14:textId="1AED0B3C" w:rsidR="00320486" w:rsidRDefault="00320486" w:rsidP="00397B46">
    <w:pPr>
      <w:pStyle w:val="Footer"/>
      <w:spacing w:before="120" w:after="0"/>
      <w:rPr>
        <w:rFonts w:asciiTheme="minorHAnsi" w:hAnsiTheme="minorHAnsi"/>
        <w:b/>
        <w: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00DB3" w14:textId="77777777" w:rsidR="00721F16" w:rsidRDefault="00721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A3F9C" w14:textId="77777777" w:rsidR="00721F16" w:rsidRDefault="00721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A9DAD" w14:textId="77777777" w:rsidR="00EA59E7" w:rsidRDefault="00EA59E7">
      <w:pPr>
        <w:spacing w:after="0" w:line="240" w:lineRule="auto"/>
      </w:pPr>
      <w:r>
        <w:separator/>
      </w:r>
    </w:p>
  </w:footnote>
  <w:footnote w:type="continuationSeparator" w:id="0">
    <w:p w14:paraId="2E10C4F1" w14:textId="77777777" w:rsidR="00EA59E7" w:rsidRDefault="00EA59E7">
      <w:pPr>
        <w:spacing w:after="0" w:line="240" w:lineRule="auto"/>
      </w:pPr>
      <w:r>
        <w:continuationSeparator/>
      </w:r>
    </w:p>
  </w:footnote>
  <w:footnote w:type="continuationNotice" w:id="1">
    <w:p w14:paraId="0787775A" w14:textId="77777777" w:rsidR="00EA59E7" w:rsidRDefault="00EA59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F58A" w14:textId="77777777" w:rsidR="00721F16" w:rsidRDefault="00721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3A313" w14:textId="77777777" w:rsidR="00721F16" w:rsidRDefault="00721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8D44" w14:textId="77777777" w:rsidR="00721F16" w:rsidRDefault="00721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1C47C6E"/>
    <w:multiLevelType w:val="hybridMultilevel"/>
    <w:tmpl w:val="BCD49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2CF60"/>
    <w:multiLevelType w:val="multilevel"/>
    <w:tmpl w:val="386ACB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BA3CFD"/>
    <w:multiLevelType w:val="hybridMultilevel"/>
    <w:tmpl w:val="ED183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1FC4"/>
    <w:multiLevelType w:val="hybridMultilevel"/>
    <w:tmpl w:val="D3342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3B04FF"/>
    <w:multiLevelType w:val="hybridMultilevel"/>
    <w:tmpl w:val="9E247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FC3B96"/>
    <w:multiLevelType w:val="hybridMultilevel"/>
    <w:tmpl w:val="F49A511C"/>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C2F4FF"/>
    <w:multiLevelType w:val="hybridMultilevel"/>
    <w:tmpl w:val="8EDCF6C6"/>
    <w:lvl w:ilvl="0" w:tplc="D0C6DEAC">
      <w:start w:val="1"/>
      <w:numFmt w:val="decimal"/>
      <w:lvlText w:val="%1."/>
      <w:lvlJc w:val="left"/>
      <w:pPr>
        <w:ind w:left="720" w:hanging="360"/>
      </w:pPr>
    </w:lvl>
    <w:lvl w:ilvl="1" w:tplc="E7EE20E0">
      <w:start w:val="1"/>
      <w:numFmt w:val="lowerLetter"/>
      <w:lvlText w:val="%2."/>
      <w:lvlJc w:val="left"/>
      <w:pPr>
        <w:ind w:left="1440" w:hanging="360"/>
      </w:pPr>
    </w:lvl>
    <w:lvl w:ilvl="2" w:tplc="71C63CB6">
      <w:start w:val="1"/>
      <w:numFmt w:val="lowerRoman"/>
      <w:lvlText w:val="%3."/>
      <w:lvlJc w:val="right"/>
      <w:pPr>
        <w:ind w:left="2160" w:hanging="180"/>
      </w:pPr>
    </w:lvl>
    <w:lvl w:ilvl="3" w:tplc="953469B0">
      <w:start w:val="1"/>
      <w:numFmt w:val="decimal"/>
      <w:lvlText w:val="%4."/>
      <w:lvlJc w:val="left"/>
      <w:pPr>
        <w:ind w:left="2880" w:hanging="360"/>
      </w:pPr>
    </w:lvl>
    <w:lvl w:ilvl="4" w:tplc="F7CE2912">
      <w:start w:val="1"/>
      <w:numFmt w:val="lowerLetter"/>
      <w:lvlText w:val="%5."/>
      <w:lvlJc w:val="left"/>
      <w:pPr>
        <w:ind w:left="3600" w:hanging="360"/>
      </w:pPr>
    </w:lvl>
    <w:lvl w:ilvl="5" w:tplc="E5E4F698">
      <w:start w:val="1"/>
      <w:numFmt w:val="lowerRoman"/>
      <w:lvlText w:val="%6."/>
      <w:lvlJc w:val="right"/>
      <w:pPr>
        <w:ind w:left="4320" w:hanging="180"/>
      </w:pPr>
    </w:lvl>
    <w:lvl w:ilvl="6" w:tplc="E9EA6566">
      <w:start w:val="1"/>
      <w:numFmt w:val="decimal"/>
      <w:lvlText w:val="%7."/>
      <w:lvlJc w:val="left"/>
      <w:pPr>
        <w:ind w:left="5040" w:hanging="360"/>
      </w:pPr>
    </w:lvl>
    <w:lvl w:ilvl="7" w:tplc="57E8C69A">
      <w:start w:val="1"/>
      <w:numFmt w:val="lowerLetter"/>
      <w:lvlText w:val="%8."/>
      <w:lvlJc w:val="left"/>
      <w:pPr>
        <w:ind w:left="5760" w:hanging="360"/>
      </w:pPr>
    </w:lvl>
    <w:lvl w:ilvl="8" w:tplc="8F9CD64C">
      <w:start w:val="1"/>
      <w:numFmt w:val="lowerRoman"/>
      <w:lvlText w:val="%9."/>
      <w:lvlJc w:val="right"/>
      <w:pPr>
        <w:ind w:left="6480" w:hanging="180"/>
      </w:pPr>
    </w:lvl>
  </w:abstractNum>
  <w:abstractNum w:abstractNumId="8" w15:restartNumberingAfterBreak="0">
    <w:nsid w:val="0C9275E2"/>
    <w:multiLevelType w:val="hybridMultilevel"/>
    <w:tmpl w:val="FA12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C3081F"/>
    <w:multiLevelType w:val="hybridMultilevel"/>
    <w:tmpl w:val="D8108584"/>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F565C8"/>
    <w:multiLevelType w:val="hybridMultilevel"/>
    <w:tmpl w:val="F17E0C94"/>
    <w:lvl w:ilvl="0" w:tplc="FA7C0172">
      <w:start w:val="1"/>
      <w:numFmt w:val="bullet"/>
      <w:lvlText w:val=""/>
      <w:lvlJc w:val="left"/>
      <w:pPr>
        <w:ind w:left="720" w:hanging="360"/>
      </w:pPr>
      <w:rPr>
        <w:rFonts w:ascii="Symbol" w:hAnsi="Symbol" w:hint="default"/>
      </w:rPr>
    </w:lvl>
    <w:lvl w:ilvl="1" w:tplc="B8E848AA">
      <w:start w:val="1"/>
      <w:numFmt w:val="bullet"/>
      <w:lvlText w:val="o"/>
      <w:lvlJc w:val="left"/>
      <w:pPr>
        <w:ind w:left="1440" w:hanging="360"/>
      </w:pPr>
      <w:rPr>
        <w:rFonts w:ascii="Courier New" w:hAnsi="Courier New" w:hint="default"/>
      </w:rPr>
    </w:lvl>
    <w:lvl w:ilvl="2" w:tplc="EFEE33D4">
      <w:start w:val="1"/>
      <w:numFmt w:val="bullet"/>
      <w:lvlText w:val=""/>
      <w:lvlJc w:val="left"/>
      <w:pPr>
        <w:ind w:left="2160" w:hanging="360"/>
      </w:pPr>
      <w:rPr>
        <w:rFonts w:ascii="Wingdings" w:hAnsi="Wingdings" w:hint="default"/>
      </w:rPr>
    </w:lvl>
    <w:lvl w:ilvl="3" w:tplc="D37E3CCC">
      <w:start w:val="1"/>
      <w:numFmt w:val="bullet"/>
      <w:lvlText w:val=""/>
      <w:lvlJc w:val="left"/>
      <w:pPr>
        <w:ind w:left="2880" w:hanging="360"/>
      </w:pPr>
      <w:rPr>
        <w:rFonts w:ascii="Symbol" w:hAnsi="Symbol" w:hint="default"/>
      </w:rPr>
    </w:lvl>
    <w:lvl w:ilvl="4" w:tplc="BF6402AC">
      <w:start w:val="1"/>
      <w:numFmt w:val="bullet"/>
      <w:lvlText w:val="o"/>
      <w:lvlJc w:val="left"/>
      <w:pPr>
        <w:ind w:left="3600" w:hanging="360"/>
      </w:pPr>
      <w:rPr>
        <w:rFonts w:ascii="Courier New" w:hAnsi="Courier New" w:hint="default"/>
      </w:rPr>
    </w:lvl>
    <w:lvl w:ilvl="5" w:tplc="BCAA493C">
      <w:start w:val="1"/>
      <w:numFmt w:val="bullet"/>
      <w:lvlText w:val=""/>
      <w:lvlJc w:val="left"/>
      <w:pPr>
        <w:ind w:left="4320" w:hanging="360"/>
      </w:pPr>
      <w:rPr>
        <w:rFonts w:ascii="Wingdings" w:hAnsi="Wingdings" w:hint="default"/>
      </w:rPr>
    </w:lvl>
    <w:lvl w:ilvl="6" w:tplc="CFBE693A">
      <w:start w:val="1"/>
      <w:numFmt w:val="bullet"/>
      <w:lvlText w:val=""/>
      <w:lvlJc w:val="left"/>
      <w:pPr>
        <w:ind w:left="5040" w:hanging="360"/>
      </w:pPr>
      <w:rPr>
        <w:rFonts w:ascii="Symbol" w:hAnsi="Symbol" w:hint="default"/>
      </w:rPr>
    </w:lvl>
    <w:lvl w:ilvl="7" w:tplc="3D240740">
      <w:start w:val="1"/>
      <w:numFmt w:val="bullet"/>
      <w:lvlText w:val="o"/>
      <w:lvlJc w:val="left"/>
      <w:pPr>
        <w:ind w:left="5760" w:hanging="360"/>
      </w:pPr>
      <w:rPr>
        <w:rFonts w:ascii="Courier New" w:hAnsi="Courier New" w:hint="default"/>
      </w:rPr>
    </w:lvl>
    <w:lvl w:ilvl="8" w:tplc="66F43D6C">
      <w:start w:val="1"/>
      <w:numFmt w:val="bullet"/>
      <w:lvlText w:val=""/>
      <w:lvlJc w:val="left"/>
      <w:pPr>
        <w:ind w:left="6480" w:hanging="360"/>
      </w:pPr>
      <w:rPr>
        <w:rFonts w:ascii="Wingdings" w:hAnsi="Wingdings" w:hint="default"/>
      </w:rPr>
    </w:lvl>
  </w:abstractNum>
  <w:abstractNum w:abstractNumId="11" w15:restartNumberingAfterBreak="0">
    <w:nsid w:val="17D16C13"/>
    <w:multiLevelType w:val="hybridMultilevel"/>
    <w:tmpl w:val="BE2050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5A8D7F"/>
    <w:multiLevelType w:val="hybridMultilevel"/>
    <w:tmpl w:val="D5F23736"/>
    <w:lvl w:ilvl="0" w:tplc="60062BB4">
      <w:start w:val="1"/>
      <w:numFmt w:val="bullet"/>
      <w:lvlText w:val=""/>
      <w:lvlJc w:val="left"/>
      <w:pPr>
        <w:ind w:left="720" w:hanging="360"/>
      </w:pPr>
      <w:rPr>
        <w:rFonts w:ascii="Symbol" w:hAnsi="Symbol" w:hint="default"/>
      </w:rPr>
    </w:lvl>
    <w:lvl w:ilvl="1" w:tplc="ED5445B4">
      <w:start w:val="1"/>
      <w:numFmt w:val="bullet"/>
      <w:lvlText w:val="o"/>
      <w:lvlJc w:val="left"/>
      <w:pPr>
        <w:ind w:left="1440" w:hanging="360"/>
      </w:pPr>
      <w:rPr>
        <w:rFonts w:ascii="Courier New" w:hAnsi="Courier New" w:hint="default"/>
      </w:rPr>
    </w:lvl>
    <w:lvl w:ilvl="2" w:tplc="9C60B0B8">
      <w:start w:val="1"/>
      <w:numFmt w:val="bullet"/>
      <w:lvlText w:val=""/>
      <w:lvlJc w:val="left"/>
      <w:pPr>
        <w:ind w:left="2160" w:hanging="360"/>
      </w:pPr>
      <w:rPr>
        <w:rFonts w:ascii="Wingdings" w:hAnsi="Wingdings" w:hint="default"/>
      </w:rPr>
    </w:lvl>
    <w:lvl w:ilvl="3" w:tplc="F31AE71E">
      <w:start w:val="1"/>
      <w:numFmt w:val="bullet"/>
      <w:lvlText w:val=""/>
      <w:lvlJc w:val="left"/>
      <w:pPr>
        <w:ind w:left="2880" w:hanging="360"/>
      </w:pPr>
      <w:rPr>
        <w:rFonts w:ascii="Symbol" w:hAnsi="Symbol" w:hint="default"/>
      </w:rPr>
    </w:lvl>
    <w:lvl w:ilvl="4" w:tplc="F230D5D2">
      <w:start w:val="1"/>
      <w:numFmt w:val="bullet"/>
      <w:lvlText w:val="o"/>
      <w:lvlJc w:val="left"/>
      <w:pPr>
        <w:ind w:left="3600" w:hanging="360"/>
      </w:pPr>
      <w:rPr>
        <w:rFonts w:ascii="Courier New" w:hAnsi="Courier New" w:hint="default"/>
      </w:rPr>
    </w:lvl>
    <w:lvl w:ilvl="5" w:tplc="8F3ECE7A">
      <w:start w:val="1"/>
      <w:numFmt w:val="bullet"/>
      <w:lvlText w:val=""/>
      <w:lvlJc w:val="left"/>
      <w:pPr>
        <w:ind w:left="4320" w:hanging="360"/>
      </w:pPr>
      <w:rPr>
        <w:rFonts w:ascii="Wingdings" w:hAnsi="Wingdings" w:hint="default"/>
      </w:rPr>
    </w:lvl>
    <w:lvl w:ilvl="6" w:tplc="AD1A42AC">
      <w:start w:val="1"/>
      <w:numFmt w:val="bullet"/>
      <w:lvlText w:val=""/>
      <w:lvlJc w:val="left"/>
      <w:pPr>
        <w:ind w:left="5040" w:hanging="360"/>
      </w:pPr>
      <w:rPr>
        <w:rFonts w:ascii="Symbol" w:hAnsi="Symbol" w:hint="default"/>
      </w:rPr>
    </w:lvl>
    <w:lvl w:ilvl="7" w:tplc="2CDE8536">
      <w:start w:val="1"/>
      <w:numFmt w:val="bullet"/>
      <w:lvlText w:val="o"/>
      <w:lvlJc w:val="left"/>
      <w:pPr>
        <w:ind w:left="5760" w:hanging="360"/>
      </w:pPr>
      <w:rPr>
        <w:rFonts w:ascii="Courier New" w:hAnsi="Courier New" w:hint="default"/>
      </w:rPr>
    </w:lvl>
    <w:lvl w:ilvl="8" w:tplc="0DBA0BEA">
      <w:start w:val="1"/>
      <w:numFmt w:val="bullet"/>
      <w:lvlText w:val=""/>
      <w:lvlJc w:val="left"/>
      <w:pPr>
        <w:ind w:left="6480" w:hanging="360"/>
      </w:pPr>
      <w:rPr>
        <w:rFonts w:ascii="Wingdings" w:hAnsi="Wingdings" w:hint="default"/>
      </w:rPr>
    </w:lvl>
  </w:abstractNum>
  <w:abstractNum w:abstractNumId="13" w15:restartNumberingAfterBreak="0">
    <w:nsid w:val="1B17EE15"/>
    <w:multiLevelType w:val="multilevel"/>
    <w:tmpl w:val="34062E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CA1E73"/>
    <w:multiLevelType w:val="hybridMultilevel"/>
    <w:tmpl w:val="B664A3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DED44D8"/>
    <w:multiLevelType w:val="hybridMultilevel"/>
    <w:tmpl w:val="C896B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2B0B0B"/>
    <w:multiLevelType w:val="hybridMultilevel"/>
    <w:tmpl w:val="FFFFFFFF"/>
    <w:lvl w:ilvl="0" w:tplc="8950381A">
      <w:start w:val="1"/>
      <w:numFmt w:val="decimal"/>
      <w:lvlText w:val="%1."/>
      <w:lvlJc w:val="left"/>
      <w:pPr>
        <w:ind w:left="720" w:hanging="360"/>
      </w:pPr>
    </w:lvl>
    <w:lvl w:ilvl="1" w:tplc="A4363F7E">
      <w:start w:val="1"/>
      <w:numFmt w:val="lowerLetter"/>
      <w:lvlText w:val="%2."/>
      <w:lvlJc w:val="left"/>
      <w:pPr>
        <w:ind w:left="1440" w:hanging="360"/>
      </w:pPr>
    </w:lvl>
    <w:lvl w:ilvl="2" w:tplc="535E99A2">
      <w:start w:val="1"/>
      <w:numFmt w:val="lowerRoman"/>
      <w:lvlText w:val="%3."/>
      <w:lvlJc w:val="right"/>
      <w:pPr>
        <w:ind w:left="2160" w:hanging="180"/>
      </w:pPr>
    </w:lvl>
    <w:lvl w:ilvl="3" w:tplc="609EFF32">
      <w:start w:val="1"/>
      <w:numFmt w:val="decimal"/>
      <w:lvlText w:val="%4."/>
      <w:lvlJc w:val="left"/>
      <w:pPr>
        <w:ind w:left="2880" w:hanging="360"/>
      </w:pPr>
    </w:lvl>
    <w:lvl w:ilvl="4" w:tplc="D1DC69A4">
      <w:start w:val="1"/>
      <w:numFmt w:val="lowerLetter"/>
      <w:lvlText w:val="%5."/>
      <w:lvlJc w:val="left"/>
      <w:pPr>
        <w:ind w:left="3600" w:hanging="360"/>
      </w:pPr>
    </w:lvl>
    <w:lvl w:ilvl="5" w:tplc="20A6F39C">
      <w:start w:val="1"/>
      <w:numFmt w:val="lowerRoman"/>
      <w:lvlText w:val="%6."/>
      <w:lvlJc w:val="right"/>
      <w:pPr>
        <w:ind w:left="4320" w:hanging="180"/>
      </w:pPr>
    </w:lvl>
    <w:lvl w:ilvl="6" w:tplc="48CACA76">
      <w:start w:val="1"/>
      <w:numFmt w:val="decimal"/>
      <w:lvlText w:val="%7."/>
      <w:lvlJc w:val="left"/>
      <w:pPr>
        <w:ind w:left="5040" w:hanging="360"/>
      </w:pPr>
    </w:lvl>
    <w:lvl w:ilvl="7" w:tplc="B4722ED2">
      <w:start w:val="1"/>
      <w:numFmt w:val="lowerLetter"/>
      <w:lvlText w:val="%8."/>
      <w:lvlJc w:val="left"/>
      <w:pPr>
        <w:ind w:left="5760" w:hanging="360"/>
      </w:pPr>
    </w:lvl>
    <w:lvl w:ilvl="8" w:tplc="8AE02EC8">
      <w:start w:val="1"/>
      <w:numFmt w:val="lowerRoman"/>
      <w:lvlText w:val="%9."/>
      <w:lvlJc w:val="right"/>
      <w:pPr>
        <w:ind w:left="6480" w:hanging="180"/>
      </w:pPr>
    </w:lvl>
  </w:abstractNum>
  <w:abstractNum w:abstractNumId="17" w15:restartNumberingAfterBreak="0">
    <w:nsid w:val="20DEE1EC"/>
    <w:multiLevelType w:val="hybridMultilevel"/>
    <w:tmpl w:val="93B862A6"/>
    <w:lvl w:ilvl="0" w:tplc="DB248F34">
      <w:start w:val="1"/>
      <w:numFmt w:val="decimal"/>
      <w:lvlText w:val="%1."/>
      <w:lvlJc w:val="left"/>
      <w:pPr>
        <w:ind w:left="720" w:hanging="360"/>
      </w:pPr>
    </w:lvl>
    <w:lvl w:ilvl="1" w:tplc="258A90F2">
      <w:start w:val="1"/>
      <w:numFmt w:val="lowerLetter"/>
      <w:lvlText w:val="%2."/>
      <w:lvlJc w:val="left"/>
      <w:pPr>
        <w:ind w:left="1440" w:hanging="360"/>
      </w:pPr>
    </w:lvl>
    <w:lvl w:ilvl="2" w:tplc="174ADF02">
      <w:start w:val="1"/>
      <w:numFmt w:val="lowerRoman"/>
      <w:lvlText w:val="%3."/>
      <w:lvlJc w:val="right"/>
      <w:pPr>
        <w:ind w:left="2160" w:hanging="180"/>
      </w:pPr>
    </w:lvl>
    <w:lvl w:ilvl="3" w:tplc="E9F62F66">
      <w:start w:val="1"/>
      <w:numFmt w:val="decimal"/>
      <w:lvlText w:val="%4."/>
      <w:lvlJc w:val="left"/>
      <w:pPr>
        <w:ind w:left="2880" w:hanging="360"/>
      </w:pPr>
    </w:lvl>
    <w:lvl w:ilvl="4" w:tplc="AD727E76">
      <w:start w:val="1"/>
      <w:numFmt w:val="lowerLetter"/>
      <w:lvlText w:val="%5."/>
      <w:lvlJc w:val="left"/>
      <w:pPr>
        <w:ind w:left="3600" w:hanging="360"/>
      </w:pPr>
    </w:lvl>
    <w:lvl w:ilvl="5" w:tplc="06181422">
      <w:start w:val="1"/>
      <w:numFmt w:val="lowerRoman"/>
      <w:lvlText w:val="%6."/>
      <w:lvlJc w:val="right"/>
      <w:pPr>
        <w:ind w:left="4320" w:hanging="180"/>
      </w:pPr>
    </w:lvl>
    <w:lvl w:ilvl="6" w:tplc="ABB02BF4">
      <w:start w:val="1"/>
      <w:numFmt w:val="decimal"/>
      <w:lvlText w:val="%7."/>
      <w:lvlJc w:val="left"/>
      <w:pPr>
        <w:ind w:left="5040" w:hanging="360"/>
      </w:pPr>
    </w:lvl>
    <w:lvl w:ilvl="7" w:tplc="B7444520">
      <w:start w:val="1"/>
      <w:numFmt w:val="lowerLetter"/>
      <w:lvlText w:val="%8."/>
      <w:lvlJc w:val="left"/>
      <w:pPr>
        <w:ind w:left="5760" w:hanging="360"/>
      </w:pPr>
    </w:lvl>
    <w:lvl w:ilvl="8" w:tplc="5EDC930E">
      <w:start w:val="1"/>
      <w:numFmt w:val="lowerRoman"/>
      <w:lvlText w:val="%9."/>
      <w:lvlJc w:val="right"/>
      <w:pPr>
        <w:ind w:left="6480" w:hanging="180"/>
      </w:pPr>
    </w:lvl>
  </w:abstractNum>
  <w:abstractNum w:abstractNumId="18" w15:restartNumberingAfterBreak="0">
    <w:nsid w:val="21A85CD3"/>
    <w:multiLevelType w:val="hybridMultilevel"/>
    <w:tmpl w:val="9132973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9" w15:restartNumberingAfterBreak="0">
    <w:nsid w:val="23077A95"/>
    <w:multiLevelType w:val="hybridMultilevel"/>
    <w:tmpl w:val="EB5CD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881089"/>
    <w:multiLevelType w:val="hybridMultilevel"/>
    <w:tmpl w:val="1FE0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B8F3A"/>
    <w:multiLevelType w:val="hybridMultilevel"/>
    <w:tmpl w:val="DEB0BE2A"/>
    <w:lvl w:ilvl="0" w:tplc="D2E67334">
      <w:start w:val="1"/>
      <w:numFmt w:val="bullet"/>
      <w:lvlText w:val=""/>
      <w:lvlJc w:val="left"/>
      <w:pPr>
        <w:ind w:left="720" w:hanging="360"/>
      </w:pPr>
      <w:rPr>
        <w:rFonts w:ascii="Symbol" w:hAnsi="Symbol" w:hint="default"/>
      </w:rPr>
    </w:lvl>
    <w:lvl w:ilvl="1" w:tplc="22E4D22E">
      <w:start w:val="1"/>
      <w:numFmt w:val="bullet"/>
      <w:lvlText w:val="o"/>
      <w:lvlJc w:val="left"/>
      <w:pPr>
        <w:ind w:left="1440" w:hanging="360"/>
      </w:pPr>
      <w:rPr>
        <w:rFonts w:ascii="Courier New" w:hAnsi="Courier New" w:hint="default"/>
      </w:rPr>
    </w:lvl>
    <w:lvl w:ilvl="2" w:tplc="A8A6636E">
      <w:start w:val="1"/>
      <w:numFmt w:val="bullet"/>
      <w:lvlText w:val=""/>
      <w:lvlJc w:val="left"/>
      <w:pPr>
        <w:ind w:left="2160" w:hanging="360"/>
      </w:pPr>
      <w:rPr>
        <w:rFonts w:ascii="Wingdings" w:hAnsi="Wingdings" w:hint="default"/>
      </w:rPr>
    </w:lvl>
    <w:lvl w:ilvl="3" w:tplc="E20A3280">
      <w:start w:val="1"/>
      <w:numFmt w:val="bullet"/>
      <w:lvlText w:val=""/>
      <w:lvlJc w:val="left"/>
      <w:pPr>
        <w:ind w:left="2880" w:hanging="360"/>
      </w:pPr>
      <w:rPr>
        <w:rFonts w:ascii="Symbol" w:hAnsi="Symbol" w:hint="default"/>
      </w:rPr>
    </w:lvl>
    <w:lvl w:ilvl="4" w:tplc="D8061EA0">
      <w:start w:val="1"/>
      <w:numFmt w:val="bullet"/>
      <w:lvlText w:val="o"/>
      <w:lvlJc w:val="left"/>
      <w:pPr>
        <w:ind w:left="3600" w:hanging="360"/>
      </w:pPr>
      <w:rPr>
        <w:rFonts w:ascii="Courier New" w:hAnsi="Courier New" w:hint="default"/>
      </w:rPr>
    </w:lvl>
    <w:lvl w:ilvl="5" w:tplc="44024C92">
      <w:start w:val="1"/>
      <w:numFmt w:val="bullet"/>
      <w:lvlText w:val=""/>
      <w:lvlJc w:val="left"/>
      <w:pPr>
        <w:ind w:left="4320" w:hanging="360"/>
      </w:pPr>
      <w:rPr>
        <w:rFonts w:ascii="Wingdings" w:hAnsi="Wingdings" w:hint="default"/>
      </w:rPr>
    </w:lvl>
    <w:lvl w:ilvl="6" w:tplc="1630B738">
      <w:start w:val="1"/>
      <w:numFmt w:val="bullet"/>
      <w:lvlText w:val=""/>
      <w:lvlJc w:val="left"/>
      <w:pPr>
        <w:ind w:left="5040" w:hanging="360"/>
      </w:pPr>
      <w:rPr>
        <w:rFonts w:ascii="Symbol" w:hAnsi="Symbol" w:hint="default"/>
      </w:rPr>
    </w:lvl>
    <w:lvl w:ilvl="7" w:tplc="572CA0F2">
      <w:start w:val="1"/>
      <w:numFmt w:val="bullet"/>
      <w:lvlText w:val="o"/>
      <w:lvlJc w:val="left"/>
      <w:pPr>
        <w:ind w:left="5760" w:hanging="360"/>
      </w:pPr>
      <w:rPr>
        <w:rFonts w:ascii="Courier New" w:hAnsi="Courier New" w:hint="default"/>
      </w:rPr>
    </w:lvl>
    <w:lvl w:ilvl="8" w:tplc="118212C0">
      <w:start w:val="1"/>
      <w:numFmt w:val="bullet"/>
      <w:lvlText w:val=""/>
      <w:lvlJc w:val="left"/>
      <w:pPr>
        <w:ind w:left="6480" w:hanging="360"/>
      </w:pPr>
      <w:rPr>
        <w:rFonts w:ascii="Wingdings" w:hAnsi="Wingdings" w:hint="default"/>
      </w:rPr>
    </w:lvl>
  </w:abstractNum>
  <w:abstractNum w:abstractNumId="22" w15:restartNumberingAfterBreak="0">
    <w:nsid w:val="2B546A64"/>
    <w:multiLevelType w:val="multilevel"/>
    <w:tmpl w:val="AA14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22D01B"/>
    <w:multiLevelType w:val="hybridMultilevel"/>
    <w:tmpl w:val="6108C8A0"/>
    <w:lvl w:ilvl="0" w:tplc="2E04D5EC">
      <w:start w:val="1"/>
      <w:numFmt w:val="bullet"/>
      <w:lvlText w:val=""/>
      <w:lvlJc w:val="left"/>
      <w:pPr>
        <w:ind w:left="720" w:hanging="360"/>
      </w:pPr>
      <w:rPr>
        <w:rFonts w:ascii="Symbol" w:hAnsi="Symbol" w:hint="default"/>
      </w:rPr>
    </w:lvl>
    <w:lvl w:ilvl="1" w:tplc="69DA3970">
      <w:start w:val="1"/>
      <w:numFmt w:val="bullet"/>
      <w:lvlText w:val="o"/>
      <w:lvlJc w:val="left"/>
      <w:pPr>
        <w:ind w:left="1440" w:hanging="360"/>
      </w:pPr>
      <w:rPr>
        <w:rFonts w:ascii="Courier New" w:hAnsi="Courier New" w:hint="default"/>
      </w:rPr>
    </w:lvl>
    <w:lvl w:ilvl="2" w:tplc="0A7CAA4E">
      <w:start w:val="1"/>
      <w:numFmt w:val="bullet"/>
      <w:lvlText w:val=""/>
      <w:lvlJc w:val="left"/>
      <w:pPr>
        <w:ind w:left="2160" w:hanging="360"/>
      </w:pPr>
      <w:rPr>
        <w:rFonts w:ascii="Wingdings" w:hAnsi="Wingdings" w:hint="default"/>
      </w:rPr>
    </w:lvl>
    <w:lvl w:ilvl="3" w:tplc="F48AD982">
      <w:start w:val="1"/>
      <w:numFmt w:val="bullet"/>
      <w:lvlText w:val=""/>
      <w:lvlJc w:val="left"/>
      <w:pPr>
        <w:ind w:left="2880" w:hanging="360"/>
      </w:pPr>
      <w:rPr>
        <w:rFonts w:ascii="Symbol" w:hAnsi="Symbol" w:hint="default"/>
      </w:rPr>
    </w:lvl>
    <w:lvl w:ilvl="4" w:tplc="0BC0012E">
      <w:start w:val="1"/>
      <w:numFmt w:val="bullet"/>
      <w:lvlText w:val="o"/>
      <w:lvlJc w:val="left"/>
      <w:pPr>
        <w:ind w:left="3600" w:hanging="360"/>
      </w:pPr>
      <w:rPr>
        <w:rFonts w:ascii="Courier New" w:hAnsi="Courier New" w:hint="default"/>
      </w:rPr>
    </w:lvl>
    <w:lvl w:ilvl="5" w:tplc="983EF812">
      <w:start w:val="1"/>
      <w:numFmt w:val="bullet"/>
      <w:lvlText w:val=""/>
      <w:lvlJc w:val="left"/>
      <w:pPr>
        <w:ind w:left="4320" w:hanging="360"/>
      </w:pPr>
      <w:rPr>
        <w:rFonts w:ascii="Wingdings" w:hAnsi="Wingdings" w:hint="default"/>
      </w:rPr>
    </w:lvl>
    <w:lvl w:ilvl="6" w:tplc="5D0273DC">
      <w:start w:val="1"/>
      <w:numFmt w:val="bullet"/>
      <w:lvlText w:val=""/>
      <w:lvlJc w:val="left"/>
      <w:pPr>
        <w:ind w:left="5040" w:hanging="360"/>
      </w:pPr>
      <w:rPr>
        <w:rFonts w:ascii="Symbol" w:hAnsi="Symbol" w:hint="default"/>
      </w:rPr>
    </w:lvl>
    <w:lvl w:ilvl="7" w:tplc="1CEA96D0">
      <w:start w:val="1"/>
      <w:numFmt w:val="bullet"/>
      <w:lvlText w:val="o"/>
      <w:lvlJc w:val="left"/>
      <w:pPr>
        <w:ind w:left="5760" w:hanging="360"/>
      </w:pPr>
      <w:rPr>
        <w:rFonts w:ascii="Courier New" w:hAnsi="Courier New" w:hint="default"/>
      </w:rPr>
    </w:lvl>
    <w:lvl w:ilvl="8" w:tplc="3FC03748">
      <w:start w:val="1"/>
      <w:numFmt w:val="bullet"/>
      <w:lvlText w:val=""/>
      <w:lvlJc w:val="left"/>
      <w:pPr>
        <w:ind w:left="6480" w:hanging="360"/>
      </w:pPr>
      <w:rPr>
        <w:rFonts w:ascii="Wingdings" w:hAnsi="Wingdings" w:hint="default"/>
      </w:rPr>
    </w:lvl>
  </w:abstractNum>
  <w:abstractNum w:abstractNumId="24" w15:restartNumberingAfterBreak="0">
    <w:nsid w:val="320D6031"/>
    <w:multiLevelType w:val="hybridMultilevel"/>
    <w:tmpl w:val="E4A8B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FC1FE7"/>
    <w:multiLevelType w:val="hybridMultilevel"/>
    <w:tmpl w:val="C6D2EE7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A8A8156"/>
    <w:multiLevelType w:val="hybridMultilevel"/>
    <w:tmpl w:val="3080EAA6"/>
    <w:lvl w:ilvl="0" w:tplc="89BA2B98">
      <w:start w:val="1"/>
      <w:numFmt w:val="decimal"/>
      <w:lvlText w:val="%1."/>
      <w:lvlJc w:val="left"/>
      <w:pPr>
        <w:ind w:left="720" w:hanging="360"/>
      </w:pPr>
    </w:lvl>
    <w:lvl w:ilvl="1" w:tplc="CAC2074E">
      <w:start w:val="1"/>
      <w:numFmt w:val="lowerLetter"/>
      <w:lvlText w:val="%2."/>
      <w:lvlJc w:val="left"/>
      <w:pPr>
        <w:ind w:left="1440" w:hanging="360"/>
      </w:pPr>
    </w:lvl>
    <w:lvl w:ilvl="2" w:tplc="8B305566">
      <w:start w:val="1"/>
      <w:numFmt w:val="lowerRoman"/>
      <w:lvlText w:val="%3."/>
      <w:lvlJc w:val="right"/>
      <w:pPr>
        <w:ind w:left="2160" w:hanging="180"/>
      </w:pPr>
    </w:lvl>
    <w:lvl w:ilvl="3" w:tplc="B59216E2">
      <w:start w:val="1"/>
      <w:numFmt w:val="decimal"/>
      <w:lvlText w:val="%4."/>
      <w:lvlJc w:val="left"/>
      <w:pPr>
        <w:ind w:left="2880" w:hanging="360"/>
      </w:pPr>
    </w:lvl>
    <w:lvl w:ilvl="4" w:tplc="3A10FA74">
      <w:start w:val="1"/>
      <w:numFmt w:val="lowerLetter"/>
      <w:lvlText w:val="%5."/>
      <w:lvlJc w:val="left"/>
      <w:pPr>
        <w:ind w:left="3600" w:hanging="360"/>
      </w:pPr>
    </w:lvl>
    <w:lvl w:ilvl="5" w:tplc="C934716E">
      <w:start w:val="1"/>
      <w:numFmt w:val="lowerRoman"/>
      <w:lvlText w:val="%6."/>
      <w:lvlJc w:val="right"/>
      <w:pPr>
        <w:ind w:left="4320" w:hanging="180"/>
      </w:pPr>
    </w:lvl>
    <w:lvl w:ilvl="6" w:tplc="002848A6">
      <w:start w:val="1"/>
      <w:numFmt w:val="decimal"/>
      <w:lvlText w:val="%7."/>
      <w:lvlJc w:val="left"/>
      <w:pPr>
        <w:ind w:left="5040" w:hanging="360"/>
      </w:pPr>
    </w:lvl>
    <w:lvl w:ilvl="7" w:tplc="7B5CFA98">
      <w:start w:val="1"/>
      <w:numFmt w:val="lowerLetter"/>
      <w:lvlText w:val="%8."/>
      <w:lvlJc w:val="left"/>
      <w:pPr>
        <w:ind w:left="5760" w:hanging="360"/>
      </w:pPr>
    </w:lvl>
    <w:lvl w:ilvl="8" w:tplc="24D09622">
      <w:start w:val="1"/>
      <w:numFmt w:val="lowerRoman"/>
      <w:lvlText w:val="%9."/>
      <w:lvlJc w:val="right"/>
      <w:pPr>
        <w:ind w:left="6480" w:hanging="180"/>
      </w:pPr>
    </w:lvl>
  </w:abstractNum>
  <w:abstractNum w:abstractNumId="27" w15:restartNumberingAfterBreak="0">
    <w:nsid w:val="3B55C00E"/>
    <w:multiLevelType w:val="multilevel"/>
    <w:tmpl w:val="74F68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E481A52"/>
    <w:multiLevelType w:val="multilevel"/>
    <w:tmpl w:val="9B802232"/>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Calibri" w:eastAsia="Calibri" w:hAnsi="Calibri" w:cs="Calibri" w:hint="default"/>
        <w:b w:val="0"/>
        <w:sz w:val="22"/>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A4A43C"/>
    <w:multiLevelType w:val="multilevel"/>
    <w:tmpl w:val="E9249DAE"/>
    <w:lvl w:ilvl="0">
      <w:start w:val="1"/>
      <w:numFmt w:val="bullet"/>
      <w:lvlText w:val="o"/>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30" w15:restartNumberingAfterBreak="0">
    <w:nsid w:val="436F3059"/>
    <w:multiLevelType w:val="hybridMultilevel"/>
    <w:tmpl w:val="0D889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AC61A1"/>
    <w:multiLevelType w:val="hybridMultilevel"/>
    <w:tmpl w:val="426C7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F0337"/>
    <w:multiLevelType w:val="hybridMultilevel"/>
    <w:tmpl w:val="7EFC027A"/>
    <w:lvl w:ilvl="0" w:tplc="468CE28C">
      <w:start w:val="1"/>
      <w:numFmt w:val="decimal"/>
      <w:lvlText w:val="%1."/>
      <w:lvlJc w:val="left"/>
      <w:pPr>
        <w:ind w:left="720" w:hanging="360"/>
      </w:pPr>
    </w:lvl>
    <w:lvl w:ilvl="1" w:tplc="DA4066D4">
      <w:start w:val="1"/>
      <w:numFmt w:val="lowerLetter"/>
      <w:lvlText w:val="%2."/>
      <w:lvlJc w:val="left"/>
      <w:pPr>
        <w:ind w:left="1440" w:hanging="360"/>
      </w:pPr>
    </w:lvl>
    <w:lvl w:ilvl="2" w:tplc="68723306">
      <w:start w:val="1"/>
      <w:numFmt w:val="lowerRoman"/>
      <w:lvlText w:val="%3."/>
      <w:lvlJc w:val="right"/>
      <w:pPr>
        <w:ind w:left="2160" w:hanging="180"/>
      </w:pPr>
    </w:lvl>
    <w:lvl w:ilvl="3" w:tplc="CE2C1D98">
      <w:start w:val="1"/>
      <w:numFmt w:val="decimal"/>
      <w:lvlText w:val="%4."/>
      <w:lvlJc w:val="left"/>
      <w:pPr>
        <w:ind w:left="2880" w:hanging="360"/>
      </w:pPr>
    </w:lvl>
    <w:lvl w:ilvl="4" w:tplc="92FC7A62">
      <w:start w:val="1"/>
      <w:numFmt w:val="lowerLetter"/>
      <w:lvlText w:val="%5."/>
      <w:lvlJc w:val="left"/>
      <w:pPr>
        <w:ind w:left="3600" w:hanging="360"/>
      </w:pPr>
    </w:lvl>
    <w:lvl w:ilvl="5" w:tplc="792C0364">
      <w:start w:val="1"/>
      <w:numFmt w:val="lowerRoman"/>
      <w:lvlText w:val="%6."/>
      <w:lvlJc w:val="right"/>
      <w:pPr>
        <w:ind w:left="4320" w:hanging="180"/>
      </w:pPr>
    </w:lvl>
    <w:lvl w:ilvl="6" w:tplc="88C2E21C">
      <w:start w:val="1"/>
      <w:numFmt w:val="decimal"/>
      <w:lvlText w:val="%7."/>
      <w:lvlJc w:val="left"/>
      <w:pPr>
        <w:ind w:left="5040" w:hanging="360"/>
      </w:pPr>
    </w:lvl>
    <w:lvl w:ilvl="7" w:tplc="0EB47428">
      <w:start w:val="1"/>
      <w:numFmt w:val="lowerLetter"/>
      <w:lvlText w:val="%8."/>
      <w:lvlJc w:val="left"/>
      <w:pPr>
        <w:ind w:left="5760" w:hanging="360"/>
      </w:pPr>
    </w:lvl>
    <w:lvl w:ilvl="8" w:tplc="C5C82286">
      <w:start w:val="1"/>
      <w:numFmt w:val="lowerRoman"/>
      <w:lvlText w:val="%9."/>
      <w:lvlJc w:val="right"/>
      <w:pPr>
        <w:ind w:left="6480" w:hanging="180"/>
      </w:pPr>
    </w:lvl>
  </w:abstractNum>
  <w:abstractNum w:abstractNumId="33" w15:restartNumberingAfterBreak="0">
    <w:nsid w:val="4FBC1DEC"/>
    <w:multiLevelType w:val="hybridMultilevel"/>
    <w:tmpl w:val="DE723C6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12304AB"/>
    <w:multiLevelType w:val="hybridMultilevel"/>
    <w:tmpl w:val="A608E966"/>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alibri" w:eastAsia="Calibri" w:hAnsi="Calibri" w:cs="Calibr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5086D4F"/>
    <w:multiLevelType w:val="hybridMultilevel"/>
    <w:tmpl w:val="761A3AF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6" w15:restartNumberingAfterBreak="0">
    <w:nsid w:val="57B9AEFE"/>
    <w:multiLevelType w:val="hybridMultilevel"/>
    <w:tmpl w:val="857C60E0"/>
    <w:lvl w:ilvl="0" w:tplc="FE3A933E">
      <w:start w:val="1"/>
      <w:numFmt w:val="bullet"/>
      <w:lvlText w:val=""/>
      <w:lvlJc w:val="left"/>
      <w:pPr>
        <w:ind w:left="720" w:hanging="360"/>
      </w:pPr>
      <w:rPr>
        <w:rFonts w:ascii="Symbol" w:hAnsi="Symbol" w:hint="default"/>
      </w:rPr>
    </w:lvl>
    <w:lvl w:ilvl="1" w:tplc="206048E8">
      <w:start w:val="1"/>
      <w:numFmt w:val="bullet"/>
      <w:lvlText w:val="o"/>
      <w:lvlJc w:val="left"/>
      <w:pPr>
        <w:ind w:left="1440" w:hanging="360"/>
      </w:pPr>
      <w:rPr>
        <w:rFonts w:ascii="Courier New" w:hAnsi="Courier New" w:hint="default"/>
      </w:rPr>
    </w:lvl>
    <w:lvl w:ilvl="2" w:tplc="78A6D434">
      <w:start w:val="1"/>
      <w:numFmt w:val="bullet"/>
      <w:lvlText w:val=""/>
      <w:lvlJc w:val="left"/>
      <w:pPr>
        <w:ind w:left="2160" w:hanging="360"/>
      </w:pPr>
      <w:rPr>
        <w:rFonts w:ascii="Wingdings" w:hAnsi="Wingdings" w:hint="default"/>
      </w:rPr>
    </w:lvl>
    <w:lvl w:ilvl="3" w:tplc="7D9A1F2A">
      <w:start w:val="1"/>
      <w:numFmt w:val="bullet"/>
      <w:lvlText w:val=""/>
      <w:lvlJc w:val="left"/>
      <w:pPr>
        <w:ind w:left="2880" w:hanging="360"/>
      </w:pPr>
      <w:rPr>
        <w:rFonts w:ascii="Symbol" w:hAnsi="Symbol" w:hint="default"/>
      </w:rPr>
    </w:lvl>
    <w:lvl w:ilvl="4" w:tplc="D8AE4624">
      <w:start w:val="1"/>
      <w:numFmt w:val="bullet"/>
      <w:lvlText w:val="o"/>
      <w:lvlJc w:val="left"/>
      <w:pPr>
        <w:ind w:left="3600" w:hanging="360"/>
      </w:pPr>
      <w:rPr>
        <w:rFonts w:ascii="Courier New" w:hAnsi="Courier New" w:hint="default"/>
      </w:rPr>
    </w:lvl>
    <w:lvl w:ilvl="5" w:tplc="5A920554">
      <w:start w:val="1"/>
      <w:numFmt w:val="bullet"/>
      <w:lvlText w:val=""/>
      <w:lvlJc w:val="left"/>
      <w:pPr>
        <w:ind w:left="4320" w:hanging="360"/>
      </w:pPr>
      <w:rPr>
        <w:rFonts w:ascii="Wingdings" w:hAnsi="Wingdings" w:hint="default"/>
      </w:rPr>
    </w:lvl>
    <w:lvl w:ilvl="6" w:tplc="B7ACCABA">
      <w:start w:val="1"/>
      <w:numFmt w:val="bullet"/>
      <w:lvlText w:val=""/>
      <w:lvlJc w:val="left"/>
      <w:pPr>
        <w:ind w:left="5040" w:hanging="360"/>
      </w:pPr>
      <w:rPr>
        <w:rFonts w:ascii="Symbol" w:hAnsi="Symbol" w:hint="default"/>
      </w:rPr>
    </w:lvl>
    <w:lvl w:ilvl="7" w:tplc="B4E66A82">
      <w:start w:val="1"/>
      <w:numFmt w:val="bullet"/>
      <w:lvlText w:val="o"/>
      <w:lvlJc w:val="left"/>
      <w:pPr>
        <w:ind w:left="5760" w:hanging="360"/>
      </w:pPr>
      <w:rPr>
        <w:rFonts w:ascii="Courier New" w:hAnsi="Courier New" w:hint="default"/>
      </w:rPr>
    </w:lvl>
    <w:lvl w:ilvl="8" w:tplc="626ADD7A">
      <w:start w:val="1"/>
      <w:numFmt w:val="bullet"/>
      <w:lvlText w:val=""/>
      <w:lvlJc w:val="left"/>
      <w:pPr>
        <w:ind w:left="6480" w:hanging="360"/>
      </w:pPr>
      <w:rPr>
        <w:rFonts w:ascii="Wingdings" w:hAnsi="Wingdings" w:hint="default"/>
      </w:rPr>
    </w:lvl>
  </w:abstractNum>
  <w:abstractNum w:abstractNumId="37" w15:restartNumberingAfterBreak="0">
    <w:nsid w:val="58365CA3"/>
    <w:multiLevelType w:val="hybridMultilevel"/>
    <w:tmpl w:val="6010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545495"/>
    <w:multiLevelType w:val="hybridMultilevel"/>
    <w:tmpl w:val="F49A511C"/>
    <w:lvl w:ilvl="0" w:tplc="0409000F">
      <w:start w:val="1"/>
      <w:numFmt w:val="decimal"/>
      <w:lvlText w:val="%1."/>
      <w:lvlJc w:val="left"/>
      <w:pPr>
        <w:ind w:left="720" w:hanging="360"/>
      </w:pPr>
    </w:lvl>
    <w:lvl w:ilvl="1" w:tplc="1012C5AA">
      <w:start w:val="1"/>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AF6844"/>
    <w:multiLevelType w:val="hybridMultilevel"/>
    <w:tmpl w:val="B23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3F7DBF"/>
    <w:multiLevelType w:val="hybridMultilevel"/>
    <w:tmpl w:val="6E60FAB8"/>
    <w:lvl w:ilvl="0" w:tplc="E04A33B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A0EC91"/>
    <w:multiLevelType w:val="hybridMultilevel"/>
    <w:tmpl w:val="A858BDD8"/>
    <w:lvl w:ilvl="0" w:tplc="852081E8">
      <w:start w:val="1"/>
      <w:numFmt w:val="bullet"/>
      <w:lvlText w:val=""/>
      <w:lvlJc w:val="left"/>
      <w:pPr>
        <w:ind w:left="720" w:hanging="360"/>
      </w:pPr>
      <w:rPr>
        <w:rFonts w:ascii="Symbol" w:hAnsi="Symbol" w:hint="default"/>
      </w:rPr>
    </w:lvl>
    <w:lvl w:ilvl="1" w:tplc="0074DD86">
      <w:start w:val="1"/>
      <w:numFmt w:val="bullet"/>
      <w:lvlText w:val="o"/>
      <w:lvlJc w:val="left"/>
      <w:pPr>
        <w:ind w:left="1440" w:hanging="360"/>
      </w:pPr>
      <w:rPr>
        <w:rFonts w:ascii="Courier New" w:hAnsi="Courier New" w:hint="default"/>
      </w:rPr>
    </w:lvl>
    <w:lvl w:ilvl="2" w:tplc="103418E8">
      <w:start w:val="1"/>
      <w:numFmt w:val="bullet"/>
      <w:lvlText w:val=""/>
      <w:lvlJc w:val="left"/>
      <w:pPr>
        <w:ind w:left="2160" w:hanging="360"/>
      </w:pPr>
      <w:rPr>
        <w:rFonts w:ascii="Wingdings" w:hAnsi="Wingdings" w:hint="default"/>
      </w:rPr>
    </w:lvl>
    <w:lvl w:ilvl="3" w:tplc="E9FC177C">
      <w:start w:val="1"/>
      <w:numFmt w:val="bullet"/>
      <w:lvlText w:val=""/>
      <w:lvlJc w:val="left"/>
      <w:pPr>
        <w:ind w:left="2880" w:hanging="360"/>
      </w:pPr>
      <w:rPr>
        <w:rFonts w:ascii="Symbol" w:hAnsi="Symbol" w:hint="default"/>
      </w:rPr>
    </w:lvl>
    <w:lvl w:ilvl="4" w:tplc="5504CA94">
      <w:start w:val="1"/>
      <w:numFmt w:val="bullet"/>
      <w:lvlText w:val="o"/>
      <w:lvlJc w:val="left"/>
      <w:pPr>
        <w:ind w:left="3600" w:hanging="360"/>
      </w:pPr>
      <w:rPr>
        <w:rFonts w:ascii="Courier New" w:hAnsi="Courier New" w:hint="default"/>
      </w:rPr>
    </w:lvl>
    <w:lvl w:ilvl="5" w:tplc="1500F71C">
      <w:start w:val="1"/>
      <w:numFmt w:val="bullet"/>
      <w:lvlText w:val=""/>
      <w:lvlJc w:val="left"/>
      <w:pPr>
        <w:ind w:left="4320" w:hanging="360"/>
      </w:pPr>
      <w:rPr>
        <w:rFonts w:ascii="Wingdings" w:hAnsi="Wingdings" w:hint="default"/>
      </w:rPr>
    </w:lvl>
    <w:lvl w:ilvl="6" w:tplc="85F2FA38">
      <w:start w:val="1"/>
      <w:numFmt w:val="bullet"/>
      <w:lvlText w:val=""/>
      <w:lvlJc w:val="left"/>
      <w:pPr>
        <w:ind w:left="5040" w:hanging="360"/>
      </w:pPr>
      <w:rPr>
        <w:rFonts w:ascii="Symbol" w:hAnsi="Symbol" w:hint="default"/>
      </w:rPr>
    </w:lvl>
    <w:lvl w:ilvl="7" w:tplc="B7A61464">
      <w:start w:val="1"/>
      <w:numFmt w:val="bullet"/>
      <w:lvlText w:val="o"/>
      <w:lvlJc w:val="left"/>
      <w:pPr>
        <w:ind w:left="5760" w:hanging="360"/>
      </w:pPr>
      <w:rPr>
        <w:rFonts w:ascii="Courier New" w:hAnsi="Courier New" w:hint="default"/>
      </w:rPr>
    </w:lvl>
    <w:lvl w:ilvl="8" w:tplc="7EE4912E">
      <w:start w:val="1"/>
      <w:numFmt w:val="bullet"/>
      <w:lvlText w:val=""/>
      <w:lvlJc w:val="left"/>
      <w:pPr>
        <w:ind w:left="6480" w:hanging="360"/>
      </w:pPr>
      <w:rPr>
        <w:rFonts w:ascii="Wingdings" w:hAnsi="Wingdings" w:hint="default"/>
      </w:rPr>
    </w:lvl>
  </w:abstractNum>
  <w:abstractNum w:abstractNumId="42" w15:restartNumberingAfterBreak="0">
    <w:nsid w:val="60C40B66"/>
    <w:multiLevelType w:val="hybridMultilevel"/>
    <w:tmpl w:val="FB08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5C4484"/>
    <w:multiLevelType w:val="hybridMultilevel"/>
    <w:tmpl w:val="A0BA88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76974D07"/>
    <w:multiLevelType w:val="hybridMultilevel"/>
    <w:tmpl w:val="780AA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CA6F77"/>
    <w:multiLevelType w:val="hybridMultilevel"/>
    <w:tmpl w:val="FF587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577592"/>
    <w:multiLevelType w:val="multilevel"/>
    <w:tmpl w:val="95D212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Calibri" w:hint="default"/>
        <w:b w:val="0"/>
        <w:sz w:val="22"/>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441027649">
    <w:abstractNumId w:val="16"/>
  </w:num>
  <w:num w:numId="2" w16cid:durableId="558520329">
    <w:abstractNumId w:val="23"/>
  </w:num>
  <w:num w:numId="3" w16cid:durableId="2082365009">
    <w:abstractNumId w:val="26"/>
  </w:num>
  <w:num w:numId="4" w16cid:durableId="420688434">
    <w:abstractNumId w:val="21"/>
  </w:num>
  <w:num w:numId="5" w16cid:durableId="1735078417">
    <w:abstractNumId w:val="10"/>
  </w:num>
  <w:num w:numId="6" w16cid:durableId="1441215523">
    <w:abstractNumId w:val="12"/>
  </w:num>
  <w:num w:numId="7" w16cid:durableId="1296832531">
    <w:abstractNumId w:val="41"/>
  </w:num>
  <w:num w:numId="8" w16cid:durableId="389307489">
    <w:abstractNumId w:val="13"/>
  </w:num>
  <w:num w:numId="9" w16cid:durableId="1952786010">
    <w:abstractNumId w:val="27"/>
  </w:num>
  <w:num w:numId="10" w16cid:durableId="378629554">
    <w:abstractNumId w:val="29"/>
  </w:num>
  <w:num w:numId="11" w16cid:durableId="103304355">
    <w:abstractNumId w:val="2"/>
  </w:num>
  <w:num w:numId="12" w16cid:durableId="855582140">
    <w:abstractNumId w:val="0"/>
  </w:num>
  <w:num w:numId="13" w16cid:durableId="754590361">
    <w:abstractNumId w:val="47"/>
  </w:num>
  <w:num w:numId="14" w16cid:durableId="2054620082">
    <w:abstractNumId w:val="43"/>
  </w:num>
  <w:num w:numId="15" w16cid:durableId="233585006">
    <w:abstractNumId w:val="42"/>
  </w:num>
  <w:num w:numId="16" w16cid:durableId="432868303">
    <w:abstractNumId w:val="20"/>
  </w:num>
  <w:num w:numId="17" w16cid:durableId="388529795">
    <w:abstractNumId w:val="4"/>
  </w:num>
  <w:num w:numId="18" w16cid:durableId="1472754">
    <w:abstractNumId w:val="40"/>
  </w:num>
  <w:num w:numId="19" w16cid:durableId="355548992">
    <w:abstractNumId w:val="30"/>
  </w:num>
  <w:num w:numId="20" w16cid:durableId="1705672074">
    <w:abstractNumId w:val="38"/>
  </w:num>
  <w:num w:numId="21" w16cid:durableId="1627160241">
    <w:abstractNumId w:val="46"/>
  </w:num>
  <w:num w:numId="22" w16cid:durableId="1677414451">
    <w:abstractNumId w:val="22"/>
  </w:num>
  <w:num w:numId="23" w16cid:durableId="466317875">
    <w:abstractNumId w:val="37"/>
  </w:num>
  <w:num w:numId="24" w16cid:durableId="1000156617">
    <w:abstractNumId w:val="7"/>
  </w:num>
  <w:num w:numId="25" w16cid:durableId="1926498151">
    <w:abstractNumId w:val="36"/>
  </w:num>
  <w:num w:numId="26" w16cid:durableId="427310510">
    <w:abstractNumId w:val="32"/>
  </w:num>
  <w:num w:numId="27" w16cid:durableId="896161981">
    <w:abstractNumId w:val="17"/>
  </w:num>
  <w:num w:numId="28" w16cid:durableId="1814788747">
    <w:abstractNumId w:val="5"/>
  </w:num>
  <w:num w:numId="29" w16cid:durableId="1309818725">
    <w:abstractNumId w:val="35"/>
  </w:num>
  <w:num w:numId="30" w16cid:durableId="708845143">
    <w:abstractNumId w:val="19"/>
  </w:num>
  <w:num w:numId="31" w16cid:durableId="538712995">
    <w:abstractNumId w:val="1"/>
  </w:num>
  <w:num w:numId="32" w16cid:durableId="785196110">
    <w:abstractNumId w:val="33"/>
  </w:num>
  <w:num w:numId="33" w16cid:durableId="1663851379">
    <w:abstractNumId w:val="15"/>
  </w:num>
  <w:num w:numId="34" w16cid:durableId="1668750983">
    <w:abstractNumId w:val="28"/>
  </w:num>
  <w:num w:numId="35" w16cid:durableId="793718500">
    <w:abstractNumId w:val="14"/>
  </w:num>
  <w:num w:numId="36" w16cid:durableId="238639298">
    <w:abstractNumId w:val="31"/>
  </w:num>
  <w:num w:numId="37" w16cid:durableId="824664836">
    <w:abstractNumId w:val="9"/>
  </w:num>
  <w:num w:numId="38" w16cid:durableId="1506897616">
    <w:abstractNumId w:val="45"/>
  </w:num>
  <w:num w:numId="39" w16cid:durableId="318382726">
    <w:abstractNumId w:val="24"/>
  </w:num>
  <w:num w:numId="40" w16cid:durableId="1344017785">
    <w:abstractNumId w:val="8"/>
  </w:num>
  <w:num w:numId="41" w16cid:durableId="402606865">
    <w:abstractNumId w:val="11"/>
  </w:num>
  <w:num w:numId="42" w16cid:durableId="1971937769">
    <w:abstractNumId w:val="44"/>
  </w:num>
  <w:num w:numId="43" w16cid:durableId="673922571">
    <w:abstractNumId w:val="25"/>
  </w:num>
  <w:num w:numId="44" w16cid:durableId="1417630619">
    <w:abstractNumId w:val="18"/>
  </w:num>
  <w:num w:numId="45" w16cid:durableId="255137559">
    <w:abstractNumId w:val="3"/>
  </w:num>
  <w:num w:numId="46" w16cid:durableId="351421946">
    <w:abstractNumId w:val="39"/>
  </w:num>
  <w:num w:numId="47" w16cid:durableId="1290360943">
    <w:abstractNumId w:val="34"/>
  </w:num>
  <w:num w:numId="48" w16cid:durableId="61702620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CC"/>
    <w:rsid w:val="00011E5E"/>
    <w:rsid w:val="00015350"/>
    <w:rsid w:val="00016CCE"/>
    <w:rsid w:val="0002162B"/>
    <w:rsid w:val="000237FA"/>
    <w:rsid w:val="00026B79"/>
    <w:rsid w:val="000312CD"/>
    <w:rsid w:val="00032620"/>
    <w:rsid w:val="00042E05"/>
    <w:rsid w:val="00045E99"/>
    <w:rsid w:val="000479EF"/>
    <w:rsid w:val="00055F76"/>
    <w:rsid w:val="00062B95"/>
    <w:rsid w:val="00063A49"/>
    <w:rsid w:val="00065FC0"/>
    <w:rsid w:val="00067C6B"/>
    <w:rsid w:val="00067D97"/>
    <w:rsid w:val="00090BA9"/>
    <w:rsid w:val="0009111F"/>
    <w:rsid w:val="000A0027"/>
    <w:rsid w:val="000A00BF"/>
    <w:rsid w:val="000A0C93"/>
    <w:rsid w:val="000A3066"/>
    <w:rsid w:val="000A74F6"/>
    <w:rsid w:val="000B0C19"/>
    <w:rsid w:val="000B139A"/>
    <w:rsid w:val="000D0ED5"/>
    <w:rsid w:val="000D4B83"/>
    <w:rsid w:val="000D5A30"/>
    <w:rsid w:val="000D6FBA"/>
    <w:rsid w:val="000E1442"/>
    <w:rsid w:val="000E2172"/>
    <w:rsid w:val="000E2ECC"/>
    <w:rsid w:val="000F0CF8"/>
    <w:rsid w:val="000F499D"/>
    <w:rsid w:val="00104870"/>
    <w:rsid w:val="00105D72"/>
    <w:rsid w:val="0010635F"/>
    <w:rsid w:val="001112B5"/>
    <w:rsid w:val="001153DF"/>
    <w:rsid w:val="00116D5D"/>
    <w:rsid w:val="00134D9A"/>
    <w:rsid w:val="0013551B"/>
    <w:rsid w:val="00141DE5"/>
    <w:rsid w:val="00142C08"/>
    <w:rsid w:val="001445B1"/>
    <w:rsid w:val="00146949"/>
    <w:rsid w:val="00150E8C"/>
    <w:rsid w:val="0017433B"/>
    <w:rsid w:val="001770B0"/>
    <w:rsid w:val="00180B81"/>
    <w:rsid w:val="001865FB"/>
    <w:rsid w:val="00190AB5"/>
    <w:rsid w:val="00195FC9"/>
    <w:rsid w:val="001A2E67"/>
    <w:rsid w:val="001A5FB0"/>
    <w:rsid w:val="001AB95B"/>
    <w:rsid w:val="001B26A1"/>
    <w:rsid w:val="001B2D9B"/>
    <w:rsid w:val="001B304F"/>
    <w:rsid w:val="001B5F43"/>
    <w:rsid w:val="001D4D79"/>
    <w:rsid w:val="001D6775"/>
    <w:rsid w:val="001E1379"/>
    <w:rsid w:val="001E63C6"/>
    <w:rsid w:val="001F1FE5"/>
    <w:rsid w:val="00212CA4"/>
    <w:rsid w:val="002131D0"/>
    <w:rsid w:val="0022568E"/>
    <w:rsid w:val="002404BD"/>
    <w:rsid w:val="0024559E"/>
    <w:rsid w:val="00256240"/>
    <w:rsid w:val="00257D8B"/>
    <w:rsid w:val="002613A9"/>
    <w:rsid w:val="00263999"/>
    <w:rsid w:val="00272930"/>
    <w:rsid w:val="00276A22"/>
    <w:rsid w:val="002778F9"/>
    <w:rsid w:val="00280541"/>
    <w:rsid w:val="002807D1"/>
    <w:rsid w:val="002949E8"/>
    <w:rsid w:val="00294BD0"/>
    <w:rsid w:val="002C748D"/>
    <w:rsid w:val="002E1FA6"/>
    <w:rsid w:val="002E546B"/>
    <w:rsid w:val="002F070E"/>
    <w:rsid w:val="00306FFB"/>
    <w:rsid w:val="00312541"/>
    <w:rsid w:val="00320486"/>
    <w:rsid w:val="003219BA"/>
    <w:rsid w:val="0032373F"/>
    <w:rsid w:val="00326597"/>
    <w:rsid w:val="00336C2D"/>
    <w:rsid w:val="003409DC"/>
    <w:rsid w:val="00344275"/>
    <w:rsid w:val="00351170"/>
    <w:rsid w:val="00361407"/>
    <w:rsid w:val="00364BF3"/>
    <w:rsid w:val="0036781F"/>
    <w:rsid w:val="003727BE"/>
    <w:rsid w:val="0037338F"/>
    <w:rsid w:val="003753B9"/>
    <w:rsid w:val="00392752"/>
    <w:rsid w:val="00395532"/>
    <w:rsid w:val="00397B46"/>
    <w:rsid w:val="003A497B"/>
    <w:rsid w:val="003A7226"/>
    <w:rsid w:val="003C0C34"/>
    <w:rsid w:val="003C13C4"/>
    <w:rsid w:val="003C6895"/>
    <w:rsid w:val="003D2708"/>
    <w:rsid w:val="003D336B"/>
    <w:rsid w:val="003D33C3"/>
    <w:rsid w:val="003D49E1"/>
    <w:rsid w:val="003D7A94"/>
    <w:rsid w:val="003E5407"/>
    <w:rsid w:val="003F38D6"/>
    <w:rsid w:val="003F6518"/>
    <w:rsid w:val="003F726A"/>
    <w:rsid w:val="003F7BB0"/>
    <w:rsid w:val="00402B3A"/>
    <w:rsid w:val="00403F88"/>
    <w:rsid w:val="004069CE"/>
    <w:rsid w:val="00407FA9"/>
    <w:rsid w:val="0041759C"/>
    <w:rsid w:val="004206AD"/>
    <w:rsid w:val="00433500"/>
    <w:rsid w:val="0043419F"/>
    <w:rsid w:val="004354A4"/>
    <w:rsid w:val="004432B8"/>
    <w:rsid w:val="00444073"/>
    <w:rsid w:val="00454A88"/>
    <w:rsid w:val="004569D1"/>
    <w:rsid w:val="004574A0"/>
    <w:rsid w:val="0046152F"/>
    <w:rsid w:val="004653EE"/>
    <w:rsid w:val="0046576F"/>
    <w:rsid w:val="00465A27"/>
    <w:rsid w:val="004704C8"/>
    <w:rsid w:val="00470650"/>
    <w:rsid w:val="00477392"/>
    <w:rsid w:val="00486BBA"/>
    <w:rsid w:val="004A0775"/>
    <w:rsid w:val="004A19BE"/>
    <w:rsid w:val="004A417F"/>
    <w:rsid w:val="004A5915"/>
    <w:rsid w:val="004B3BCC"/>
    <w:rsid w:val="004C1A79"/>
    <w:rsid w:val="004C5CE1"/>
    <w:rsid w:val="004E19FC"/>
    <w:rsid w:val="004F418B"/>
    <w:rsid w:val="004F45D6"/>
    <w:rsid w:val="004F4E3A"/>
    <w:rsid w:val="00515EE6"/>
    <w:rsid w:val="005311C6"/>
    <w:rsid w:val="005332D8"/>
    <w:rsid w:val="005345AC"/>
    <w:rsid w:val="00535113"/>
    <w:rsid w:val="00540B27"/>
    <w:rsid w:val="005415BB"/>
    <w:rsid w:val="0054367A"/>
    <w:rsid w:val="00546AA4"/>
    <w:rsid w:val="00555B16"/>
    <w:rsid w:val="0056263A"/>
    <w:rsid w:val="00574860"/>
    <w:rsid w:val="005806AB"/>
    <w:rsid w:val="0058126F"/>
    <w:rsid w:val="0058472B"/>
    <w:rsid w:val="0058685F"/>
    <w:rsid w:val="00591B5F"/>
    <w:rsid w:val="005A0165"/>
    <w:rsid w:val="005A6258"/>
    <w:rsid w:val="005B68E8"/>
    <w:rsid w:val="005B7420"/>
    <w:rsid w:val="005B7536"/>
    <w:rsid w:val="005C255E"/>
    <w:rsid w:val="005D0516"/>
    <w:rsid w:val="005D095D"/>
    <w:rsid w:val="005E4CC8"/>
    <w:rsid w:val="005F2A7D"/>
    <w:rsid w:val="005F4F7C"/>
    <w:rsid w:val="00606EAF"/>
    <w:rsid w:val="00606EE1"/>
    <w:rsid w:val="0060D4E4"/>
    <w:rsid w:val="0061429D"/>
    <w:rsid w:val="00616515"/>
    <w:rsid w:val="0062382A"/>
    <w:rsid w:val="00625A3F"/>
    <w:rsid w:val="00640CD6"/>
    <w:rsid w:val="006413DF"/>
    <w:rsid w:val="00650D5F"/>
    <w:rsid w:val="00661A96"/>
    <w:rsid w:val="0066271D"/>
    <w:rsid w:val="0066278A"/>
    <w:rsid w:val="006649FA"/>
    <w:rsid w:val="00667800"/>
    <w:rsid w:val="00691E5C"/>
    <w:rsid w:val="006948B8"/>
    <w:rsid w:val="006A1211"/>
    <w:rsid w:val="006A2F63"/>
    <w:rsid w:val="006A35B8"/>
    <w:rsid w:val="006A433B"/>
    <w:rsid w:val="006B0638"/>
    <w:rsid w:val="006B12F2"/>
    <w:rsid w:val="006B4C8E"/>
    <w:rsid w:val="006B54EE"/>
    <w:rsid w:val="006C21B8"/>
    <w:rsid w:val="006C3287"/>
    <w:rsid w:val="006C5143"/>
    <w:rsid w:val="006D1F77"/>
    <w:rsid w:val="006D4765"/>
    <w:rsid w:val="006E1CF7"/>
    <w:rsid w:val="006F370F"/>
    <w:rsid w:val="006F5FC4"/>
    <w:rsid w:val="007105F1"/>
    <w:rsid w:val="00712AAD"/>
    <w:rsid w:val="00720CD9"/>
    <w:rsid w:val="00721F16"/>
    <w:rsid w:val="00732DE0"/>
    <w:rsid w:val="00746494"/>
    <w:rsid w:val="00747EC7"/>
    <w:rsid w:val="007501A7"/>
    <w:rsid w:val="007544EB"/>
    <w:rsid w:val="007551C7"/>
    <w:rsid w:val="0075736C"/>
    <w:rsid w:val="00764A7E"/>
    <w:rsid w:val="007769CA"/>
    <w:rsid w:val="007814E7"/>
    <w:rsid w:val="00781779"/>
    <w:rsid w:val="00790376"/>
    <w:rsid w:val="0079044B"/>
    <w:rsid w:val="00791127"/>
    <w:rsid w:val="007949A9"/>
    <w:rsid w:val="007A0EE3"/>
    <w:rsid w:val="007B15A6"/>
    <w:rsid w:val="007B7B72"/>
    <w:rsid w:val="007C62FA"/>
    <w:rsid w:val="007E017B"/>
    <w:rsid w:val="007E40C1"/>
    <w:rsid w:val="007E5748"/>
    <w:rsid w:val="007F36FE"/>
    <w:rsid w:val="00800FA4"/>
    <w:rsid w:val="0080256B"/>
    <w:rsid w:val="00807FFC"/>
    <w:rsid w:val="008108D5"/>
    <w:rsid w:val="00815893"/>
    <w:rsid w:val="00817AAC"/>
    <w:rsid w:val="00822F59"/>
    <w:rsid w:val="008236A7"/>
    <w:rsid w:val="00831882"/>
    <w:rsid w:val="008355B9"/>
    <w:rsid w:val="00835A8D"/>
    <w:rsid w:val="00844595"/>
    <w:rsid w:val="00861B9E"/>
    <w:rsid w:val="00882440"/>
    <w:rsid w:val="00882576"/>
    <w:rsid w:val="00882D7A"/>
    <w:rsid w:val="00891694"/>
    <w:rsid w:val="00891B7B"/>
    <w:rsid w:val="008935C1"/>
    <w:rsid w:val="00893C38"/>
    <w:rsid w:val="0089467F"/>
    <w:rsid w:val="008960A3"/>
    <w:rsid w:val="00896D66"/>
    <w:rsid w:val="008972B1"/>
    <w:rsid w:val="0089740F"/>
    <w:rsid w:val="008A594E"/>
    <w:rsid w:val="008B27BE"/>
    <w:rsid w:val="008B48CD"/>
    <w:rsid w:val="008B6E5F"/>
    <w:rsid w:val="008C0647"/>
    <w:rsid w:val="008C1914"/>
    <w:rsid w:val="008D00A7"/>
    <w:rsid w:val="008D5431"/>
    <w:rsid w:val="008D7872"/>
    <w:rsid w:val="008E452A"/>
    <w:rsid w:val="008E6996"/>
    <w:rsid w:val="008F698B"/>
    <w:rsid w:val="009002E0"/>
    <w:rsid w:val="00901833"/>
    <w:rsid w:val="00910892"/>
    <w:rsid w:val="0092462E"/>
    <w:rsid w:val="009326CB"/>
    <w:rsid w:val="00943A24"/>
    <w:rsid w:val="00966A07"/>
    <w:rsid w:val="00971674"/>
    <w:rsid w:val="00974D96"/>
    <w:rsid w:val="00976BBA"/>
    <w:rsid w:val="00980D53"/>
    <w:rsid w:val="00985572"/>
    <w:rsid w:val="009877D0"/>
    <w:rsid w:val="009A1443"/>
    <w:rsid w:val="009A2C2E"/>
    <w:rsid w:val="009B0FCC"/>
    <w:rsid w:val="009C01B6"/>
    <w:rsid w:val="009C257C"/>
    <w:rsid w:val="009D18E5"/>
    <w:rsid w:val="009D4B5A"/>
    <w:rsid w:val="009D6009"/>
    <w:rsid w:val="009E2C1D"/>
    <w:rsid w:val="009E61D8"/>
    <w:rsid w:val="009E6FD0"/>
    <w:rsid w:val="009F672B"/>
    <w:rsid w:val="00A02842"/>
    <w:rsid w:val="00A04684"/>
    <w:rsid w:val="00A07D6D"/>
    <w:rsid w:val="00A10BC9"/>
    <w:rsid w:val="00A10CF5"/>
    <w:rsid w:val="00A10F0F"/>
    <w:rsid w:val="00A2170E"/>
    <w:rsid w:val="00A30FB4"/>
    <w:rsid w:val="00A318F4"/>
    <w:rsid w:val="00A36E6D"/>
    <w:rsid w:val="00A41B7E"/>
    <w:rsid w:val="00A54170"/>
    <w:rsid w:val="00A559EA"/>
    <w:rsid w:val="00A55C4A"/>
    <w:rsid w:val="00A6634D"/>
    <w:rsid w:val="00A70C43"/>
    <w:rsid w:val="00A7717E"/>
    <w:rsid w:val="00A83142"/>
    <w:rsid w:val="00A85777"/>
    <w:rsid w:val="00A85E75"/>
    <w:rsid w:val="00A91C4A"/>
    <w:rsid w:val="00A959E2"/>
    <w:rsid w:val="00AA3313"/>
    <w:rsid w:val="00AA74B5"/>
    <w:rsid w:val="00AB0E7C"/>
    <w:rsid w:val="00AB4E6A"/>
    <w:rsid w:val="00AC2604"/>
    <w:rsid w:val="00AC2E82"/>
    <w:rsid w:val="00AD228E"/>
    <w:rsid w:val="00AD496E"/>
    <w:rsid w:val="00AF2857"/>
    <w:rsid w:val="00AF6280"/>
    <w:rsid w:val="00AF6805"/>
    <w:rsid w:val="00B01AF0"/>
    <w:rsid w:val="00B04094"/>
    <w:rsid w:val="00B04C4C"/>
    <w:rsid w:val="00B25F35"/>
    <w:rsid w:val="00B26B28"/>
    <w:rsid w:val="00B27438"/>
    <w:rsid w:val="00B354B6"/>
    <w:rsid w:val="00B45EB1"/>
    <w:rsid w:val="00B52BF1"/>
    <w:rsid w:val="00B639A3"/>
    <w:rsid w:val="00B65A39"/>
    <w:rsid w:val="00B67668"/>
    <w:rsid w:val="00B71F13"/>
    <w:rsid w:val="00B7406E"/>
    <w:rsid w:val="00B85752"/>
    <w:rsid w:val="00B86ACB"/>
    <w:rsid w:val="00BA62D7"/>
    <w:rsid w:val="00BB1A95"/>
    <w:rsid w:val="00BB1C79"/>
    <w:rsid w:val="00BB5CD4"/>
    <w:rsid w:val="00BC22F3"/>
    <w:rsid w:val="00BC3056"/>
    <w:rsid w:val="00BD3B1F"/>
    <w:rsid w:val="00BE2A39"/>
    <w:rsid w:val="00BE6172"/>
    <w:rsid w:val="00BF0F8E"/>
    <w:rsid w:val="00BF1573"/>
    <w:rsid w:val="00C00F48"/>
    <w:rsid w:val="00C1215A"/>
    <w:rsid w:val="00C15791"/>
    <w:rsid w:val="00C157B9"/>
    <w:rsid w:val="00C245ED"/>
    <w:rsid w:val="00C344BD"/>
    <w:rsid w:val="00C42310"/>
    <w:rsid w:val="00C55ECD"/>
    <w:rsid w:val="00C5653A"/>
    <w:rsid w:val="00C6143D"/>
    <w:rsid w:val="00C70C50"/>
    <w:rsid w:val="00C74048"/>
    <w:rsid w:val="00C762FB"/>
    <w:rsid w:val="00C77057"/>
    <w:rsid w:val="00C808D0"/>
    <w:rsid w:val="00C81D08"/>
    <w:rsid w:val="00C82F24"/>
    <w:rsid w:val="00C83593"/>
    <w:rsid w:val="00C83C27"/>
    <w:rsid w:val="00C845EE"/>
    <w:rsid w:val="00C84914"/>
    <w:rsid w:val="00C90F45"/>
    <w:rsid w:val="00C93615"/>
    <w:rsid w:val="00C93974"/>
    <w:rsid w:val="00CB0057"/>
    <w:rsid w:val="00CB2611"/>
    <w:rsid w:val="00CB2FFB"/>
    <w:rsid w:val="00CB6BDD"/>
    <w:rsid w:val="00CC586B"/>
    <w:rsid w:val="00CC5893"/>
    <w:rsid w:val="00CD05CC"/>
    <w:rsid w:val="00CDD76C"/>
    <w:rsid w:val="00CF087C"/>
    <w:rsid w:val="00D05774"/>
    <w:rsid w:val="00D059DE"/>
    <w:rsid w:val="00D066DA"/>
    <w:rsid w:val="00D121A7"/>
    <w:rsid w:val="00D13A27"/>
    <w:rsid w:val="00D145DA"/>
    <w:rsid w:val="00D329AB"/>
    <w:rsid w:val="00D435F8"/>
    <w:rsid w:val="00D50C22"/>
    <w:rsid w:val="00D61E55"/>
    <w:rsid w:val="00D62995"/>
    <w:rsid w:val="00D65E23"/>
    <w:rsid w:val="00D8009B"/>
    <w:rsid w:val="00D86697"/>
    <w:rsid w:val="00D90D9F"/>
    <w:rsid w:val="00D91DDE"/>
    <w:rsid w:val="00D95C5D"/>
    <w:rsid w:val="00D96BF0"/>
    <w:rsid w:val="00DA2F97"/>
    <w:rsid w:val="00DA6320"/>
    <w:rsid w:val="00DB7C4E"/>
    <w:rsid w:val="00DC27C9"/>
    <w:rsid w:val="00DC65EB"/>
    <w:rsid w:val="00DD010A"/>
    <w:rsid w:val="00DD179B"/>
    <w:rsid w:val="00DD2C5D"/>
    <w:rsid w:val="00DD6C01"/>
    <w:rsid w:val="00DE3767"/>
    <w:rsid w:val="00DE53B6"/>
    <w:rsid w:val="00DF4766"/>
    <w:rsid w:val="00E00727"/>
    <w:rsid w:val="00E05474"/>
    <w:rsid w:val="00E107DB"/>
    <w:rsid w:val="00E131BD"/>
    <w:rsid w:val="00E13405"/>
    <w:rsid w:val="00E14B0F"/>
    <w:rsid w:val="00E17A24"/>
    <w:rsid w:val="00E256FC"/>
    <w:rsid w:val="00E25927"/>
    <w:rsid w:val="00E269D2"/>
    <w:rsid w:val="00E33C11"/>
    <w:rsid w:val="00E36C08"/>
    <w:rsid w:val="00E373A5"/>
    <w:rsid w:val="00E41587"/>
    <w:rsid w:val="00E46B10"/>
    <w:rsid w:val="00E50A7A"/>
    <w:rsid w:val="00E533B5"/>
    <w:rsid w:val="00E53512"/>
    <w:rsid w:val="00E56E38"/>
    <w:rsid w:val="00E6149D"/>
    <w:rsid w:val="00E6184E"/>
    <w:rsid w:val="00E61E84"/>
    <w:rsid w:val="00E62314"/>
    <w:rsid w:val="00E66F90"/>
    <w:rsid w:val="00E67A07"/>
    <w:rsid w:val="00E700B5"/>
    <w:rsid w:val="00E7393C"/>
    <w:rsid w:val="00E77981"/>
    <w:rsid w:val="00E81278"/>
    <w:rsid w:val="00E876B5"/>
    <w:rsid w:val="00EA1ACC"/>
    <w:rsid w:val="00EA3FC0"/>
    <w:rsid w:val="00EA59E7"/>
    <w:rsid w:val="00EA73E4"/>
    <w:rsid w:val="00EB6105"/>
    <w:rsid w:val="00ED3183"/>
    <w:rsid w:val="00ED7BD1"/>
    <w:rsid w:val="00EDB720"/>
    <w:rsid w:val="00EE2B0F"/>
    <w:rsid w:val="00EE3624"/>
    <w:rsid w:val="00F00E4C"/>
    <w:rsid w:val="00F07D9D"/>
    <w:rsid w:val="00F11AD3"/>
    <w:rsid w:val="00F24BE8"/>
    <w:rsid w:val="00F32032"/>
    <w:rsid w:val="00F320B1"/>
    <w:rsid w:val="00F34EC9"/>
    <w:rsid w:val="00F34F6F"/>
    <w:rsid w:val="00F50044"/>
    <w:rsid w:val="00F55976"/>
    <w:rsid w:val="00F5712A"/>
    <w:rsid w:val="00F708E0"/>
    <w:rsid w:val="00F77706"/>
    <w:rsid w:val="00F90C6E"/>
    <w:rsid w:val="00F95319"/>
    <w:rsid w:val="00F96520"/>
    <w:rsid w:val="00F974B3"/>
    <w:rsid w:val="00FA2CBE"/>
    <w:rsid w:val="00FA4440"/>
    <w:rsid w:val="00FA5241"/>
    <w:rsid w:val="00FB1FA9"/>
    <w:rsid w:val="00FB5876"/>
    <w:rsid w:val="00FB7598"/>
    <w:rsid w:val="00FD58D2"/>
    <w:rsid w:val="00FE111D"/>
    <w:rsid w:val="00FE411E"/>
    <w:rsid w:val="0108F55B"/>
    <w:rsid w:val="012B719D"/>
    <w:rsid w:val="012FCEA8"/>
    <w:rsid w:val="014D8F30"/>
    <w:rsid w:val="0173F125"/>
    <w:rsid w:val="0180EBCC"/>
    <w:rsid w:val="01B1FA95"/>
    <w:rsid w:val="01CF1F09"/>
    <w:rsid w:val="01FD5617"/>
    <w:rsid w:val="02220CB0"/>
    <w:rsid w:val="02327F5E"/>
    <w:rsid w:val="0243073E"/>
    <w:rsid w:val="0266E2DF"/>
    <w:rsid w:val="026956AB"/>
    <w:rsid w:val="0280FDA4"/>
    <w:rsid w:val="028A83BF"/>
    <w:rsid w:val="02AFD345"/>
    <w:rsid w:val="02C05351"/>
    <w:rsid w:val="02C93B9C"/>
    <w:rsid w:val="02CB1140"/>
    <w:rsid w:val="02D132B8"/>
    <w:rsid w:val="02E43A32"/>
    <w:rsid w:val="030653EA"/>
    <w:rsid w:val="0337174F"/>
    <w:rsid w:val="0341DB66"/>
    <w:rsid w:val="03432809"/>
    <w:rsid w:val="03491A35"/>
    <w:rsid w:val="03585F27"/>
    <w:rsid w:val="0374C0A2"/>
    <w:rsid w:val="0374E7BB"/>
    <w:rsid w:val="03763630"/>
    <w:rsid w:val="03842A79"/>
    <w:rsid w:val="038F3E4F"/>
    <w:rsid w:val="03913BBE"/>
    <w:rsid w:val="03C128D8"/>
    <w:rsid w:val="03C527D3"/>
    <w:rsid w:val="03D327A8"/>
    <w:rsid w:val="03D45EB2"/>
    <w:rsid w:val="03E5DBA9"/>
    <w:rsid w:val="0414046B"/>
    <w:rsid w:val="0417B9C5"/>
    <w:rsid w:val="041D32FE"/>
    <w:rsid w:val="043D1655"/>
    <w:rsid w:val="0440DFC1"/>
    <w:rsid w:val="04580F0C"/>
    <w:rsid w:val="049E7C69"/>
    <w:rsid w:val="04B4B42E"/>
    <w:rsid w:val="04B818BC"/>
    <w:rsid w:val="04FA9D17"/>
    <w:rsid w:val="04FFEB8C"/>
    <w:rsid w:val="053BEA4B"/>
    <w:rsid w:val="0545D1EC"/>
    <w:rsid w:val="05463BA4"/>
    <w:rsid w:val="05634807"/>
    <w:rsid w:val="05675824"/>
    <w:rsid w:val="058122FA"/>
    <w:rsid w:val="05836F3D"/>
    <w:rsid w:val="058E9370"/>
    <w:rsid w:val="0597831E"/>
    <w:rsid w:val="05A52832"/>
    <w:rsid w:val="05AA4431"/>
    <w:rsid w:val="05AFC829"/>
    <w:rsid w:val="05BF67BB"/>
    <w:rsid w:val="05D22F77"/>
    <w:rsid w:val="05D86EF0"/>
    <w:rsid w:val="05DD3710"/>
    <w:rsid w:val="05DFFAF1"/>
    <w:rsid w:val="05FAAC25"/>
    <w:rsid w:val="0601CA3F"/>
    <w:rsid w:val="060D03D2"/>
    <w:rsid w:val="060D298A"/>
    <w:rsid w:val="0613801D"/>
    <w:rsid w:val="06149B27"/>
    <w:rsid w:val="0626D64F"/>
    <w:rsid w:val="0646625B"/>
    <w:rsid w:val="06473532"/>
    <w:rsid w:val="06517348"/>
    <w:rsid w:val="067B0CDC"/>
    <w:rsid w:val="06A5C763"/>
    <w:rsid w:val="06D17076"/>
    <w:rsid w:val="06DFF821"/>
    <w:rsid w:val="0702F654"/>
    <w:rsid w:val="0713F005"/>
    <w:rsid w:val="072A6EE8"/>
    <w:rsid w:val="072B6765"/>
    <w:rsid w:val="0731DCA1"/>
    <w:rsid w:val="0740431F"/>
    <w:rsid w:val="07452E1C"/>
    <w:rsid w:val="077BEEB5"/>
    <w:rsid w:val="077D48E7"/>
    <w:rsid w:val="077FE14E"/>
    <w:rsid w:val="07923EC9"/>
    <w:rsid w:val="07932B72"/>
    <w:rsid w:val="0796F511"/>
    <w:rsid w:val="07A654CC"/>
    <w:rsid w:val="07AE645A"/>
    <w:rsid w:val="07EE4F12"/>
    <w:rsid w:val="08144F84"/>
    <w:rsid w:val="08161BCB"/>
    <w:rsid w:val="08231AEB"/>
    <w:rsid w:val="083AA190"/>
    <w:rsid w:val="086D5C96"/>
    <w:rsid w:val="08963681"/>
    <w:rsid w:val="0896A87F"/>
    <w:rsid w:val="089C2B6E"/>
    <w:rsid w:val="08BA0B7D"/>
    <w:rsid w:val="08BEFA19"/>
    <w:rsid w:val="08CFB3F5"/>
    <w:rsid w:val="08F30140"/>
    <w:rsid w:val="08FD5B81"/>
    <w:rsid w:val="091DBBCF"/>
    <w:rsid w:val="093327C0"/>
    <w:rsid w:val="09382963"/>
    <w:rsid w:val="095B1568"/>
    <w:rsid w:val="096090D7"/>
    <w:rsid w:val="09774CFC"/>
    <w:rsid w:val="098FA5AC"/>
    <w:rsid w:val="09AC46AE"/>
    <w:rsid w:val="09B9C7F0"/>
    <w:rsid w:val="09C592C3"/>
    <w:rsid w:val="09C8B616"/>
    <w:rsid w:val="09D3F99C"/>
    <w:rsid w:val="09D4743F"/>
    <w:rsid w:val="0A10E040"/>
    <w:rsid w:val="0A34381F"/>
    <w:rsid w:val="0A3F198D"/>
    <w:rsid w:val="0A484248"/>
    <w:rsid w:val="0A7840C6"/>
    <w:rsid w:val="0A80BD21"/>
    <w:rsid w:val="0ACEA9B8"/>
    <w:rsid w:val="0AF335E3"/>
    <w:rsid w:val="0AF56A51"/>
    <w:rsid w:val="0B0785A8"/>
    <w:rsid w:val="0B0A1F7E"/>
    <w:rsid w:val="0B1C610E"/>
    <w:rsid w:val="0B30C084"/>
    <w:rsid w:val="0B395FF5"/>
    <w:rsid w:val="0B49FCA2"/>
    <w:rsid w:val="0B604477"/>
    <w:rsid w:val="0B9153C9"/>
    <w:rsid w:val="0B99A56F"/>
    <w:rsid w:val="0BE74D58"/>
    <w:rsid w:val="0BEB7B06"/>
    <w:rsid w:val="0BFFC6D4"/>
    <w:rsid w:val="0C26996B"/>
    <w:rsid w:val="0C4BE280"/>
    <w:rsid w:val="0C6A3EF6"/>
    <w:rsid w:val="0CCD9306"/>
    <w:rsid w:val="0CCFEB3E"/>
    <w:rsid w:val="0CEA5C0A"/>
    <w:rsid w:val="0CFB5AC7"/>
    <w:rsid w:val="0D00B395"/>
    <w:rsid w:val="0D03F2C1"/>
    <w:rsid w:val="0D057A6C"/>
    <w:rsid w:val="0D11C5A6"/>
    <w:rsid w:val="0D16AD36"/>
    <w:rsid w:val="0D62EBF1"/>
    <w:rsid w:val="0D703D41"/>
    <w:rsid w:val="0D79A816"/>
    <w:rsid w:val="0DB791AD"/>
    <w:rsid w:val="0DDDA7D4"/>
    <w:rsid w:val="0DE54B01"/>
    <w:rsid w:val="0DF263FC"/>
    <w:rsid w:val="0DFCD0B4"/>
    <w:rsid w:val="0E03304A"/>
    <w:rsid w:val="0E05A077"/>
    <w:rsid w:val="0E06EB99"/>
    <w:rsid w:val="0E1C90D6"/>
    <w:rsid w:val="0E5020DE"/>
    <w:rsid w:val="0E521D72"/>
    <w:rsid w:val="0E788C42"/>
    <w:rsid w:val="0E8936C0"/>
    <w:rsid w:val="0EA1CF50"/>
    <w:rsid w:val="0EC759F5"/>
    <w:rsid w:val="0ECA8202"/>
    <w:rsid w:val="0EF32C35"/>
    <w:rsid w:val="0EF7FE4D"/>
    <w:rsid w:val="0F0F3F6C"/>
    <w:rsid w:val="0F1612A3"/>
    <w:rsid w:val="0F1F91C9"/>
    <w:rsid w:val="0F289808"/>
    <w:rsid w:val="0F2CB36F"/>
    <w:rsid w:val="0F2F757C"/>
    <w:rsid w:val="0F302C2A"/>
    <w:rsid w:val="0F506362"/>
    <w:rsid w:val="0F507519"/>
    <w:rsid w:val="0F6F0F95"/>
    <w:rsid w:val="0F6FE764"/>
    <w:rsid w:val="0F7AD91D"/>
    <w:rsid w:val="0F9FAB89"/>
    <w:rsid w:val="0FB7A4EC"/>
    <w:rsid w:val="0FBC4D64"/>
    <w:rsid w:val="0FC25915"/>
    <w:rsid w:val="0FD17104"/>
    <w:rsid w:val="0FE8E09C"/>
    <w:rsid w:val="0FF116E8"/>
    <w:rsid w:val="0FF142DA"/>
    <w:rsid w:val="0FFA0669"/>
    <w:rsid w:val="100DA995"/>
    <w:rsid w:val="10545D41"/>
    <w:rsid w:val="1063C7BB"/>
    <w:rsid w:val="106CC438"/>
    <w:rsid w:val="106FBB93"/>
    <w:rsid w:val="109C0EC2"/>
    <w:rsid w:val="10A228ED"/>
    <w:rsid w:val="10B43C5F"/>
    <w:rsid w:val="10B592DA"/>
    <w:rsid w:val="10CC6231"/>
    <w:rsid w:val="10E83934"/>
    <w:rsid w:val="10F4F0DD"/>
    <w:rsid w:val="11195AC9"/>
    <w:rsid w:val="112E4AE4"/>
    <w:rsid w:val="112F3A6E"/>
    <w:rsid w:val="11325660"/>
    <w:rsid w:val="1137DC65"/>
    <w:rsid w:val="113D4CB9"/>
    <w:rsid w:val="114F20EC"/>
    <w:rsid w:val="119D35C0"/>
    <w:rsid w:val="11B853AC"/>
    <w:rsid w:val="11EA980B"/>
    <w:rsid w:val="12079F78"/>
    <w:rsid w:val="122F39C2"/>
    <w:rsid w:val="122F8B98"/>
    <w:rsid w:val="12343F6D"/>
    <w:rsid w:val="12560B91"/>
    <w:rsid w:val="125F4BF7"/>
    <w:rsid w:val="126A6F0F"/>
    <w:rsid w:val="126F6F33"/>
    <w:rsid w:val="127A15DC"/>
    <w:rsid w:val="127E2250"/>
    <w:rsid w:val="1287BC8F"/>
    <w:rsid w:val="12925F9D"/>
    <w:rsid w:val="12BED0D2"/>
    <w:rsid w:val="1300637B"/>
    <w:rsid w:val="13169B4F"/>
    <w:rsid w:val="13271158"/>
    <w:rsid w:val="135299EB"/>
    <w:rsid w:val="1353F306"/>
    <w:rsid w:val="13723731"/>
    <w:rsid w:val="13858DF8"/>
    <w:rsid w:val="1390CF31"/>
    <w:rsid w:val="1391E8B9"/>
    <w:rsid w:val="13A23739"/>
    <w:rsid w:val="13B6FCE0"/>
    <w:rsid w:val="13B89DEC"/>
    <w:rsid w:val="13C1F1B7"/>
    <w:rsid w:val="13C2AF28"/>
    <w:rsid w:val="13C84B3A"/>
    <w:rsid w:val="13CAE943"/>
    <w:rsid w:val="13DDE181"/>
    <w:rsid w:val="13E0C022"/>
    <w:rsid w:val="13F42F92"/>
    <w:rsid w:val="13FFD158"/>
    <w:rsid w:val="1404D6AC"/>
    <w:rsid w:val="141ED5EB"/>
    <w:rsid w:val="14227211"/>
    <w:rsid w:val="1424D71F"/>
    <w:rsid w:val="14366465"/>
    <w:rsid w:val="144F2A1E"/>
    <w:rsid w:val="1463B024"/>
    <w:rsid w:val="147409B0"/>
    <w:rsid w:val="1480E72A"/>
    <w:rsid w:val="14A1ABB8"/>
    <w:rsid w:val="14B3FB70"/>
    <w:rsid w:val="14CFB873"/>
    <w:rsid w:val="14CFBE46"/>
    <w:rsid w:val="14D1B91E"/>
    <w:rsid w:val="14D61FFF"/>
    <w:rsid w:val="150F021A"/>
    <w:rsid w:val="151060B5"/>
    <w:rsid w:val="1513A95C"/>
    <w:rsid w:val="1519950A"/>
    <w:rsid w:val="151BC3F1"/>
    <w:rsid w:val="1521AC87"/>
    <w:rsid w:val="1525C5C9"/>
    <w:rsid w:val="1529E2EB"/>
    <w:rsid w:val="153470A2"/>
    <w:rsid w:val="154E8CC7"/>
    <w:rsid w:val="158A42B7"/>
    <w:rsid w:val="158F848B"/>
    <w:rsid w:val="15B60655"/>
    <w:rsid w:val="15B99A91"/>
    <w:rsid w:val="15D523F4"/>
    <w:rsid w:val="15E2CA9E"/>
    <w:rsid w:val="15F68F4B"/>
    <w:rsid w:val="1627B107"/>
    <w:rsid w:val="1672552A"/>
    <w:rsid w:val="16A5EFEE"/>
    <w:rsid w:val="16BEB48B"/>
    <w:rsid w:val="16C3C936"/>
    <w:rsid w:val="16C883CD"/>
    <w:rsid w:val="16D8A505"/>
    <w:rsid w:val="16EF7E76"/>
    <w:rsid w:val="16FA560A"/>
    <w:rsid w:val="17348018"/>
    <w:rsid w:val="1734D4E2"/>
    <w:rsid w:val="179EE204"/>
    <w:rsid w:val="17B83366"/>
    <w:rsid w:val="17BDDA6B"/>
    <w:rsid w:val="17DCABAE"/>
    <w:rsid w:val="1865CEC6"/>
    <w:rsid w:val="18664BDC"/>
    <w:rsid w:val="189CD651"/>
    <w:rsid w:val="189FE14C"/>
    <w:rsid w:val="18A5FC1B"/>
    <w:rsid w:val="18A91E07"/>
    <w:rsid w:val="18BE8A00"/>
    <w:rsid w:val="18CB4F9A"/>
    <w:rsid w:val="18CE4474"/>
    <w:rsid w:val="18E545F7"/>
    <w:rsid w:val="18F04087"/>
    <w:rsid w:val="18F1500D"/>
    <w:rsid w:val="19000BDF"/>
    <w:rsid w:val="190635BF"/>
    <w:rsid w:val="191C0F27"/>
    <w:rsid w:val="1933C725"/>
    <w:rsid w:val="193B14ED"/>
    <w:rsid w:val="193D0CCF"/>
    <w:rsid w:val="19410CAD"/>
    <w:rsid w:val="1949E0BD"/>
    <w:rsid w:val="196EA90B"/>
    <w:rsid w:val="1975EDFB"/>
    <w:rsid w:val="1991CFBE"/>
    <w:rsid w:val="19A2124D"/>
    <w:rsid w:val="19A57552"/>
    <w:rsid w:val="19A7DF5B"/>
    <w:rsid w:val="19DAE1B8"/>
    <w:rsid w:val="19FCD7DD"/>
    <w:rsid w:val="19FF80BE"/>
    <w:rsid w:val="1A090B18"/>
    <w:rsid w:val="1A236273"/>
    <w:rsid w:val="1A4CC82B"/>
    <w:rsid w:val="1A82039E"/>
    <w:rsid w:val="1ABDD97B"/>
    <w:rsid w:val="1AC5B63C"/>
    <w:rsid w:val="1AD2AB65"/>
    <w:rsid w:val="1AD48848"/>
    <w:rsid w:val="1ADE285B"/>
    <w:rsid w:val="1AE9719C"/>
    <w:rsid w:val="1B1DCA06"/>
    <w:rsid w:val="1B2F800A"/>
    <w:rsid w:val="1B36A4E8"/>
    <w:rsid w:val="1B47866E"/>
    <w:rsid w:val="1B688456"/>
    <w:rsid w:val="1B7AF4EF"/>
    <w:rsid w:val="1B7E44B9"/>
    <w:rsid w:val="1BA65845"/>
    <w:rsid w:val="1BE1D3BA"/>
    <w:rsid w:val="1C1EF65E"/>
    <w:rsid w:val="1C2507BF"/>
    <w:rsid w:val="1C2C00C5"/>
    <w:rsid w:val="1C34DA16"/>
    <w:rsid w:val="1C4BE090"/>
    <w:rsid w:val="1CA387ED"/>
    <w:rsid w:val="1CA8D1F2"/>
    <w:rsid w:val="1CAF5647"/>
    <w:rsid w:val="1CD1ADA6"/>
    <w:rsid w:val="1CEF3DE6"/>
    <w:rsid w:val="1D019E40"/>
    <w:rsid w:val="1D14B704"/>
    <w:rsid w:val="1D3D16C8"/>
    <w:rsid w:val="1D535C29"/>
    <w:rsid w:val="1D650612"/>
    <w:rsid w:val="1D680E65"/>
    <w:rsid w:val="1D7CD1E0"/>
    <w:rsid w:val="1DB30321"/>
    <w:rsid w:val="1DBFDBB3"/>
    <w:rsid w:val="1DF03D00"/>
    <w:rsid w:val="1DF68540"/>
    <w:rsid w:val="1DF8093F"/>
    <w:rsid w:val="1E1EAE52"/>
    <w:rsid w:val="1E23F380"/>
    <w:rsid w:val="1E247F15"/>
    <w:rsid w:val="1E29AD5D"/>
    <w:rsid w:val="1E3F28CF"/>
    <w:rsid w:val="1E406AF0"/>
    <w:rsid w:val="1E51ACD1"/>
    <w:rsid w:val="1E5CCB30"/>
    <w:rsid w:val="1E6339D3"/>
    <w:rsid w:val="1E6FFE8A"/>
    <w:rsid w:val="1E714369"/>
    <w:rsid w:val="1E9B16DF"/>
    <w:rsid w:val="1E9C267C"/>
    <w:rsid w:val="1EB3FEDB"/>
    <w:rsid w:val="1EC16B58"/>
    <w:rsid w:val="1ED54DA0"/>
    <w:rsid w:val="1ED9A376"/>
    <w:rsid w:val="1EF558D5"/>
    <w:rsid w:val="1F3E6522"/>
    <w:rsid w:val="1F473D7E"/>
    <w:rsid w:val="1F4D8F7B"/>
    <w:rsid w:val="1F4F1944"/>
    <w:rsid w:val="1F52E5C9"/>
    <w:rsid w:val="1F6E98D5"/>
    <w:rsid w:val="1F865865"/>
    <w:rsid w:val="1F8DD8A3"/>
    <w:rsid w:val="1FA5A454"/>
    <w:rsid w:val="1FF049E3"/>
    <w:rsid w:val="1FFCBE94"/>
    <w:rsid w:val="20088B9B"/>
    <w:rsid w:val="200C8CF3"/>
    <w:rsid w:val="201ED230"/>
    <w:rsid w:val="201F6F4E"/>
    <w:rsid w:val="20AE6C8B"/>
    <w:rsid w:val="20BF4A9A"/>
    <w:rsid w:val="20ED2BD3"/>
    <w:rsid w:val="20FD0DA6"/>
    <w:rsid w:val="2123D5F4"/>
    <w:rsid w:val="21259696"/>
    <w:rsid w:val="2126677A"/>
    <w:rsid w:val="2133E09B"/>
    <w:rsid w:val="21723358"/>
    <w:rsid w:val="218784F3"/>
    <w:rsid w:val="219818D1"/>
    <w:rsid w:val="219BF7BB"/>
    <w:rsid w:val="21A4E94F"/>
    <w:rsid w:val="21AE0A39"/>
    <w:rsid w:val="21B2D6F3"/>
    <w:rsid w:val="21B866E1"/>
    <w:rsid w:val="21C3FAD5"/>
    <w:rsid w:val="21C50DA2"/>
    <w:rsid w:val="21C58223"/>
    <w:rsid w:val="21CAB684"/>
    <w:rsid w:val="21D78DB8"/>
    <w:rsid w:val="2207B5CD"/>
    <w:rsid w:val="2212C92F"/>
    <w:rsid w:val="2216EA4A"/>
    <w:rsid w:val="222263B3"/>
    <w:rsid w:val="22290829"/>
    <w:rsid w:val="2250CC95"/>
    <w:rsid w:val="225D9400"/>
    <w:rsid w:val="22613D29"/>
    <w:rsid w:val="22992B30"/>
    <w:rsid w:val="229C26EE"/>
    <w:rsid w:val="22B30039"/>
    <w:rsid w:val="22C536B2"/>
    <w:rsid w:val="22C8780F"/>
    <w:rsid w:val="22C9259C"/>
    <w:rsid w:val="22DCCE51"/>
    <w:rsid w:val="22E9E25E"/>
    <w:rsid w:val="2306344A"/>
    <w:rsid w:val="2306DAA6"/>
    <w:rsid w:val="230E4452"/>
    <w:rsid w:val="230E50ED"/>
    <w:rsid w:val="23308B79"/>
    <w:rsid w:val="23700F60"/>
    <w:rsid w:val="237EB5C5"/>
    <w:rsid w:val="238127C0"/>
    <w:rsid w:val="2385DE0D"/>
    <w:rsid w:val="23A18084"/>
    <w:rsid w:val="23C9653B"/>
    <w:rsid w:val="23E77C92"/>
    <w:rsid w:val="2428D8C0"/>
    <w:rsid w:val="242A844A"/>
    <w:rsid w:val="242C08E3"/>
    <w:rsid w:val="2442AC82"/>
    <w:rsid w:val="2450818D"/>
    <w:rsid w:val="24674FC8"/>
    <w:rsid w:val="246EEDAF"/>
    <w:rsid w:val="24724D0C"/>
    <w:rsid w:val="248180E1"/>
    <w:rsid w:val="249EA9EC"/>
    <w:rsid w:val="24BA547C"/>
    <w:rsid w:val="24BC8C42"/>
    <w:rsid w:val="24DD22E9"/>
    <w:rsid w:val="24F4B2D0"/>
    <w:rsid w:val="24FB79E7"/>
    <w:rsid w:val="250FCF79"/>
    <w:rsid w:val="251103E6"/>
    <w:rsid w:val="2524EA3E"/>
    <w:rsid w:val="252EDD1D"/>
    <w:rsid w:val="2536726E"/>
    <w:rsid w:val="253BC97C"/>
    <w:rsid w:val="2545795A"/>
    <w:rsid w:val="254DA24B"/>
    <w:rsid w:val="255F4A00"/>
    <w:rsid w:val="25757643"/>
    <w:rsid w:val="25855BF5"/>
    <w:rsid w:val="25A2C873"/>
    <w:rsid w:val="25B7CF46"/>
    <w:rsid w:val="25B8709B"/>
    <w:rsid w:val="25C47083"/>
    <w:rsid w:val="25C593FC"/>
    <w:rsid w:val="25D03B86"/>
    <w:rsid w:val="25F3D5C1"/>
    <w:rsid w:val="2608705F"/>
    <w:rsid w:val="2630380A"/>
    <w:rsid w:val="2637B62B"/>
    <w:rsid w:val="265122BF"/>
    <w:rsid w:val="26922759"/>
    <w:rsid w:val="26AA8EF3"/>
    <w:rsid w:val="26B6BBA2"/>
    <w:rsid w:val="26B89290"/>
    <w:rsid w:val="26CD4308"/>
    <w:rsid w:val="26D844EF"/>
    <w:rsid w:val="26E579A5"/>
    <w:rsid w:val="26ECCD0A"/>
    <w:rsid w:val="270082C5"/>
    <w:rsid w:val="271EE771"/>
    <w:rsid w:val="275E5AAE"/>
    <w:rsid w:val="27718941"/>
    <w:rsid w:val="27826133"/>
    <w:rsid w:val="27894683"/>
    <w:rsid w:val="279A4013"/>
    <w:rsid w:val="279D91DA"/>
    <w:rsid w:val="27F64BE9"/>
    <w:rsid w:val="27FA2B50"/>
    <w:rsid w:val="28121ACD"/>
    <w:rsid w:val="28155E91"/>
    <w:rsid w:val="28530262"/>
    <w:rsid w:val="28721D0E"/>
    <w:rsid w:val="28799902"/>
    <w:rsid w:val="287FB975"/>
    <w:rsid w:val="288A3379"/>
    <w:rsid w:val="288B9635"/>
    <w:rsid w:val="288C0788"/>
    <w:rsid w:val="2893996C"/>
    <w:rsid w:val="28B03443"/>
    <w:rsid w:val="28BAE2A8"/>
    <w:rsid w:val="28E278B7"/>
    <w:rsid w:val="28E82527"/>
    <w:rsid w:val="28EA7460"/>
    <w:rsid w:val="28ED223D"/>
    <w:rsid w:val="28EF326E"/>
    <w:rsid w:val="2903DD33"/>
    <w:rsid w:val="29117631"/>
    <w:rsid w:val="29181193"/>
    <w:rsid w:val="292EEAE5"/>
    <w:rsid w:val="29373C77"/>
    <w:rsid w:val="2980C7C8"/>
    <w:rsid w:val="29865A8A"/>
    <w:rsid w:val="29A2E2F6"/>
    <w:rsid w:val="29B407F9"/>
    <w:rsid w:val="29C2FB76"/>
    <w:rsid w:val="29CD20BC"/>
    <w:rsid w:val="29EE83A8"/>
    <w:rsid w:val="29F21F67"/>
    <w:rsid w:val="29FE19E3"/>
    <w:rsid w:val="2A312789"/>
    <w:rsid w:val="2A330916"/>
    <w:rsid w:val="2A51F1E4"/>
    <w:rsid w:val="2A88C508"/>
    <w:rsid w:val="2A92F9D2"/>
    <w:rsid w:val="2AA45A77"/>
    <w:rsid w:val="2ABC41E2"/>
    <w:rsid w:val="2AC2EE55"/>
    <w:rsid w:val="2AF14A8F"/>
    <w:rsid w:val="2AFB03B1"/>
    <w:rsid w:val="2B036A7E"/>
    <w:rsid w:val="2B1C468A"/>
    <w:rsid w:val="2B1D0795"/>
    <w:rsid w:val="2B300412"/>
    <w:rsid w:val="2B3A2778"/>
    <w:rsid w:val="2B488D41"/>
    <w:rsid w:val="2B491A6C"/>
    <w:rsid w:val="2B4D185C"/>
    <w:rsid w:val="2B7836F5"/>
    <w:rsid w:val="2B84A8FB"/>
    <w:rsid w:val="2B96B023"/>
    <w:rsid w:val="2BC7EC70"/>
    <w:rsid w:val="2BCB0BA0"/>
    <w:rsid w:val="2BD43AA4"/>
    <w:rsid w:val="2BD44240"/>
    <w:rsid w:val="2BF50421"/>
    <w:rsid w:val="2C260456"/>
    <w:rsid w:val="2C276839"/>
    <w:rsid w:val="2C41619F"/>
    <w:rsid w:val="2C4DD729"/>
    <w:rsid w:val="2C699B1B"/>
    <w:rsid w:val="2C6E2FEA"/>
    <w:rsid w:val="2C919ECD"/>
    <w:rsid w:val="2C987BB1"/>
    <w:rsid w:val="2CA2CFA6"/>
    <w:rsid w:val="2CA379BB"/>
    <w:rsid w:val="2CA96A04"/>
    <w:rsid w:val="2CB2453B"/>
    <w:rsid w:val="2CB65D0E"/>
    <w:rsid w:val="2CD0909A"/>
    <w:rsid w:val="2CD90D5B"/>
    <w:rsid w:val="2CF80CD4"/>
    <w:rsid w:val="2D1BDE91"/>
    <w:rsid w:val="2D3B5039"/>
    <w:rsid w:val="2D42FA78"/>
    <w:rsid w:val="2D6E23B8"/>
    <w:rsid w:val="2D7AEDBB"/>
    <w:rsid w:val="2D83E719"/>
    <w:rsid w:val="2D8A114E"/>
    <w:rsid w:val="2D99AB53"/>
    <w:rsid w:val="2DA25D9C"/>
    <w:rsid w:val="2DC6064F"/>
    <w:rsid w:val="2DCBB1C6"/>
    <w:rsid w:val="2DCF5149"/>
    <w:rsid w:val="2DD43AAF"/>
    <w:rsid w:val="2DD5E6A2"/>
    <w:rsid w:val="2DDCDF11"/>
    <w:rsid w:val="2DE8384E"/>
    <w:rsid w:val="2E12B8FE"/>
    <w:rsid w:val="2E15F6DE"/>
    <w:rsid w:val="2E1DAB56"/>
    <w:rsid w:val="2E2E08BF"/>
    <w:rsid w:val="2E3120C1"/>
    <w:rsid w:val="2E31BAAB"/>
    <w:rsid w:val="2E5381CF"/>
    <w:rsid w:val="2E618AAC"/>
    <w:rsid w:val="2E625DF5"/>
    <w:rsid w:val="2E7B0674"/>
    <w:rsid w:val="2E972E67"/>
    <w:rsid w:val="2EB1C221"/>
    <w:rsid w:val="2EBC90F7"/>
    <w:rsid w:val="2EBF61A0"/>
    <w:rsid w:val="2ECB4554"/>
    <w:rsid w:val="2ECC9F72"/>
    <w:rsid w:val="2ECF631E"/>
    <w:rsid w:val="2ED47E17"/>
    <w:rsid w:val="2F350E9A"/>
    <w:rsid w:val="2F661C0E"/>
    <w:rsid w:val="2F8FF537"/>
    <w:rsid w:val="2F926332"/>
    <w:rsid w:val="2F927B40"/>
    <w:rsid w:val="2FB2C8AD"/>
    <w:rsid w:val="2FC868B8"/>
    <w:rsid w:val="2FDB6657"/>
    <w:rsid w:val="2FDDF170"/>
    <w:rsid w:val="2FEFA3F1"/>
    <w:rsid w:val="300CF3B0"/>
    <w:rsid w:val="301339D7"/>
    <w:rsid w:val="302EE76D"/>
    <w:rsid w:val="303771CC"/>
    <w:rsid w:val="303B7D71"/>
    <w:rsid w:val="3041EC69"/>
    <w:rsid w:val="30516DC4"/>
    <w:rsid w:val="30527F2E"/>
    <w:rsid w:val="305FBDCE"/>
    <w:rsid w:val="3066A69E"/>
    <w:rsid w:val="30C1AF7C"/>
    <w:rsid w:val="30DBFEEE"/>
    <w:rsid w:val="30E68438"/>
    <w:rsid w:val="31053DC2"/>
    <w:rsid w:val="3116D3BD"/>
    <w:rsid w:val="313C96C7"/>
    <w:rsid w:val="316B720D"/>
    <w:rsid w:val="31AC0467"/>
    <w:rsid w:val="31DD2EC3"/>
    <w:rsid w:val="321CAB9F"/>
    <w:rsid w:val="32526E69"/>
    <w:rsid w:val="3259D544"/>
    <w:rsid w:val="325FD92F"/>
    <w:rsid w:val="32673A44"/>
    <w:rsid w:val="3274244E"/>
    <w:rsid w:val="32864A3D"/>
    <w:rsid w:val="328B3E8F"/>
    <w:rsid w:val="32980F56"/>
    <w:rsid w:val="329B134E"/>
    <w:rsid w:val="32B0BBCE"/>
    <w:rsid w:val="32BF58EF"/>
    <w:rsid w:val="32C343D0"/>
    <w:rsid w:val="32D6605E"/>
    <w:rsid w:val="32DC9111"/>
    <w:rsid w:val="32F18507"/>
    <w:rsid w:val="32F4428C"/>
    <w:rsid w:val="32F815CD"/>
    <w:rsid w:val="3304F00C"/>
    <w:rsid w:val="3309BF6B"/>
    <w:rsid w:val="33107EFF"/>
    <w:rsid w:val="331F34B8"/>
    <w:rsid w:val="332892FB"/>
    <w:rsid w:val="333E524E"/>
    <w:rsid w:val="33531974"/>
    <w:rsid w:val="33547372"/>
    <w:rsid w:val="336CF187"/>
    <w:rsid w:val="33E77529"/>
    <w:rsid w:val="341A607C"/>
    <w:rsid w:val="341BA16F"/>
    <w:rsid w:val="34242681"/>
    <w:rsid w:val="3424F637"/>
    <w:rsid w:val="342C42CF"/>
    <w:rsid w:val="344D4EB7"/>
    <w:rsid w:val="345FE31F"/>
    <w:rsid w:val="34691F4E"/>
    <w:rsid w:val="348730DF"/>
    <w:rsid w:val="348AEDFC"/>
    <w:rsid w:val="348EF2DC"/>
    <w:rsid w:val="349990F9"/>
    <w:rsid w:val="34BA170C"/>
    <w:rsid w:val="34C6A64F"/>
    <w:rsid w:val="34D13BB2"/>
    <w:rsid w:val="34D97BD4"/>
    <w:rsid w:val="34F39047"/>
    <w:rsid w:val="350C4C20"/>
    <w:rsid w:val="350C90B9"/>
    <w:rsid w:val="352D806F"/>
    <w:rsid w:val="35315EAF"/>
    <w:rsid w:val="353A534C"/>
    <w:rsid w:val="353B356D"/>
    <w:rsid w:val="35405FF9"/>
    <w:rsid w:val="3558F180"/>
    <w:rsid w:val="3560FA44"/>
    <w:rsid w:val="35689F17"/>
    <w:rsid w:val="358F390A"/>
    <w:rsid w:val="359C305F"/>
    <w:rsid w:val="35A82AE1"/>
    <w:rsid w:val="35C213F3"/>
    <w:rsid w:val="35C58A5B"/>
    <w:rsid w:val="35D37204"/>
    <w:rsid w:val="35DAE114"/>
    <w:rsid w:val="35E2E744"/>
    <w:rsid w:val="35EA5FD7"/>
    <w:rsid w:val="35F6CCAB"/>
    <w:rsid w:val="35F88D6A"/>
    <w:rsid w:val="35F9AC72"/>
    <w:rsid w:val="3611BBEB"/>
    <w:rsid w:val="3613242C"/>
    <w:rsid w:val="3615F328"/>
    <w:rsid w:val="363C97BE"/>
    <w:rsid w:val="365D127D"/>
    <w:rsid w:val="3678EEE3"/>
    <w:rsid w:val="367DC56F"/>
    <w:rsid w:val="367F3511"/>
    <w:rsid w:val="36A16085"/>
    <w:rsid w:val="36C8D4D0"/>
    <w:rsid w:val="36C9E609"/>
    <w:rsid w:val="37239660"/>
    <w:rsid w:val="3771B77D"/>
    <w:rsid w:val="3789296D"/>
    <w:rsid w:val="3791CE1E"/>
    <w:rsid w:val="37B17274"/>
    <w:rsid w:val="37D21626"/>
    <w:rsid w:val="37DDECF4"/>
    <w:rsid w:val="37E76024"/>
    <w:rsid w:val="380222C5"/>
    <w:rsid w:val="38170BCB"/>
    <w:rsid w:val="3847EBBC"/>
    <w:rsid w:val="3878F236"/>
    <w:rsid w:val="38866CDA"/>
    <w:rsid w:val="38A99662"/>
    <w:rsid w:val="38DE6075"/>
    <w:rsid w:val="38EACF55"/>
    <w:rsid w:val="38EF96F8"/>
    <w:rsid w:val="38F4B43B"/>
    <w:rsid w:val="390287E3"/>
    <w:rsid w:val="390768EB"/>
    <w:rsid w:val="390DE66C"/>
    <w:rsid w:val="3938ACD7"/>
    <w:rsid w:val="3952795C"/>
    <w:rsid w:val="3955D8CE"/>
    <w:rsid w:val="395C34A1"/>
    <w:rsid w:val="3976AB28"/>
    <w:rsid w:val="397EED06"/>
    <w:rsid w:val="3989B633"/>
    <w:rsid w:val="398FE6DD"/>
    <w:rsid w:val="39974892"/>
    <w:rsid w:val="39C9CC48"/>
    <w:rsid w:val="39D7D1DA"/>
    <w:rsid w:val="39D87EEB"/>
    <w:rsid w:val="39DEA2A1"/>
    <w:rsid w:val="39E57157"/>
    <w:rsid w:val="39F00F9C"/>
    <w:rsid w:val="3A5B4D45"/>
    <w:rsid w:val="3A5FAEA2"/>
    <w:rsid w:val="3A6993E4"/>
    <w:rsid w:val="3A70E1CB"/>
    <w:rsid w:val="3A773C5F"/>
    <w:rsid w:val="3A7FF176"/>
    <w:rsid w:val="3A80D1C1"/>
    <w:rsid w:val="3A848CE0"/>
    <w:rsid w:val="3A8ADA5D"/>
    <w:rsid w:val="3A949836"/>
    <w:rsid w:val="3A97A79E"/>
    <w:rsid w:val="3AA927B7"/>
    <w:rsid w:val="3AB1BF4E"/>
    <w:rsid w:val="3AD5357E"/>
    <w:rsid w:val="3ADAB859"/>
    <w:rsid w:val="3AE6345D"/>
    <w:rsid w:val="3AEDFDD4"/>
    <w:rsid w:val="3AF00987"/>
    <w:rsid w:val="3AF193BA"/>
    <w:rsid w:val="3AFCC34D"/>
    <w:rsid w:val="3B031656"/>
    <w:rsid w:val="3B06EB89"/>
    <w:rsid w:val="3B0D62D2"/>
    <w:rsid w:val="3B19CCE6"/>
    <w:rsid w:val="3B2AC569"/>
    <w:rsid w:val="3B56B1E7"/>
    <w:rsid w:val="3B61BFFF"/>
    <w:rsid w:val="3B7D228E"/>
    <w:rsid w:val="3B87EEEB"/>
    <w:rsid w:val="3B941D6F"/>
    <w:rsid w:val="3BBA3059"/>
    <w:rsid w:val="3BFED220"/>
    <w:rsid w:val="3BFEE229"/>
    <w:rsid w:val="3C0CAC4E"/>
    <w:rsid w:val="3C412AB8"/>
    <w:rsid w:val="3C4338F9"/>
    <w:rsid w:val="3C55EFE1"/>
    <w:rsid w:val="3C5A3002"/>
    <w:rsid w:val="3C5A7987"/>
    <w:rsid w:val="3C5B38EF"/>
    <w:rsid w:val="3C63DE77"/>
    <w:rsid w:val="3C8506B8"/>
    <w:rsid w:val="3C999C79"/>
    <w:rsid w:val="3CBAACAE"/>
    <w:rsid w:val="3CD7B941"/>
    <w:rsid w:val="3CECBF34"/>
    <w:rsid w:val="3D2E5320"/>
    <w:rsid w:val="3D33DE4B"/>
    <w:rsid w:val="3D45A9FA"/>
    <w:rsid w:val="3D4D572C"/>
    <w:rsid w:val="3D4DDC75"/>
    <w:rsid w:val="3D645426"/>
    <w:rsid w:val="3D64EB5C"/>
    <w:rsid w:val="3D6EE4DA"/>
    <w:rsid w:val="3D9B9EAD"/>
    <w:rsid w:val="3DA2E3F0"/>
    <w:rsid w:val="3DAF25A9"/>
    <w:rsid w:val="3DB9A74E"/>
    <w:rsid w:val="3DC9AA13"/>
    <w:rsid w:val="3DEBA8D6"/>
    <w:rsid w:val="3DF780F1"/>
    <w:rsid w:val="3DF852DC"/>
    <w:rsid w:val="3E078DBC"/>
    <w:rsid w:val="3E0E5C5B"/>
    <w:rsid w:val="3E1DD871"/>
    <w:rsid w:val="3E2F4498"/>
    <w:rsid w:val="3E366E87"/>
    <w:rsid w:val="3E753E5D"/>
    <w:rsid w:val="3E7614B7"/>
    <w:rsid w:val="3E8155F1"/>
    <w:rsid w:val="3E90185F"/>
    <w:rsid w:val="3E9B4CC2"/>
    <w:rsid w:val="3E9C2345"/>
    <w:rsid w:val="3E9DAFB2"/>
    <w:rsid w:val="3EA06368"/>
    <w:rsid w:val="3EAD044F"/>
    <w:rsid w:val="3EB71463"/>
    <w:rsid w:val="3EB92A29"/>
    <w:rsid w:val="3EC5C20B"/>
    <w:rsid w:val="3ECA7436"/>
    <w:rsid w:val="3ECF28DA"/>
    <w:rsid w:val="3ECF92BE"/>
    <w:rsid w:val="3EFBDABB"/>
    <w:rsid w:val="3EFC7CB5"/>
    <w:rsid w:val="3F224B52"/>
    <w:rsid w:val="3F3205E4"/>
    <w:rsid w:val="3F3805A6"/>
    <w:rsid w:val="3F3FBE0C"/>
    <w:rsid w:val="3F5FDA98"/>
    <w:rsid w:val="3F790147"/>
    <w:rsid w:val="3FB2D120"/>
    <w:rsid w:val="3FE79A24"/>
    <w:rsid w:val="3FEEA687"/>
    <w:rsid w:val="40138BC2"/>
    <w:rsid w:val="401A240F"/>
    <w:rsid w:val="402BFFD9"/>
    <w:rsid w:val="405EDFDD"/>
    <w:rsid w:val="40725A2C"/>
    <w:rsid w:val="409D4119"/>
    <w:rsid w:val="40A44117"/>
    <w:rsid w:val="4108A5AF"/>
    <w:rsid w:val="4108E886"/>
    <w:rsid w:val="4132F0B8"/>
    <w:rsid w:val="415398B3"/>
    <w:rsid w:val="416C7760"/>
    <w:rsid w:val="4170136F"/>
    <w:rsid w:val="4188F496"/>
    <w:rsid w:val="41CB0514"/>
    <w:rsid w:val="41DDFD74"/>
    <w:rsid w:val="41E671CD"/>
    <w:rsid w:val="4206B7A0"/>
    <w:rsid w:val="42356D11"/>
    <w:rsid w:val="4239FCFC"/>
    <w:rsid w:val="424FC8D3"/>
    <w:rsid w:val="4262889B"/>
    <w:rsid w:val="42737547"/>
    <w:rsid w:val="427487CC"/>
    <w:rsid w:val="427BB455"/>
    <w:rsid w:val="428D44F2"/>
    <w:rsid w:val="4290B457"/>
    <w:rsid w:val="42C7298F"/>
    <w:rsid w:val="42CDC4B9"/>
    <w:rsid w:val="42FAE698"/>
    <w:rsid w:val="4333AFC7"/>
    <w:rsid w:val="435EB848"/>
    <w:rsid w:val="43727E39"/>
    <w:rsid w:val="4378F36E"/>
    <w:rsid w:val="43B634B6"/>
    <w:rsid w:val="43CD3205"/>
    <w:rsid w:val="43DE4075"/>
    <w:rsid w:val="43E1A780"/>
    <w:rsid w:val="43E3675D"/>
    <w:rsid w:val="43E51C09"/>
    <w:rsid w:val="43EBC801"/>
    <w:rsid w:val="43F6364C"/>
    <w:rsid w:val="44047A8B"/>
    <w:rsid w:val="44096CDA"/>
    <w:rsid w:val="4410F77D"/>
    <w:rsid w:val="44185B1A"/>
    <w:rsid w:val="441E82C4"/>
    <w:rsid w:val="446566E1"/>
    <w:rsid w:val="44B5867F"/>
    <w:rsid w:val="44B72135"/>
    <w:rsid w:val="44BAB175"/>
    <w:rsid w:val="44E5701B"/>
    <w:rsid w:val="45354E10"/>
    <w:rsid w:val="45438F09"/>
    <w:rsid w:val="454547C6"/>
    <w:rsid w:val="454D32EE"/>
    <w:rsid w:val="456A22B3"/>
    <w:rsid w:val="45A248EE"/>
    <w:rsid w:val="45C24EAA"/>
    <w:rsid w:val="45D41DB9"/>
    <w:rsid w:val="45D6AE84"/>
    <w:rsid w:val="4614967F"/>
    <w:rsid w:val="4640B6D1"/>
    <w:rsid w:val="46454F0B"/>
    <w:rsid w:val="4654A12D"/>
    <w:rsid w:val="4655919B"/>
    <w:rsid w:val="46573286"/>
    <w:rsid w:val="465FA315"/>
    <w:rsid w:val="46604562"/>
    <w:rsid w:val="466456BD"/>
    <w:rsid w:val="467BC0D5"/>
    <w:rsid w:val="4696C5C3"/>
    <w:rsid w:val="46DBAB8C"/>
    <w:rsid w:val="46E9FE04"/>
    <w:rsid w:val="472DEB9C"/>
    <w:rsid w:val="473BB040"/>
    <w:rsid w:val="47481EDE"/>
    <w:rsid w:val="4786604A"/>
    <w:rsid w:val="4791D1CB"/>
    <w:rsid w:val="4792683F"/>
    <w:rsid w:val="47993CF8"/>
    <w:rsid w:val="479CEA7C"/>
    <w:rsid w:val="47A3AAE8"/>
    <w:rsid w:val="47B3A33C"/>
    <w:rsid w:val="47BFB09B"/>
    <w:rsid w:val="47E60FEF"/>
    <w:rsid w:val="47ED77BD"/>
    <w:rsid w:val="48174604"/>
    <w:rsid w:val="483E1E69"/>
    <w:rsid w:val="484B8483"/>
    <w:rsid w:val="485033BF"/>
    <w:rsid w:val="4852623D"/>
    <w:rsid w:val="48B3F0E9"/>
    <w:rsid w:val="48EF94DB"/>
    <w:rsid w:val="49002825"/>
    <w:rsid w:val="49281D1C"/>
    <w:rsid w:val="49323DD8"/>
    <w:rsid w:val="49680188"/>
    <w:rsid w:val="498F0832"/>
    <w:rsid w:val="499A66FC"/>
    <w:rsid w:val="49C3627F"/>
    <w:rsid w:val="49C60B0F"/>
    <w:rsid w:val="49D11313"/>
    <w:rsid w:val="49D35F77"/>
    <w:rsid w:val="49DD6AF6"/>
    <w:rsid w:val="4A088CA5"/>
    <w:rsid w:val="4A16F89C"/>
    <w:rsid w:val="4A1A378A"/>
    <w:rsid w:val="4A1D9D1C"/>
    <w:rsid w:val="4A222EC6"/>
    <w:rsid w:val="4A43DEDC"/>
    <w:rsid w:val="4A622E1A"/>
    <w:rsid w:val="4A733860"/>
    <w:rsid w:val="4A74385B"/>
    <w:rsid w:val="4A8D8643"/>
    <w:rsid w:val="4AA5B5EA"/>
    <w:rsid w:val="4B12C455"/>
    <w:rsid w:val="4B18AAB3"/>
    <w:rsid w:val="4B370AAC"/>
    <w:rsid w:val="4B413830"/>
    <w:rsid w:val="4B493AAB"/>
    <w:rsid w:val="4B6F7592"/>
    <w:rsid w:val="4B9355BE"/>
    <w:rsid w:val="4B9CC315"/>
    <w:rsid w:val="4BEBD841"/>
    <w:rsid w:val="4BED7987"/>
    <w:rsid w:val="4C0637DA"/>
    <w:rsid w:val="4C1169C9"/>
    <w:rsid w:val="4C1BCC70"/>
    <w:rsid w:val="4C3749E0"/>
    <w:rsid w:val="4C52346F"/>
    <w:rsid w:val="4C9A218C"/>
    <w:rsid w:val="4CC9EFBB"/>
    <w:rsid w:val="4CDF3633"/>
    <w:rsid w:val="4CF2262C"/>
    <w:rsid w:val="4CF4B2EE"/>
    <w:rsid w:val="4D2C269E"/>
    <w:rsid w:val="4D3EE16B"/>
    <w:rsid w:val="4D49C56A"/>
    <w:rsid w:val="4D8DF29D"/>
    <w:rsid w:val="4D999014"/>
    <w:rsid w:val="4D9BF006"/>
    <w:rsid w:val="4DB8A896"/>
    <w:rsid w:val="4DD1B085"/>
    <w:rsid w:val="4DD2EE89"/>
    <w:rsid w:val="4DF38EE3"/>
    <w:rsid w:val="4DF89429"/>
    <w:rsid w:val="4DFAD24D"/>
    <w:rsid w:val="4DFC48F9"/>
    <w:rsid w:val="4E197C08"/>
    <w:rsid w:val="4E6015AE"/>
    <w:rsid w:val="4E77F220"/>
    <w:rsid w:val="4EB5E09D"/>
    <w:rsid w:val="4EBA290A"/>
    <w:rsid w:val="4ECF795B"/>
    <w:rsid w:val="4ED9BADE"/>
    <w:rsid w:val="4EF28E9F"/>
    <w:rsid w:val="4F023BBF"/>
    <w:rsid w:val="4F0A4A2A"/>
    <w:rsid w:val="4F22D972"/>
    <w:rsid w:val="4F2D7363"/>
    <w:rsid w:val="4F394439"/>
    <w:rsid w:val="4F3E6F15"/>
    <w:rsid w:val="4F4D03C0"/>
    <w:rsid w:val="4F6161D9"/>
    <w:rsid w:val="4F851591"/>
    <w:rsid w:val="4F9DDF14"/>
    <w:rsid w:val="4FB34515"/>
    <w:rsid w:val="4FBD08B1"/>
    <w:rsid w:val="4FC2BCF4"/>
    <w:rsid w:val="4FCC5578"/>
    <w:rsid w:val="5019489B"/>
    <w:rsid w:val="502D3421"/>
    <w:rsid w:val="5036257F"/>
    <w:rsid w:val="5039C2D5"/>
    <w:rsid w:val="503A6294"/>
    <w:rsid w:val="5061F0AF"/>
    <w:rsid w:val="5068C07D"/>
    <w:rsid w:val="509F5B17"/>
    <w:rsid w:val="50A12AE8"/>
    <w:rsid w:val="50C06389"/>
    <w:rsid w:val="50E9765B"/>
    <w:rsid w:val="50EF2234"/>
    <w:rsid w:val="511756F1"/>
    <w:rsid w:val="511B4B75"/>
    <w:rsid w:val="5132B0C6"/>
    <w:rsid w:val="5155A3AF"/>
    <w:rsid w:val="515B4EFE"/>
    <w:rsid w:val="5169D6F9"/>
    <w:rsid w:val="51722D92"/>
    <w:rsid w:val="5178213C"/>
    <w:rsid w:val="519CA345"/>
    <w:rsid w:val="51A3AE93"/>
    <w:rsid w:val="51A59533"/>
    <w:rsid w:val="51B6B893"/>
    <w:rsid w:val="51CDB5BE"/>
    <w:rsid w:val="51F2B09C"/>
    <w:rsid w:val="52200F99"/>
    <w:rsid w:val="523AFE55"/>
    <w:rsid w:val="5247756D"/>
    <w:rsid w:val="524F9EA2"/>
    <w:rsid w:val="5279C202"/>
    <w:rsid w:val="527B2E92"/>
    <w:rsid w:val="5296243B"/>
    <w:rsid w:val="529DF5E1"/>
    <w:rsid w:val="52B05680"/>
    <w:rsid w:val="52D1FB6E"/>
    <w:rsid w:val="52D34330"/>
    <w:rsid w:val="53012846"/>
    <w:rsid w:val="53153619"/>
    <w:rsid w:val="532753C9"/>
    <w:rsid w:val="5338652A"/>
    <w:rsid w:val="533F3A96"/>
    <w:rsid w:val="5346036B"/>
    <w:rsid w:val="5347911D"/>
    <w:rsid w:val="534DA6C6"/>
    <w:rsid w:val="53540DFF"/>
    <w:rsid w:val="53572EB3"/>
    <w:rsid w:val="5358699C"/>
    <w:rsid w:val="536BD5B7"/>
    <w:rsid w:val="536D4A6A"/>
    <w:rsid w:val="536E103F"/>
    <w:rsid w:val="538D8EA3"/>
    <w:rsid w:val="5395368A"/>
    <w:rsid w:val="53DC38DE"/>
    <w:rsid w:val="53DC7897"/>
    <w:rsid w:val="53E84D6D"/>
    <w:rsid w:val="53EA0BC2"/>
    <w:rsid w:val="53EB2A2C"/>
    <w:rsid w:val="53F11A42"/>
    <w:rsid w:val="540A24A8"/>
    <w:rsid w:val="542A97FD"/>
    <w:rsid w:val="5450B95A"/>
    <w:rsid w:val="546108B9"/>
    <w:rsid w:val="5485AF83"/>
    <w:rsid w:val="5496E604"/>
    <w:rsid w:val="54A05E52"/>
    <w:rsid w:val="54AC1B16"/>
    <w:rsid w:val="54B2D14E"/>
    <w:rsid w:val="54BF5966"/>
    <w:rsid w:val="54E6C89C"/>
    <w:rsid w:val="5503134C"/>
    <w:rsid w:val="55516AA2"/>
    <w:rsid w:val="557FC690"/>
    <w:rsid w:val="559DD54A"/>
    <w:rsid w:val="55B4838E"/>
    <w:rsid w:val="55BCADFC"/>
    <w:rsid w:val="55CC5B46"/>
    <w:rsid w:val="55E7F58E"/>
    <w:rsid w:val="55F9A379"/>
    <w:rsid w:val="56009404"/>
    <w:rsid w:val="56021220"/>
    <w:rsid w:val="560AB432"/>
    <w:rsid w:val="56120F75"/>
    <w:rsid w:val="5645AAA7"/>
    <w:rsid w:val="5655A050"/>
    <w:rsid w:val="566E05CC"/>
    <w:rsid w:val="56767DB2"/>
    <w:rsid w:val="5697A1FE"/>
    <w:rsid w:val="56CC414A"/>
    <w:rsid w:val="56CD4C35"/>
    <w:rsid w:val="57153AC4"/>
    <w:rsid w:val="572BAA53"/>
    <w:rsid w:val="572E233D"/>
    <w:rsid w:val="57316241"/>
    <w:rsid w:val="573925D1"/>
    <w:rsid w:val="5761CE36"/>
    <w:rsid w:val="57623496"/>
    <w:rsid w:val="57756CB6"/>
    <w:rsid w:val="5775A695"/>
    <w:rsid w:val="5777874C"/>
    <w:rsid w:val="57829280"/>
    <w:rsid w:val="579FC43A"/>
    <w:rsid w:val="57A27B21"/>
    <w:rsid w:val="57A7E57D"/>
    <w:rsid w:val="57BF9EB0"/>
    <w:rsid w:val="57D2290B"/>
    <w:rsid w:val="57D98990"/>
    <w:rsid w:val="57E05799"/>
    <w:rsid w:val="57E62555"/>
    <w:rsid w:val="57FD7B41"/>
    <w:rsid w:val="58019775"/>
    <w:rsid w:val="58097EFE"/>
    <w:rsid w:val="580C5D83"/>
    <w:rsid w:val="581A863B"/>
    <w:rsid w:val="581CD20E"/>
    <w:rsid w:val="5823E91E"/>
    <w:rsid w:val="583C3F37"/>
    <w:rsid w:val="584F7D8A"/>
    <w:rsid w:val="5857EA85"/>
    <w:rsid w:val="5860E37C"/>
    <w:rsid w:val="58632A6B"/>
    <w:rsid w:val="58714F75"/>
    <w:rsid w:val="588AC8F3"/>
    <w:rsid w:val="58938F2F"/>
    <w:rsid w:val="58979F24"/>
    <w:rsid w:val="58A7393C"/>
    <w:rsid w:val="58ABD77E"/>
    <w:rsid w:val="58DD638D"/>
    <w:rsid w:val="58E79D76"/>
    <w:rsid w:val="58F172FA"/>
    <w:rsid w:val="58F6EAB7"/>
    <w:rsid w:val="591AC44B"/>
    <w:rsid w:val="5927AD66"/>
    <w:rsid w:val="5944D1C1"/>
    <w:rsid w:val="595E08D8"/>
    <w:rsid w:val="59662A6D"/>
    <w:rsid w:val="597946EE"/>
    <w:rsid w:val="597E773A"/>
    <w:rsid w:val="598037B2"/>
    <w:rsid w:val="59978281"/>
    <w:rsid w:val="5997F09E"/>
    <w:rsid w:val="599F63A0"/>
    <w:rsid w:val="59B8DBF4"/>
    <w:rsid w:val="59D068E5"/>
    <w:rsid w:val="59D0C79F"/>
    <w:rsid w:val="5A0B81E2"/>
    <w:rsid w:val="5A15AE32"/>
    <w:rsid w:val="5A2A3BE7"/>
    <w:rsid w:val="5A2A4E60"/>
    <w:rsid w:val="5A31CA43"/>
    <w:rsid w:val="5A36B91C"/>
    <w:rsid w:val="5A3B3737"/>
    <w:rsid w:val="5A4EFBD4"/>
    <w:rsid w:val="5A5ACC73"/>
    <w:rsid w:val="5A6DD0F1"/>
    <w:rsid w:val="5A955747"/>
    <w:rsid w:val="5A97D486"/>
    <w:rsid w:val="5A9B3D14"/>
    <w:rsid w:val="5AB031B6"/>
    <w:rsid w:val="5B3831F5"/>
    <w:rsid w:val="5B4ED673"/>
    <w:rsid w:val="5B5ABF9F"/>
    <w:rsid w:val="5B789920"/>
    <w:rsid w:val="5B84C4D1"/>
    <w:rsid w:val="5B97F620"/>
    <w:rsid w:val="5B9F0F21"/>
    <w:rsid w:val="5BBE7579"/>
    <w:rsid w:val="5BCBD2DD"/>
    <w:rsid w:val="5BF13A26"/>
    <w:rsid w:val="5BF32711"/>
    <w:rsid w:val="5C178CD2"/>
    <w:rsid w:val="5C2E6D89"/>
    <w:rsid w:val="5C60B751"/>
    <w:rsid w:val="5C72A079"/>
    <w:rsid w:val="5C845BAB"/>
    <w:rsid w:val="5C8D21B4"/>
    <w:rsid w:val="5C969428"/>
    <w:rsid w:val="5C9E1967"/>
    <w:rsid w:val="5CA60186"/>
    <w:rsid w:val="5CAB2EDB"/>
    <w:rsid w:val="5CD74E4B"/>
    <w:rsid w:val="5CDDAC2C"/>
    <w:rsid w:val="5CF8794A"/>
    <w:rsid w:val="5D03588A"/>
    <w:rsid w:val="5D077D33"/>
    <w:rsid w:val="5D1D313D"/>
    <w:rsid w:val="5D3BB829"/>
    <w:rsid w:val="5D56A7FB"/>
    <w:rsid w:val="5D5C49C8"/>
    <w:rsid w:val="5D9781EB"/>
    <w:rsid w:val="5D9D48A1"/>
    <w:rsid w:val="5DA24E29"/>
    <w:rsid w:val="5DA6671A"/>
    <w:rsid w:val="5DB29969"/>
    <w:rsid w:val="5DBFD91C"/>
    <w:rsid w:val="5DC1DB3C"/>
    <w:rsid w:val="5DD94DBF"/>
    <w:rsid w:val="5DDB8349"/>
    <w:rsid w:val="5E13ED62"/>
    <w:rsid w:val="5E1A7E7D"/>
    <w:rsid w:val="5E294818"/>
    <w:rsid w:val="5E4B643F"/>
    <w:rsid w:val="5E4FBEBD"/>
    <w:rsid w:val="5E52B9A4"/>
    <w:rsid w:val="5E5C8222"/>
    <w:rsid w:val="5E706E6E"/>
    <w:rsid w:val="5E7354D3"/>
    <w:rsid w:val="5E74D521"/>
    <w:rsid w:val="5E9368CC"/>
    <w:rsid w:val="5E9A6617"/>
    <w:rsid w:val="5E9B466D"/>
    <w:rsid w:val="5EA978A0"/>
    <w:rsid w:val="5EA9F997"/>
    <w:rsid w:val="5ECC9F02"/>
    <w:rsid w:val="5EEF50D7"/>
    <w:rsid w:val="5F2B8E5F"/>
    <w:rsid w:val="5F2F3B07"/>
    <w:rsid w:val="5F355FE0"/>
    <w:rsid w:val="5F5A7950"/>
    <w:rsid w:val="5F6E859A"/>
    <w:rsid w:val="5F72CBE6"/>
    <w:rsid w:val="5FD1EEA6"/>
    <w:rsid w:val="5FDD6C4D"/>
    <w:rsid w:val="5FDF7847"/>
    <w:rsid w:val="5FE26032"/>
    <w:rsid w:val="60114766"/>
    <w:rsid w:val="6030DD94"/>
    <w:rsid w:val="6040FC02"/>
    <w:rsid w:val="604B2777"/>
    <w:rsid w:val="60890332"/>
    <w:rsid w:val="6094D6B1"/>
    <w:rsid w:val="60AC37B3"/>
    <w:rsid w:val="60C408AD"/>
    <w:rsid w:val="60C78651"/>
    <w:rsid w:val="60DF9BAF"/>
    <w:rsid w:val="60E13B3F"/>
    <w:rsid w:val="60FB2364"/>
    <w:rsid w:val="6120394E"/>
    <w:rsid w:val="61221701"/>
    <w:rsid w:val="6130BFD5"/>
    <w:rsid w:val="614663E9"/>
    <w:rsid w:val="6182752A"/>
    <w:rsid w:val="6190EA58"/>
    <w:rsid w:val="61B54A08"/>
    <w:rsid w:val="61B9C72E"/>
    <w:rsid w:val="61CD4DFE"/>
    <w:rsid w:val="61D4AD1C"/>
    <w:rsid w:val="61ED7477"/>
    <w:rsid w:val="61F9E178"/>
    <w:rsid w:val="61FF014C"/>
    <w:rsid w:val="6226833A"/>
    <w:rsid w:val="624D4641"/>
    <w:rsid w:val="624ED376"/>
    <w:rsid w:val="62618DFA"/>
    <w:rsid w:val="62660804"/>
    <w:rsid w:val="62690F3E"/>
    <w:rsid w:val="62805202"/>
    <w:rsid w:val="6284FBE1"/>
    <w:rsid w:val="629398A6"/>
    <w:rsid w:val="62BDAD01"/>
    <w:rsid w:val="62BEB457"/>
    <w:rsid w:val="62DDB03F"/>
    <w:rsid w:val="630BFD15"/>
    <w:rsid w:val="63270A8C"/>
    <w:rsid w:val="6332A3FB"/>
    <w:rsid w:val="63695FDF"/>
    <w:rsid w:val="637CB6FF"/>
    <w:rsid w:val="63820E80"/>
    <w:rsid w:val="63A85F15"/>
    <w:rsid w:val="63B464CC"/>
    <w:rsid w:val="63BD84EC"/>
    <w:rsid w:val="63BF2901"/>
    <w:rsid w:val="63C5249F"/>
    <w:rsid w:val="63C5646D"/>
    <w:rsid w:val="63CC81B9"/>
    <w:rsid w:val="63E0D279"/>
    <w:rsid w:val="641CA9B8"/>
    <w:rsid w:val="641E2F4A"/>
    <w:rsid w:val="64221CFD"/>
    <w:rsid w:val="64311D7F"/>
    <w:rsid w:val="6448D7CD"/>
    <w:rsid w:val="647307AC"/>
    <w:rsid w:val="6477530E"/>
    <w:rsid w:val="648B85A6"/>
    <w:rsid w:val="649A70CD"/>
    <w:rsid w:val="64C0F0A9"/>
    <w:rsid w:val="64E2B76D"/>
    <w:rsid w:val="64F606EA"/>
    <w:rsid w:val="64F75B51"/>
    <w:rsid w:val="64F9ED3A"/>
    <w:rsid w:val="6512B16D"/>
    <w:rsid w:val="652C9528"/>
    <w:rsid w:val="65429FB4"/>
    <w:rsid w:val="65CEBEBD"/>
    <w:rsid w:val="65D17634"/>
    <w:rsid w:val="65FA52B3"/>
    <w:rsid w:val="660A986C"/>
    <w:rsid w:val="660B9F40"/>
    <w:rsid w:val="660E5437"/>
    <w:rsid w:val="66127800"/>
    <w:rsid w:val="66342B49"/>
    <w:rsid w:val="663B3AAC"/>
    <w:rsid w:val="6655E618"/>
    <w:rsid w:val="665DF92C"/>
    <w:rsid w:val="668CC643"/>
    <w:rsid w:val="668CFB93"/>
    <w:rsid w:val="6695C3BE"/>
    <w:rsid w:val="66AFB3C4"/>
    <w:rsid w:val="66B0B358"/>
    <w:rsid w:val="66B5CDE4"/>
    <w:rsid w:val="66D54E9B"/>
    <w:rsid w:val="66DE3EA6"/>
    <w:rsid w:val="66F2083B"/>
    <w:rsid w:val="6725DF86"/>
    <w:rsid w:val="6762EAF2"/>
    <w:rsid w:val="677528A1"/>
    <w:rsid w:val="6778BC26"/>
    <w:rsid w:val="67B425DE"/>
    <w:rsid w:val="67B85E22"/>
    <w:rsid w:val="67D50464"/>
    <w:rsid w:val="67DD1F4B"/>
    <w:rsid w:val="6801074B"/>
    <w:rsid w:val="68047EB8"/>
    <w:rsid w:val="68062F67"/>
    <w:rsid w:val="6822F977"/>
    <w:rsid w:val="6850BCD7"/>
    <w:rsid w:val="6870EF94"/>
    <w:rsid w:val="68807C23"/>
    <w:rsid w:val="688A489F"/>
    <w:rsid w:val="68B7D81D"/>
    <w:rsid w:val="68C3EDDF"/>
    <w:rsid w:val="68D035CD"/>
    <w:rsid w:val="68DD5321"/>
    <w:rsid w:val="68E90F1A"/>
    <w:rsid w:val="690BFDA1"/>
    <w:rsid w:val="691BF202"/>
    <w:rsid w:val="691E7121"/>
    <w:rsid w:val="6930E20E"/>
    <w:rsid w:val="6936D73E"/>
    <w:rsid w:val="6937E770"/>
    <w:rsid w:val="693A559A"/>
    <w:rsid w:val="693A6087"/>
    <w:rsid w:val="69464209"/>
    <w:rsid w:val="69570E5B"/>
    <w:rsid w:val="6968FE91"/>
    <w:rsid w:val="696D5960"/>
    <w:rsid w:val="696EB309"/>
    <w:rsid w:val="69C30CF0"/>
    <w:rsid w:val="69C7900D"/>
    <w:rsid w:val="69D18A64"/>
    <w:rsid w:val="69DBF034"/>
    <w:rsid w:val="6A0B0AFE"/>
    <w:rsid w:val="6A1B4D69"/>
    <w:rsid w:val="6A293C32"/>
    <w:rsid w:val="6A441E54"/>
    <w:rsid w:val="6A497434"/>
    <w:rsid w:val="6A52EE6C"/>
    <w:rsid w:val="6A5B1001"/>
    <w:rsid w:val="6A7B13FB"/>
    <w:rsid w:val="6A9DE788"/>
    <w:rsid w:val="6AB72371"/>
    <w:rsid w:val="6ABC8721"/>
    <w:rsid w:val="6ACD24F8"/>
    <w:rsid w:val="6AD21A6B"/>
    <w:rsid w:val="6AD4AA62"/>
    <w:rsid w:val="6ADE7762"/>
    <w:rsid w:val="6AF40E74"/>
    <w:rsid w:val="6AF85107"/>
    <w:rsid w:val="6B1A9103"/>
    <w:rsid w:val="6B2CD0C3"/>
    <w:rsid w:val="6B304A97"/>
    <w:rsid w:val="6B328B57"/>
    <w:rsid w:val="6B404F8A"/>
    <w:rsid w:val="6B48DFB5"/>
    <w:rsid w:val="6B4A2C89"/>
    <w:rsid w:val="6B4C9966"/>
    <w:rsid w:val="6B4CF3DF"/>
    <w:rsid w:val="6B69BAEB"/>
    <w:rsid w:val="6B840069"/>
    <w:rsid w:val="6B854620"/>
    <w:rsid w:val="6B92611D"/>
    <w:rsid w:val="6B941CF8"/>
    <w:rsid w:val="6BA1B8CD"/>
    <w:rsid w:val="6BBA1313"/>
    <w:rsid w:val="6BE494F9"/>
    <w:rsid w:val="6BF63734"/>
    <w:rsid w:val="6C01E33B"/>
    <w:rsid w:val="6C114ADA"/>
    <w:rsid w:val="6C1E9B0E"/>
    <w:rsid w:val="6C2620DB"/>
    <w:rsid w:val="6C2B2DF8"/>
    <w:rsid w:val="6C2CE4D2"/>
    <w:rsid w:val="6C412C22"/>
    <w:rsid w:val="6C42F658"/>
    <w:rsid w:val="6C7136E0"/>
    <w:rsid w:val="6C9F1FAB"/>
    <w:rsid w:val="6CA3999E"/>
    <w:rsid w:val="6CBE079B"/>
    <w:rsid w:val="6CC91043"/>
    <w:rsid w:val="6CDEF0A8"/>
    <w:rsid w:val="6D0BF474"/>
    <w:rsid w:val="6D0EBD4D"/>
    <w:rsid w:val="6D12E0B6"/>
    <w:rsid w:val="6D237D8A"/>
    <w:rsid w:val="6D2C4508"/>
    <w:rsid w:val="6D4D6044"/>
    <w:rsid w:val="6D554C56"/>
    <w:rsid w:val="6D58A235"/>
    <w:rsid w:val="6D5DD955"/>
    <w:rsid w:val="6D6D1B25"/>
    <w:rsid w:val="6D76AD6B"/>
    <w:rsid w:val="6D797252"/>
    <w:rsid w:val="6D90F5B0"/>
    <w:rsid w:val="6DA6614F"/>
    <w:rsid w:val="6DBB9F3C"/>
    <w:rsid w:val="6DD99AE9"/>
    <w:rsid w:val="6DE0AC22"/>
    <w:rsid w:val="6DE900B5"/>
    <w:rsid w:val="6DEF8049"/>
    <w:rsid w:val="6DF36BD5"/>
    <w:rsid w:val="6E01709E"/>
    <w:rsid w:val="6E17DAFB"/>
    <w:rsid w:val="6E19E7F2"/>
    <w:rsid w:val="6E2A1645"/>
    <w:rsid w:val="6E4B1E37"/>
    <w:rsid w:val="6E523FB8"/>
    <w:rsid w:val="6E56354C"/>
    <w:rsid w:val="6E57CC04"/>
    <w:rsid w:val="6E5BA0E0"/>
    <w:rsid w:val="6E6FCE2F"/>
    <w:rsid w:val="6E9A3734"/>
    <w:rsid w:val="6EBD14DC"/>
    <w:rsid w:val="6ED83B98"/>
    <w:rsid w:val="6EDC0E0F"/>
    <w:rsid w:val="6EDFFE09"/>
    <w:rsid w:val="6F0F81C6"/>
    <w:rsid w:val="6F1F7699"/>
    <w:rsid w:val="6F2DBBEB"/>
    <w:rsid w:val="6F488482"/>
    <w:rsid w:val="6F7D50DB"/>
    <w:rsid w:val="6F84EAD2"/>
    <w:rsid w:val="6F8F42CE"/>
    <w:rsid w:val="6F9522A5"/>
    <w:rsid w:val="6F996E66"/>
    <w:rsid w:val="6F9BD289"/>
    <w:rsid w:val="6FB0E121"/>
    <w:rsid w:val="6FB24ECE"/>
    <w:rsid w:val="6FD30BA3"/>
    <w:rsid w:val="6FEBB444"/>
    <w:rsid w:val="6FFCC59F"/>
    <w:rsid w:val="7011EE1F"/>
    <w:rsid w:val="701CE1EC"/>
    <w:rsid w:val="7030BC10"/>
    <w:rsid w:val="707BA5A8"/>
    <w:rsid w:val="7086E8A2"/>
    <w:rsid w:val="7091C89E"/>
    <w:rsid w:val="70995B5B"/>
    <w:rsid w:val="709C74E3"/>
    <w:rsid w:val="70C146B3"/>
    <w:rsid w:val="70CFD025"/>
    <w:rsid w:val="70D38A54"/>
    <w:rsid w:val="70E7DDE1"/>
    <w:rsid w:val="70EAC44F"/>
    <w:rsid w:val="70F60A2A"/>
    <w:rsid w:val="711E59FA"/>
    <w:rsid w:val="7152F321"/>
    <w:rsid w:val="715E555E"/>
    <w:rsid w:val="71722917"/>
    <w:rsid w:val="71833CC7"/>
    <w:rsid w:val="718B9197"/>
    <w:rsid w:val="71972F7F"/>
    <w:rsid w:val="719E4A38"/>
    <w:rsid w:val="71A7FB07"/>
    <w:rsid w:val="71AAB95F"/>
    <w:rsid w:val="71BB5887"/>
    <w:rsid w:val="71C51053"/>
    <w:rsid w:val="71E8F191"/>
    <w:rsid w:val="71ECE423"/>
    <w:rsid w:val="721D1A02"/>
    <w:rsid w:val="72482EBF"/>
    <w:rsid w:val="726ED8D2"/>
    <w:rsid w:val="7275E530"/>
    <w:rsid w:val="727AC523"/>
    <w:rsid w:val="72A27043"/>
    <w:rsid w:val="72B03E43"/>
    <w:rsid w:val="72E2CE40"/>
    <w:rsid w:val="72ED93BC"/>
    <w:rsid w:val="73006E45"/>
    <w:rsid w:val="73019F31"/>
    <w:rsid w:val="730EF35C"/>
    <w:rsid w:val="731217D0"/>
    <w:rsid w:val="7335C256"/>
    <w:rsid w:val="73413A51"/>
    <w:rsid w:val="73493B1D"/>
    <w:rsid w:val="73650D02"/>
    <w:rsid w:val="736A674A"/>
    <w:rsid w:val="736AA239"/>
    <w:rsid w:val="73773745"/>
    <w:rsid w:val="73A2E176"/>
    <w:rsid w:val="73A72A6A"/>
    <w:rsid w:val="73AB087F"/>
    <w:rsid w:val="73B01DB6"/>
    <w:rsid w:val="73CF99C0"/>
    <w:rsid w:val="73D026E2"/>
    <w:rsid w:val="73D386C5"/>
    <w:rsid w:val="73E3C5D4"/>
    <w:rsid w:val="73E75E4E"/>
    <w:rsid w:val="73F34758"/>
    <w:rsid w:val="740C9488"/>
    <w:rsid w:val="7417BCC4"/>
    <w:rsid w:val="742945FA"/>
    <w:rsid w:val="74295598"/>
    <w:rsid w:val="743476AB"/>
    <w:rsid w:val="74418C73"/>
    <w:rsid w:val="74734BBE"/>
    <w:rsid w:val="74791D2A"/>
    <w:rsid w:val="74894E18"/>
    <w:rsid w:val="748CBDE1"/>
    <w:rsid w:val="74B3F0DB"/>
    <w:rsid w:val="74CC3CBE"/>
    <w:rsid w:val="74CC7045"/>
    <w:rsid w:val="74E1CB79"/>
    <w:rsid w:val="75445759"/>
    <w:rsid w:val="755226F5"/>
    <w:rsid w:val="75674790"/>
    <w:rsid w:val="7570E990"/>
    <w:rsid w:val="75803093"/>
    <w:rsid w:val="7582208D"/>
    <w:rsid w:val="758B0054"/>
    <w:rsid w:val="75A5750D"/>
    <w:rsid w:val="75B4EB6E"/>
    <w:rsid w:val="75B62335"/>
    <w:rsid w:val="75C64368"/>
    <w:rsid w:val="75E88446"/>
    <w:rsid w:val="75E95EFA"/>
    <w:rsid w:val="75F30376"/>
    <w:rsid w:val="76091930"/>
    <w:rsid w:val="760FC792"/>
    <w:rsid w:val="7619497D"/>
    <w:rsid w:val="762E8ADD"/>
    <w:rsid w:val="764FDEF8"/>
    <w:rsid w:val="76627BB7"/>
    <w:rsid w:val="76B1279D"/>
    <w:rsid w:val="76B2DA7A"/>
    <w:rsid w:val="76BA4EF9"/>
    <w:rsid w:val="76CF9A7B"/>
    <w:rsid w:val="76DF01AA"/>
    <w:rsid w:val="76DF34FF"/>
    <w:rsid w:val="76F1CE2C"/>
    <w:rsid w:val="76FC15DD"/>
    <w:rsid w:val="77442E70"/>
    <w:rsid w:val="7787191F"/>
    <w:rsid w:val="77961653"/>
    <w:rsid w:val="77ACCFB7"/>
    <w:rsid w:val="77ACF783"/>
    <w:rsid w:val="77B1C9FB"/>
    <w:rsid w:val="77B554CA"/>
    <w:rsid w:val="77D9C602"/>
    <w:rsid w:val="77E9182C"/>
    <w:rsid w:val="7807E8B5"/>
    <w:rsid w:val="780DB4A2"/>
    <w:rsid w:val="7813A317"/>
    <w:rsid w:val="782450DD"/>
    <w:rsid w:val="7841EED4"/>
    <w:rsid w:val="786E24D8"/>
    <w:rsid w:val="78709E97"/>
    <w:rsid w:val="787E070B"/>
    <w:rsid w:val="7893FF57"/>
    <w:rsid w:val="78AC8DCD"/>
    <w:rsid w:val="78C2E67A"/>
    <w:rsid w:val="78D5CFCC"/>
    <w:rsid w:val="78ED7425"/>
    <w:rsid w:val="79027D42"/>
    <w:rsid w:val="790FA015"/>
    <w:rsid w:val="7917EBCA"/>
    <w:rsid w:val="791BEC07"/>
    <w:rsid w:val="7943CF8E"/>
    <w:rsid w:val="794ECED9"/>
    <w:rsid w:val="795327E9"/>
    <w:rsid w:val="796B313E"/>
    <w:rsid w:val="79760004"/>
    <w:rsid w:val="79DEFB1A"/>
    <w:rsid w:val="79F65B44"/>
    <w:rsid w:val="7A03AB6F"/>
    <w:rsid w:val="7A063C1D"/>
    <w:rsid w:val="7A18926E"/>
    <w:rsid w:val="7A21B46A"/>
    <w:rsid w:val="7A2FA732"/>
    <w:rsid w:val="7A3BEBE1"/>
    <w:rsid w:val="7A4450A9"/>
    <w:rsid w:val="7A4F202C"/>
    <w:rsid w:val="7A521864"/>
    <w:rsid w:val="7A78E1DC"/>
    <w:rsid w:val="7A7B71CD"/>
    <w:rsid w:val="7AB61765"/>
    <w:rsid w:val="7AB9C7B9"/>
    <w:rsid w:val="7ABD9AB8"/>
    <w:rsid w:val="7AF1A7C9"/>
    <w:rsid w:val="7AFB85FA"/>
    <w:rsid w:val="7B13DB37"/>
    <w:rsid w:val="7B151CC3"/>
    <w:rsid w:val="7B1D7A6C"/>
    <w:rsid w:val="7B22ADAC"/>
    <w:rsid w:val="7B270814"/>
    <w:rsid w:val="7B3F1BE2"/>
    <w:rsid w:val="7B41A731"/>
    <w:rsid w:val="7B813250"/>
    <w:rsid w:val="7B89513B"/>
    <w:rsid w:val="7BD0E372"/>
    <w:rsid w:val="7C208894"/>
    <w:rsid w:val="7C2B4065"/>
    <w:rsid w:val="7C382AD1"/>
    <w:rsid w:val="7C4501CD"/>
    <w:rsid w:val="7C50CB23"/>
    <w:rsid w:val="7C6F6633"/>
    <w:rsid w:val="7C75EBCE"/>
    <w:rsid w:val="7C76DF9D"/>
    <w:rsid w:val="7C7E7906"/>
    <w:rsid w:val="7C9796E2"/>
    <w:rsid w:val="7CA6C907"/>
    <w:rsid w:val="7CABDE60"/>
    <w:rsid w:val="7CC377A6"/>
    <w:rsid w:val="7CD5B341"/>
    <w:rsid w:val="7CE70F3D"/>
    <w:rsid w:val="7CE94062"/>
    <w:rsid w:val="7CEA49F6"/>
    <w:rsid w:val="7D09A402"/>
    <w:rsid w:val="7D26657E"/>
    <w:rsid w:val="7D3409C9"/>
    <w:rsid w:val="7D3EBFE0"/>
    <w:rsid w:val="7D42F827"/>
    <w:rsid w:val="7D45C1A1"/>
    <w:rsid w:val="7D684C24"/>
    <w:rsid w:val="7D99C31A"/>
    <w:rsid w:val="7DA59551"/>
    <w:rsid w:val="7DC2DC12"/>
    <w:rsid w:val="7DCC8145"/>
    <w:rsid w:val="7DD8E7A2"/>
    <w:rsid w:val="7DD9C4D0"/>
    <w:rsid w:val="7DE98BD3"/>
    <w:rsid w:val="7DF4AF68"/>
    <w:rsid w:val="7E069970"/>
    <w:rsid w:val="7E1B87EE"/>
    <w:rsid w:val="7E26A9ED"/>
    <w:rsid w:val="7E48BA87"/>
    <w:rsid w:val="7E649889"/>
    <w:rsid w:val="7E70F96A"/>
    <w:rsid w:val="7E8D5E64"/>
    <w:rsid w:val="7E97E374"/>
    <w:rsid w:val="7E9834DD"/>
    <w:rsid w:val="7EA01579"/>
    <w:rsid w:val="7EDE2230"/>
    <w:rsid w:val="7EF557D3"/>
    <w:rsid w:val="7F35A5A5"/>
    <w:rsid w:val="7F6EA059"/>
    <w:rsid w:val="7F75A3E7"/>
    <w:rsid w:val="7F837776"/>
    <w:rsid w:val="7F86D182"/>
    <w:rsid w:val="7F974B85"/>
    <w:rsid w:val="7F98F53B"/>
    <w:rsid w:val="7FA57317"/>
    <w:rsid w:val="7FC2BFDD"/>
    <w:rsid w:val="7FD4BAB8"/>
    <w:rsid w:val="7FFCA8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981D"/>
  <w15:chartTrackingRefBased/>
  <w15:docId w15:val="{36E06C1E-34BA-4492-BEB9-7559956E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10"/>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9"/>
    <w:qFormat/>
    <w:rsid w:val="009B0FC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9B0FC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B0FC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0FC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0FC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0F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0F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0F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0F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B0F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rsid w:val="009B0F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9B0F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0F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0F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0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0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0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0FCC"/>
    <w:rPr>
      <w:rFonts w:eastAsiaTheme="majorEastAsia" w:cstheme="majorBidi"/>
      <w:color w:val="272727" w:themeColor="text1" w:themeTint="D8"/>
    </w:rPr>
  </w:style>
  <w:style w:type="paragraph" w:styleId="Title">
    <w:name w:val="Title"/>
    <w:basedOn w:val="Normal"/>
    <w:next w:val="Normal"/>
    <w:link w:val="TitleChar"/>
    <w:uiPriority w:val="10"/>
    <w:qFormat/>
    <w:rsid w:val="009B0F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0F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0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0FCC"/>
    <w:pPr>
      <w:spacing w:before="160"/>
      <w:jc w:val="center"/>
    </w:pPr>
    <w:rPr>
      <w:i/>
      <w:iCs/>
      <w:color w:val="404040" w:themeColor="text1" w:themeTint="BF"/>
    </w:rPr>
  </w:style>
  <w:style w:type="character" w:customStyle="1" w:styleId="QuoteChar">
    <w:name w:val="Quote Char"/>
    <w:basedOn w:val="DefaultParagraphFont"/>
    <w:link w:val="Quote"/>
    <w:uiPriority w:val="29"/>
    <w:rsid w:val="009B0FCC"/>
    <w:rPr>
      <w:i/>
      <w:iCs/>
      <w:color w:val="404040" w:themeColor="text1" w:themeTint="BF"/>
    </w:rPr>
  </w:style>
  <w:style w:type="paragraph" w:styleId="ListParagraph">
    <w:name w:val="List Paragraph"/>
    <w:basedOn w:val="Normal"/>
    <w:uiPriority w:val="34"/>
    <w:qFormat/>
    <w:rsid w:val="009B0FCC"/>
    <w:pPr>
      <w:ind w:left="720"/>
      <w:contextualSpacing/>
    </w:pPr>
  </w:style>
  <w:style w:type="character" w:styleId="IntenseEmphasis">
    <w:name w:val="Intense Emphasis"/>
    <w:basedOn w:val="DefaultParagraphFont"/>
    <w:uiPriority w:val="21"/>
    <w:qFormat/>
    <w:rsid w:val="009B0FCC"/>
    <w:rPr>
      <w:i/>
      <w:iCs/>
      <w:color w:val="2F5496" w:themeColor="accent1" w:themeShade="BF"/>
    </w:rPr>
  </w:style>
  <w:style w:type="paragraph" w:styleId="IntenseQuote">
    <w:name w:val="Intense Quote"/>
    <w:basedOn w:val="Normal"/>
    <w:next w:val="Normal"/>
    <w:link w:val="IntenseQuoteChar"/>
    <w:uiPriority w:val="30"/>
    <w:qFormat/>
    <w:rsid w:val="009B0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0FCC"/>
    <w:rPr>
      <w:i/>
      <w:iCs/>
      <w:color w:val="2F5496" w:themeColor="accent1" w:themeShade="BF"/>
    </w:rPr>
  </w:style>
  <w:style w:type="character" w:styleId="IntenseReference">
    <w:name w:val="Intense Reference"/>
    <w:basedOn w:val="DefaultParagraphFont"/>
    <w:uiPriority w:val="32"/>
    <w:qFormat/>
    <w:rsid w:val="009B0FCC"/>
    <w:rPr>
      <w:b/>
      <w:bCs/>
      <w:smallCaps/>
      <w:color w:val="2F5496" w:themeColor="accent1" w:themeShade="BF"/>
      <w:spacing w:val="5"/>
    </w:rPr>
  </w:style>
  <w:style w:type="paragraph" w:styleId="TOC1">
    <w:name w:val="toc 1"/>
    <w:basedOn w:val="Normal"/>
    <w:next w:val="Normal"/>
    <w:autoRedefine/>
    <w:uiPriority w:val="39"/>
    <w:rsid w:val="009B0FCC"/>
    <w:pPr>
      <w:spacing w:after="100"/>
    </w:pPr>
  </w:style>
  <w:style w:type="character" w:styleId="Hyperlink">
    <w:name w:val="Hyperlink"/>
    <w:basedOn w:val="DefaultParagraphFont"/>
    <w:uiPriority w:val="99"/>
    <w:rsid w:val="009B0FCC"/>
    <w:rPr>
      <w:rFonts w:cs="Times New Roman"/>
      <w:color w:val="0000FF"/>
      <w:u w:val="single"/>
    </w:rPr>
  </w:style>
  <w:style w:type="table" w:styleId="TableGrid">
    <w:name w:val="Table Grid"/>
    <w:basedOn w:val="TableNormal"/>
    <w:uiPriority w:val="99"/>
    <w:rsid w:val="009B0FCC"/>
    <w:pPr>
      <w:spacing w:after="200" w:line="276" w:lineRule="auto"/>
    </w:pPr>
    <w:rPr>
      <w:rFonts w:ascii="Calibri" w:eastAsia="Times New Roman" w:hAnsi="Calibri" w:cs="Times New Roman"/>
      <w:kern w:val="0"/>
      <w:sz w:val="20"/>
      <w:szCs w:val="20"/>
      <w14:ligatures w14:val="none"/>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rsid w:val="009B0FCC"/>
    <w:pPr>
      <w:spacing w:after="0" w:line="240" w:lineRule="auto"/>
    </w:pPr>
    <w:rPr>
      <w:rFonts w:ascii="Times New Roman" w:hAnsi="Times New Roman"/>
      <w:b/>
      <w:bCs/>
      <w:sz w:val="20"/>
      <w:szCs w:val="20"/>
    </w:rPr>
  </w:style>
  <w:style w:type="paragraph" w:styleId="Header">
    <w:name w:val="header"/>
    <w:basedOn w:val="Normal"/>
    <w:link w:val="HeaderChar"/>
    <w:uiPriority w:val="99"/>
    <w:rsid w:val="009B0FCC"/>
    <w:pPr>
      <w:tabs>
        <w:tab w:val="center" w:pos="4320"/>
        <w:tab w:val="right" w:pos="8640"/>
      </w:tabs>
    </w:pPr>
  </w:style>
  <w:style w:type="character" w:customStyle="1" w:styleId="HeaderChar">
    <w:name w:val="Header Char"/>
    <w:basedOn w:val="DefaultParagraphFont"/>
    <w:link w:val="Header"/>
    <w:uiPriority w:val="99"/>
    <w:rsid w:val="009B0FCC"/>
    <w:rPr>
      <w:rFonts w:ascii="Calibri" w:eastAsia="Calibri" w:hAnsi="Calibri" w:cs="Times New Roman"/>
      <w:kern w:val="0"/>
      <w14:ligatures w14:val="none"/>
    </w:rPr>
  </w:style>
  <w:style w:type="paragraph" w:styleId="Footer">
    <w:name w:val="footer"/>
    <w:basedOn w:val="Normal"/>
    <w:link w:val="FooterChar"/>
    <w:uiPriority w:val="99"/>
    <w:rsid w:val="009B0FCC"/>
    <w:pPr>
      <w:tabs>
        <w:tab w:val="center" w:pos="4320"/>
        <w:tab w:val="right" w:pos="8640"/>
      </w:tabs>
    </w:pPr>
  </w:style>
  <w:style w:type="character" w:customStyle="1" w:styleId="FooterChar">
    <w:name w:val="Footer Char"/>
    <w:basedOn w:val="DefaultParagraphFont"/>
    <w:link w:val="Footer"/>
    <w:uiPriority w:val="99"/>
    <w:rsid w:val="009B0FCC"/>
    <w:rPr>
      <w:rFonts w:ascii="Calibri" w:eastAsia="Calibri" w:hAnsi="Calibri" w:cs="Times New Roman"/>
      <w:kern w:val="0"/>
      <w14:ligatures w14:val="none"/>
    </w:rPr>
  </w:style>
  <w:style w:type="character" w:styleId="PageNumber">
    <w:name w:val="page number"/>
    <w:basedOn w:val="DefaultParagraphFont"/>
    <w:uiPriority w:val="99"/>
    <w:rsid w:val="009B0FCC"/>
    <w:rPr>
      <w:rFonts w:cs="Times New Roman"/>
    </w:rPr>
  </w:style>
  <w:style w:type="paragraph" w:styleId="TOC2">
    <w:name w:val="toc 2"/>
    <w:basedOn w:val="Normal"/>
    <w:next w:val="Normal"/>
    <w:autoRedefine/>
    <w:uiPriority w:val="39"/>
    <w:rsid w:val="009B0FCC"/>
    <w:pPr>
      <w:ind w:left="220"/>
    </w:pPr>
  </w:style>
  <w:style w:type="paragraph" w:styleId="DocumentMap">
    <w:name w:val="Document Map"/>
    <w:basedOn w:val="Normal"/>
    <w:link w:val="DocumentMapChar"/>
    <w:uiPriority w:val="99"/>
    <w:semiHidden/>
    <w:rsid w:val="009B0FC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B0FCC"/>
    <w:rPr>
      <w:rFonts w:ascii="Tahoma" w:eastAsia="Calibri" w:hAnsi="Tahoma" w:cs="Tahoma"/>
      <w:kern w:val="0"/>
      <w:sz w:val="20"/>
      <w:szCs w:val="20"/>
      <w:shd w:val="clear" w:color="auto" w:fill="000080"/>
      <w14:ligatures w14:val="none"/>
    </w:rPr>
  </w:style>
  <w:style w:type="character" w:styleId="Strong">
    <w:name w:val="Strong"/>
    <w:basedOn w:val="DefaultParagraphFont"/>
    <w:uiPriority w:val="22"/>
    <w:qFormat/>
    <w:rsid w:val="009B0FCC"/>
    <w:rPr>
      <w:b/>
      <w:bCs/>
    </w:rPr>
  </w:style>
  <w:style w:type="paragraph" w:styleId="BalloonText">
    <w:name w:val="Balloon Text"/>
    <w:basedOn w:val="Normal"/>
    <w:link w:val="BalloonTextChar"/>
    <w:uiPriority w:val="99"/>
    <w:semiHidden/>
    <w:unhideWhenUsed/>
    <w:rsid w:val="009B0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CC"/>
    <w:rPr>
      <w:rFonts w:ascii="Tahoma" w:eastAsia="Calibri" w:hAnsi="Tahoma" w:cs="Tahoma"/>
      <w:kern w:val="0"/>
      <w:sz w:val="16"/>
      <w:szCs w:val="16"/>
      <w14:ligatures w14:val="none"/>
    </w:rPr>
  </w:style>
  <w:style w:type="character" w:customStyle="1" w:styleId="normaltextrun">
    <w:name w:val="normaltextrun"/>
    <w:basedOn w:val="DefaultParagraphFont"/>
    <w:uiPriority w:val="1"/>
    <w:rsid w:val="009B0FCC"/>
    <w:rPr>
      <w:rFonts w:asciiTheme="minorHAnsi" w:eastAsiaTheme="minorEastAsia" w:hAnsiTheme="minorHAnsi" w:cstheme="minorBidi"/>
      <w:sz w:val="24"/>
      <w:szCs w:val="24"/>
    </w:rPr>
  </w:style>
  <w:style w:type="character" w:customStyle="1" w:styleId="eop">
    <w:name w:val="eop"/>
    <w:basedOn w:val="DefaultParagraphFont"/>
    <w:uiPriority w:val="1"/>
    <w:rsid w:val="009B0FCC"/>
    <w:rPr>
      <w:rFonts w:asciiTheme="minorHAnsi" w:eastAsiaTheme="minorEastAsia" w:hAnsiTheme="minorHAnsi" w:cstheme="minorBidi"/>
      <w:sz w:val="24"/>
      <w:szCs w:val="24"/>
    </w:rPr>
  </w:style>
  <w:style w:type="paragraph" w:styleId="CommentText">
    <w:name w:val="annotation text"/>
    <w:basedOn w:val="Normal"/>
    <w:link w:val="CommentTextChar"/>
    <w:uiPriority w:val="99"/>
    <w:unhideWhenUsed/>
    <w:rsid w:val="009B0FCC"/>
    <w:pPr>
      <w:spacing w:line="240" w:lineRule="auto"/>
    </w:pPr>
    <w:rPr>
      <w:sz w:val="20"/>
      <w:szCs w:val="20"/>
    </w:rPr>
  </w:style>
  <w:style w:type="character" w:customStyle="1" w:styleId="CommentTextChar">
    <w:name w:val="Comment Text Char"/>
    <w:basedOn w:val="DefaultParagraphFont"/>
    <w:link w:val="CommentText"/>
    <w:uiPriority w:val="99"/>
    <w:rsid w:val="009B0FCC"/>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sid w:val="009B0FCC"/>
    <w:rPr>
      <w:sz w:val="16"/>
      <w:szCs w:val="16"/>
    </w:rPr>
  </w:style>
  <w:style w:type="paragraph" w:styleId="CommentSubject">
    <w:name w:val="annotation subject"/>
    <w:basedOn w:val="CommentText"/>
    <w:next w:val="CommentText"/>
    <w:link w:val="CommentSubjectChar"/>
    <w:uiPriority w:val="99"/>
    <w:semiHidden/>
    <w:unhideWhenUsed/>
    <w:rsid w:val="009B0FCC"/>
    <w:rPr>
      <w:b/>
      <w:bCs/>
    </w:rPr>
  </w:style>
  <w:style w:type="character" w:customStyle="1" w:styleId="CommentSubjectChar">
    <w:name w:val="Comment Subject Char"/>
    <w:basedOn w:val="CommentTextChar"/>
    <w:link w:val="CommentSubject"/>
    <w:uiPriority w:val="99"/>
    <w:semiHidden/>
    <w:rsid w:val="009B0FCC"/>
    <w:rPr>
      <w:rFonts w:ascii="Calibri" w:eastAsia="Calibri" w:hAnsi="Calibri" w:cs="Times New Roman"/>
      <w:b/>
      <w:bCs/>
      <w:kern w:val="0"/>
      <w:sz w:val="20"/>
      <w:szCs w:val="20"/>
      <w14:ligatures w14:val="none"/>
    </w:rPr>
  </w:style>
  <w:style w:type="paragraph" w:styleId="NormalWeb">
    <w:name w:val="Normal (Web)"/>
    <w:basedOn w:val="Normal"/>
    <w:uiPriority w:val="99"/>
    <w:unhideWhenUsed/>
    <w:rsid w:val="00B01AF0"/>
    <w:rPr>
      <w:rFonts w:ascii="Times New Roman" w:hAnsi="Times New Roman"/>
      <w:sz w:val="24"/>
      <w:szCs w:val="24"/>
    </w:rPr>
  </w:style>
  <w:style w:type="character" w:styleId="UnresolvedMention">
    <w:name w:val="Unresolved Mention"/>
    <w:basedOn w:val="DefaultParagraphFont"/>
    <w:uiPriority w:val="99"/>
    <w:semiHidden/>
    <w:unhideWhenUsed/>
    <w:rsid w:val="00B01AF0"/>
    <w:rPr>
      <w:color w:val="605E5C"/>
      <w:shd w:val="clear" w:color="auto" w:fill="E1DFDD"/>
    </w:rPr>
  </w:style>
  <w:style w:type="character" w:customStyle="1" w:styleId="mceeditor">
    <w:name w:val="mceeditor"/>
    <w:basedOn w:val="DefaultParagraphFont"/>
    <w:rsid w:val="007C62FA"/>
  </w:style>
  <w:style w:type="character" w:styleId="FollowedHyperlink">
    <w:name w:val="FollowedHyperlink"/>
    <w:basedOn w:val="DefaultParagraphFont"/>
    <w:uiPriority w:val="99"/>
    <w:semiHidden/>
    <w:unhideWhenUsed/>
    <w:rsid w:val="007C62FA"/>
    <w:rPr>
      <w:color w:val="954F72" w:themeColor="followedHyperlink"/>
      <w:u w:val="single"/>
    </w:rPr>
  </w:style>
  <w:style w:type="paragraph" w:styleId="Revision">
    <w:name w:val="Revision"/>
    <w:hidden/>
    <w:uiPriority w:val="99"/>
    <w:semiHidden/>
    <w:rsid w:val="00397B46"/>
    <w:pPr>
      <w:spacing w:after="0" w:line="240" w:lineRule="auto"/>
    </w:pPr>
    <w:rPr>
      <w:rFonts w:ascii="Calibri" w:eastAsia="Calibri" w:hAnsi="Calibri" w:cs="Times New Roman"/>
      <w:kern w:val="0"/>
      <w14:ligatures w14:val="none"/>
    </w:rPr>
  </w:style>
  <w:style w:type="paragraph" w:customStyle="1" w:styleId="Normal1">
    <w:name w:val="Normal1"/>
    <w:basedOn w:val="Normal"/>
    <w:link w:val="NormalChar"/>
    <w:qFormat/>
    <w:rsid w:val="009D6009"/>
    <w:pPr>
      <w:widowControl w:val="0"/>
      <w:autoSpaceDE w:val="0"/>
      <w:autoSpaceDN w:val="0"/>
      <w:adjustRightInd w:val="0"/>
      <w:spacing w:before="120" w:after="120" w:line="240" w:lineRule="auto"/>
    </w:pPr>
    <w:rPr>
      <w:rFonts w:asciiTheme="minorHAnsi" w:eastAsia="Times New Roman" w:hAnsiTheme="minorHAnsi"/>
      <w:b/>
      <w:szCs w:val="24"/>
    </w:rPr>
  </w:style>
  <w:style w:type="character" w:customStyle="1" w:styleId="NormalChar">
    <w:name w:val="Normal Char"/>
    <w:basedOn w:val="DefaultParagraphFont"/>
    <w:link w:val="Normal1"/>
    <w:rsid w:val="009D6009"/>
    <w:rPr>
      <w:rFonts w:eastAsia="Times New Roman" w:cs="Times New Roman"/>
      <w:b/>
      <w:kern w:val="0"/>
      <w:szCs w:val="24"/>
      <w14:ligatures w14:val="none"/>
    </w:rPr>
  </w:style>
  <w:style w:type="paragraph" w:customStyle="1" w:styleId="Normal10">
    <w:name w:val="Normal 1"/>
    <w:basedOn w:val="Normal"/>
    <w:link w:val="Normal1Char"/>
    <w:qFormat/>
    <w:rsid w:val="009D6009"/>
    <w:pPr>
      <w:widowControl w:val="0"/>
      <w:autoSpaceDE w:val="0"/>
      <w:autoSpaceDN w:val="0"/>
      <w:adjustRightInd w:val="0"/>
      <w:spacing w:before="60" w:after="120" w:line="240" w:lineRule="auto"/>
    </w:pPr>
    <w:rPr>
      <w:rFonts w:ascii="Times New Roman" w:eastAsia="Times New Roman" w:hAnsi="Times New Roman"/>
      <w:sz w:val="24"/>
      <w:szCs w:val="24"/>
    </w:rPr>
  </w:style>
  <w:style w:type="character" w:customStyle="1" w:styleId="Normal1Char">
    <w:name w:val="Normal 1 Char"/>
    <w:link w:val="Normal10"/>
    <w:rsid w:val="009D6009"/>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807FFC"/>
    <w:pPr>
      <w:spacing w:before="240" w:after="0" w:line="259" w:lineRule="auto"/>
      <w:outlineLvl w:val="9"/>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6172">
      <w:bodyDiv w:val="1"/>
      <w:marLeft w:val="0"/>
      <w:marRight w:val="0"/>
      <w:marTop w:val="0"/>
      <w:marBottom w:val="0"/>
      <w:divBdr>
        <w:top w:val="none" w:sz="0" w:space="0" w:color="auto"/>
        <w:left w:val="none" w:sz="0" w:space="0" w:color="auto"/>
        <w:bottom w:val="none" w:sz="0" w:space="0" w:color="auto"/>
        <w:right w:val="none" w:sz="0" w:space="0" w:color="auto"/>
      </w:divBdr>
    </w:div>
    <w:div w:id="50346726">
      <w:bodyDiv w:val="1"/>
      <w:marLeft w:val="0"/>
      <w:marRight w:val="0"/>
      <w:marTop w:val="0"/>
      <w:marBottom w:val="0"/>
      <w:divBdr>
        <w:top w:val="none" w:sz="0" w:space="0" w:color="auto"/>
        <w:left w:val="none" w:sz="0" w:space="0" w:color="auto"/>
        <w:bottom w:val="none" w:sz="0" w:space="0" w:color="auto"/>
        <w:right w:val="none" w:sz="0" w:space="0" w:color="auto"/>
      </w:divBdr>
    </w:div>
    <w:div w:id="84690175">
      <w:bodyDiv w:val="1"/>
      <w:marLeft w:val="0"/>
      <w:marRight w:val="0"/>
      <w:marTop w:val="0"/>
      <w:marBottom w:val="0"/>
      <w:divBdr>
        <w:top w:val="none" w:sz="0" w:space="0" w:color="auto"/>
        <w:left w:val="none" w:sz="0" w:space="0" w:color="auto"/>
        <w:bottom w:val="none" w:sz="0" w:space="0" w:color="auto"/>
        <w:right w:val="none" w:sz="0" w:space="0" w:color="auto"/>
      </w:divBdr>
    </w:div>
    <w:div w:id="216162752">
      <w:bodyDiv w:val="1"/>
      <w:marLeft w:val="0"/>
      <w:marRight w:val="0"/>
      <w:marTop w:val="0"/>
      <w:marBottom w:val="0"/>
      <w:divBdr>
        <w:top w:val="none" w:sz="0" w:space="0" w:color="auto"/>
        <w:left w:val="none" w:sz="0" w:space="0" w:color="auto"/>
        <w:bottom w:val="none" w:sz="0" w:space="0" w:color="auto"/>
        <w:right w:val="none" w:sz="0" w:space="0" w:color="auto"/>
      </w:divBdr>
    </w:div>
    <w:div w:id="250621583">
      <w:bodyDiv w:val="1"/>
      <w:marLeft w:val="0"/>
      <w:marRight w:val="0"/>
      <w:marTop w:val="0"/>
      <w:marBottom w:val="0"/>
      <w:divBdr>
        <w:top w:val="none" w:sz="0" w:space="0" w:color="auto"/>
        <w:left w:val="none" w:sz="0" w:space="0" w:color="auto"/>
        <w:bottom w:val="none" w:sz="0" w:space="0" w:color="auto"/>
        <w:right w:val="none" w:sz="0" w:space="0" w:color="auto"/>
      </w:divBdr>
    </w:div>
    <w:div w:id="599265288">
      <w:bodyDiv w:val="1"/>
      <w:marLeft w:val="0"/>
      <w:marRight w:val="0"/>
      <w:marTop w:val="0"/>
      <w:marBottom w:val="0"/>
      <w:divBdr>
        <w:top w:val="none" w:sz="0" w:space="0" w:color="auto"/>
        <w:left w:val="none" w:sz="0" w:space="0" w:color="auto"/>
        <w:bottom w:val="none" w:sz="0" w:space="0" w:color="auto"/>
        <w:right w:val="none" w:sz="0" w:space="0" w:color="auto"/>
      </w:divBdr>
    </w:div>
    <w:div w:id="704214974">
      <w:bodyDiv w:val="1"/>
      <w:marLeft w:val="0"/>
      <w:marRight w:val="0"/>
      <w:marTop w:val="0"/>
      <w:marBottom w:val="0"/>
      <w:divBdr>
        <w:top w:val="none" w:sz="0" w:space="0" w:color="auto"/>
        <w:left w:val="none" w:sz="0" w:space="0" w:color="auto"/>
        <w:bottom w:val="none" w:sz="0" w:space="0" w:color="auto"/>
        <w:right w:val="none" w:sz="0" w:space="0" w:color="auto"/>
      </w:divBdr>
    </w:div>
    <w:div w:id="718285876">
      <w:bodyDiv w:val="1"/>
      <w:marLeft w:val="0"/>
      <w:marRight w:val="0"/>
      <w:marTop w:val="0"/>
      <w:marBottom w:val="0"/>
      <w:divBdr>
        <w:top w:val="none" w:sz="0" w:space="0" w:color="auto"/>
        <w:left w:val="none" w:sz="0" w:space="0" w:color="auto"/>
        <w:bottom w:val="none" w:sz="0" w:space="0" w:color="auto"/>
        <w:right w:val="none" w:sz="0" w:space="0" w:color="auto"/>
      </w:divBdr>
    </w:div>
    <w:div w:id="751271167">
      <w:bodyDiv w:val="1"/>
      <w:marLeft w:val="0"/>
      <w:marRight w:val="0"/>
      <w:marTop w:val="0"/>
      <w:marBottom w:val="0"/>
      <w:divBdr>
        <w:top w:val="none" w:sz="0" w:space="0" w:color="auto"/>
        <w:left w:val="none" w:sz="0" w:space="0" w:color="auto"/>
        <w:bottom w:val="none" w:sz="0" w:space="0" w:color="auto"/>
        <w:right w:val="none" w:sz="0" w:space="0" w:color="auto"/>
      </w:divBdr>
    </w:div>
    <w:div w:id="762066798">
      <w:bodyDiv w:val="1"/>
      <w:marLeft w:val="0"/>
      <w:marRight w:val="0"/>
      <w:marTop w:val="0"/>
      <w:marBottom w:val="0"/>
      <w:divBdr>
        <w:top w:val="none" w:sz="0" w:space="0" w:color="auto"/>
        <w:left w:val="none" w:sz="0" w:space="0" w:color="auto"/>
        <w:bottom w:val="none" w:sz="0" w:space="0" w:color="auto"/>
        <w:right w:val="none" w:sz="0" w:space="0" w:color="auto"/>
      </w:divBdr>
      <w:divsChild>
        <w:div w:id="442386888">
          <w:marLeft w:val="0"/>
          <w:marRight w:val="0"/>
          <w:marTop w:val="0"/>
          <w:marBottom w:val="600"/>
          <w:divBdr>
            <w:top w:val="none" w:sz="0" w:space="0" w:color="auto"/>
            <w:left w:val="none" w:sz="0" w:space="0" w:color="auto"/>
            <w:bottom w:val="none" w:sz="0" w:space="0" w:color="auto"/>
            <w:right w:val="none" w:sz="0" w:space="0" w:color="auto"/>
          </w:divBdr>
          <w:divsChild>
            <w:div w:id="408189921">
              <w:marLeft w:val="0"/>
              <w:marRight w:val="0"/>
              <w:marTop w:val="0"/>
              <w:marBottom w:val="423"/>
              <w:divBdr>
                <w:top w:val="none" w:sz="0" w:space="0" w:color="auto"/>
                <w:left w:val="none" w:sz="0" w:space="0" w:color="auto"/>
                <w:bottom w:val="none" w:sz="0" w:space="0" w:color="auto"/>
                <w:right w:val="none" w:sz="0" w:space="0" w:color="auto"/>
              </w:divBdr>
              <w:divsChild>
                <w:div w:id="1669792392">
                  <w:marLeft w:val="0"/>
                  <w:marRight w:val="0"/>
                  <w:marTop w:val="0"/>
                  <w:marBottom w:val="0"/>
                  <w:divBdr>
                    <w:top w:val="none" w:sz="0" w:space="0" w:color="auto"/>
                    <w:left w:val="none" w:sz="0" w:space="0" w:color="auto"/>
                    <w:bottom w:val="none" w:sz="0" w:space="0" w:color="auto"/>
                    <w:right w:val="none" w:sz="0" w:space="0" w:color="auto"/>
                  </w:divBdr>
                  <w:divsChild>
                    <w:div w:id="11953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083447">
      <w:bodyDiv w:val="1"/>
      <w:marLeft w:val="0"/>
      <w:marRight w:val="0"/>
      <w:marTop w:val="0"/>
      <w:marBottom w:val="0"/>
      <w:divBdr>
        <w:top w:val="none" w:sz="0" w:space="0" w:color="auto"/>
        <w:left w:val="none" w:sz="0" w:space="0" w:color="auto"/>
        <w:bottom w:val="none" w:sz="0" w:space="0" w:color="auto"/>
        <w:right w:val="none" w:sz="0" w:space="0" w:color="auto"/>
      </w:divBdr>
    </w:div>
    <w:div w:id="821385605">
      <w:bodyDiv w:val="1"/>
      <w:marLeft w:val="0"/>
      <w:marRight w:val="0"/>
      <w:marTop w:val="0"/>
      <w:marBottom w:val="0"/>
      <w:divBdr>
        <w:top w:val="none" w:sz="0" w:space="0" w:color="auto"/>
        <w:left w:val="none" w:sz="0" w:space="0" w:color="auto"/>
        <w:bottom w:val="none" w:sz="0" w:space="0" w:color="auto"/>
        <w:right w:val="none" w:sz="0" w:space="0" w:color="auto"/>
      </w:divBdr>
      <w:divsChild>
        <w:div w:id="1370226826">
          <w:marLeft w:val="0"/>
          <w:marRight w:val="0"/>
          <w:marTop w:val="0"/>
          <w:marBottom w:val="600"/>
          <w:divBdr>
            <w:top w:val="none" w:sz="0" w:space="0" w:color="auto"/>
            <w:left w:val="none" w:sz="0" w:space="0" w:color="auto"/>
            <w:bottom w:val="none" w:sz="0" w:space="0" w:color="auto"/>
            <w:right w:val="none" w:sz="0" w:space="0" w:color="auto"/>
          </w:divBdr>
          <w:divsChild>
            <w:div w:id="1310787503">
              <w:marLeft w:val="0"/>
              <w:marRight w:val="0"/>
              <w:marTop w:val="0"/>
              <w:marBottom w:val="423"/>
              <w:divBdr>
                <w:top w:val="none" w:sz="0" w:space="0" w:color="auto"/>
                <w:left w:val="none" w:sz="0" w:space="0" w:color="auto"/>
                <w:bottom w:val="none" w:sz="0" w:space="0" w:color="auto"/>
                <w:right w:val="none" w:sz="0" w:space="0" w:color="auto"/>
              </w:divBdr>
              <w:divsChild>
                <w:div w:id="1785616839">
                  <w:marLeft w:val="0"/>
                  <w:marRight w:val="0"/>
                  <w:marTop w:val="0"/>
                  <w:marBottom w:val="0"/>
                  <w:divBdr>
                    <w:top w:val="none" w:sz="0" w:space="0" w:color="auto"/>
                    <w:left w:val="none" w:sz="0" w:space="0" w:color="auto"/>
                    <w:bottom w:val="none" w:sz="0" w:space="0" w:color="auto"/>
                    <w:right w:val="none" w:sz="0" w:space="0" w:color="auto"/>
                  </w:divBdr>
                  <w:divsChild>
                    <w:div w:id="142772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97916">
      <w:bodyDiv w:val="1"/>
      <w:marLeft w:val="0"/>
      <w:marRight w:val="0"/>
      <w:marTop w:val="0"/>
      <w:marBottom w:val="0"/>
      <w:divBdr>
        <w:top w:val="none" w:sz="0" w:space="0" w:color="auto"/>
        <w:left w:val="none" w:sz="0" w:space="0" w:color="auto"/>
        <w:bottom w:val="none" w:sz="0" w:space="0" w:color="auto"/>
        <w:right w:val="none" w:sz="0" w:space="0" w:color="auto"/>
      </w:divBdr>
      <w:divsChild>
        <w:div w:id="33164080">
          <w:marLeft w:val="0"/>
          <w:marRight w:val="0"/>
          <w:marTop w:val="0"/>
          <w:marBottom w:val="0"/>
          <w:divBdr>
            <w:top w:val="none" w:sz="0" w:space="0" w:color="auto"/>
            <w:left w:val="none" w:sz="0" w:space="0" w:color="auto"/>
            <w:bottom w:val="none" w:sz="0" w:space="0" w:color="auto"/>
            <w:right w:val="none" w:sz="0" w:space="0" w:color="auto"/>
          </w:divBdr>
        </w:div>
        <w:div w:id="367342088">
          <w:marLeft w:val="0"/>
          <w:marRight w:val="0"/>
          <w:marTop w:val="0"/>
          <w:marBottom w:val="0"/>
          <w:divBdr>
            <w:top w:val="none" w:sz="0" w:space="0" w:color="auto"/>
            <w:left w:val="none" w:sz="0" w:space="0" w:color="auto"/>
            <w:bottom w:val="none" w:sz="0" w:space="0" w:color="auto"/>
            <w:right w:val="none" w:sz="0" w:space="0" w:color="auto"/>
          </w:divBdr>
        </w:div>
        <w:div w:id="1006908237">
          <w:marLeft w:val="0"/>
          <w:marRight w:val="0"/>
          <w:marTop w:val="0"/>
          <w:marBottom w:val="0"/>
          <w:divBdr>
            <w:top w:val="none" w:sz="0" w:space="0" w:color="auto"/>
            <w:left w:val="none" w:sz="0" w:space="0" w:color="auto"/>
            <w:bottom w:val="none" w:sz="0" w:space="0" w:color="auto"/>
            <w:right w:val="none" w:sz="0" w:space="0" w:color="auto"/>
          </w:divBdr>
        </w:div>
        <w:div w:id="1114641898">
          <w:marLeft w:val="0"/>
          <w:marRight w:val="0"/>
          <w:marTop w:val="0"/>
          <w:marBottom w:val="0"/>
          <w:divBdr>
            <w:top w:val="none" w:sz="0" w:space="0" w:color="auto"/>
            <w:left w:val="none" w:sz="0" w:space="0" w:color="auto"/>
            <w:bottom w:val="none" w:sz="0" w:space="0" w:color="auto"/>
            <w:right w:val="none" w:sz="0" w:space="0" w:color="auto"/>
          </w:divBdr>
        </w:div>
        <w:div w:id="1128666508">
          <w:marLeft w:val="0"/>
          <w:marRight w:val="0"/>
          <w:marTop w:val="0"/>
          <w:marBottom w:val="0"/>
          <w:divBdr>
            <w:top w:val="none" w:sz="0" w:space="0" w:color="auto"/>
            <w:left w:val="none" w:sz="0" w:space="0" w:color="auto"/>
            <w:bottom w:val="none" w:sz="0" w:space="0" w:color="auto"/>
            <w:right w:val="none" w:sz="0" w:space="0" w:color="auto"/>
          </w:divBdr>
        </w:div>
        <w:div w:id="1138495456">
          <w:marLeft w:val="0"/>
          <w:marRight w:val="0"/>
          <w:marTop w:val="0"/>
          <w:marBottom w:val="0"/>
          <w:divBdr>
            <w:top w:val="none" w:sz="0" w:space="0" w:color="auto"/>
            <w:left w:val="none" w:sz="0" w:space="0" w:color="auto"/>
            <w:bottom w:val="none" w:sz="0" w:space="0" w:color="auto"/>
            <w:right w:val="none" w:sz="0" w:space="0" w:color="auto"/>
          </w:divBdr>
        </w:div>
      </w:divsChild>
    </w:div>
    <w:div w:id="869219340">
      <w:bodyDiv w:val="1"/>
      <w:marLeft w:val="0"/>
      <w:marRight w:val="0"/>
      <w:marTop w:val="0"/>
      <w:marBottom w:val="0"/>
      <w:divBdr>
        <w:top w:val="none" w:sz="0" w:space="0" w:color="auto"/>
        <w:left w:val="none" w:sz="0" w:space="0" w:color="auto"/>
        <w:bottom w:val="none" w:sz="0" w:space="0" w:color="auto"/>
        <w:right w:val="none" w:sz="0" w:space="0" w:color="auto"/>
      </w:divBdr>
      <w:divsChild>
        <w:div w:id="45373131">
          <w:marLeft w:val="0"/>
          <w:marRight w:val="0"/>
          <w:marTop w:val="0"/>
          <w:marBottom w:val="0"/>
          <w:divBdr>
            <w:top w:val="none" w:sz="0" w:space="0" w:color="auto"/>
            <w:left w:val="none" w:sz="0" w:space="0" w:color="auto"/>
            <w:bottom w:val="none" w:sz="0" w:space="0" w:color="auto"/>
            <w:right w:val="none" w:sz="0" w:space="0" w:color="auto"/>
          </w:divBdr>
        </w:div>
        <w:div w:id="200749905">
          <w:marLeft w:val="0"/>
          <w:marRight w:val="0"/>
          <w:marTop w:val="0"/>
          <w:marBottom w:val="0"/>
          <w:divBdr>
            <w:top w:val="none" w:sz="0" w:space="0" w:color="auto"/>
            <w:left w:val="none" w:sz="0" w:space="0" w:color="auto"/>
            <w:bottom w:val="none" w:sz="0" w:space="0" w:color="auto"/>
            <w:right w:val="none" w:sz="0" w:space="0" w:color="auto"/>
          </w:divBdr>
        </w:div>
        <w:div w:id="355274181">
          <w:marLeft w:val="0"/>
          <w:marRight w:val="0"/>
          <w:marTop w:val="0"/>
          <w:marBottom w:val="0"/>
          <w:divBdr>
            <w:top w:val="none" w:sz="0" w:space="0" w:color="auto"/>
            <w:left w:val="none" w:sz="0" w:space="0" w:color="auto"/>
            <w:bottom w:val="none" w:sz="0" w:space="0" w:color="auto"/>
            <w:right w:val="none" w:sz="0" w:space="0" w:color="auto"/>
          </w:divBdr>
        </w:div>
        <w:div w:id="757485488">
          <w:marLeft w:val="0"/>
          <w:marRight w:val="0"/>
          <w:marTop w:val="0"/>
          <w:marBottom w:val="0"/>
          <w:divBdr>
            <w:top w:val="none" w:sz="0" w:space="0" w:color="auto"/>
            <w:left w:val="none" w:sz="0" w:space="0" w:color="auto"/>
            <w:bottom w:val="none" w:sz="0" w:space="0" w:color="auto"/>
            <w:right w:val="none" w:sz="0" w:space="0" w:color="auto"/>
          </w:divBdr>
        </w:div>
        <w:div w:id="1008871868">
          <w:marLeft w:val="0"/>
          <w:marRight w:val="0"/>
          <w:marTop w:val="0"/>
          <w:marBottom w:val="0"/>
          <w:divBdr>
            <w:top w:val="none" w:sz="0" w:space="0" w:color="auto"/>
            <w:left w:val="none" w:sz="0" w:space="0" w:color="auto"/>
            <w:bottom w:val="none" w:sz="0" w:space="0" w:color="auto"/>
            <w:right w:val="none" w:sz="0" w:space="0" w:color="auto"/>
          </w:divBdr>
        </w:div>
        <w:div w:id="1052655307">
          <w:marLeft w:val="0"/>
          <w:marRight w:val="0"/>
          <w:marTop w:val="0"/>
          <w:marBottom w:val="0"/>
          <w:divBdr>
            <w:top w:val="none" w:sz="0" w:space="0" w:color="auto"/>
            <w:left w:val="none" w:sz="0" w:space="0" w:color="auto"/>
            <w:bottom w:val="none" w:sz="0" w:space="0" w:color="auto"/>
            <w:right w:val="none" w:sz="0" w:space="0" w:color="auto"/>
          </w:divBdr>
        </w:div>
        <w:div w:id="1114133657">
          <w:marLeft w:val="0"/>
          <w:marRight w:val="0"/>
          <w:marTop w:val="0"/>
          <w:marBottom w:val="0"/>
          <w:divBdr>
            <w:top w:val="none" w:sz="0" w:space="0" w:color="auto"/>
            <w:left w:val="none" w:sz="0" w:space="0" w:color="auto"/>
            <w:bottom w:val="none" w:sz="0" w:space="0" w:color="auto"/>
            <w:right w:val="none" w:sz="0" w:space="0" w:color="auto"/>
          </w:divBdr>
        </w:div>
        <w:div w:id="1829858085">
          <w:marLeft w:val="0"/>
          <w:marRight w:val="0"/>
          <w:marTop w:val="0"/>
          <w:marBottom w:val="0"/>
          <w:divBdr>
            <w:top w:val="none" w:sz="0" w:space="0" w:color="auto"/>
            <w:left w:val="none" w:sz="0" w:space="0" w:color="auto"/>
            <w:bottom w:val="none" w:sz="0" w:space="0" w:color="auto"/>
            <w:right w:val="none" w:sz="0" w:space="0" w:color="auto"/>
          </w:divBdr>
        </w:div>
      </w:divsChild>
    </w:div>
    <w:div w:id="1022822371">
      <w:bodyDiv w:val="1"/>
      <w:marLeft w:val="0"/>
      <w:marRight w:val="0"/>
      <w:marTop w:val="0"/>
      <w:marBottom w:val="0"/>
      <w:divBdr>
        <w:top w:val="none" w:sz="0" w:space="0" w:color="auto"/>
        <w:left w:val="none" w:sz="0" w:space="0" w:color="auto"/>
        <w:bottom w:val="none" w:sz="0" w:space="0" w:color="auto"/>
        <w:right w:val="none" w:sz="0" w:space="0" w:color="auto"/>
      </w:divBdr>
    </w:div>
    <w:div w:id="1078595332">
      <w:bodyDiv w:val="1"/>
      <w:marLeft w:val="0"/>
      <w:marRight w:val="0"/>
      <w:marTop w:val="0"/>
      <w:marBottom w:val="0"/>
      <w:divBdr>
        <w:top w:val="none" w:sz="0" w:space="0" w:color="auto"/>
        <w:left w:val="none" w:sz="0" w:space="0" w:color="auto"/>
        <w:bottom w:val="none" w:sz="0" w:space="0" w:color="auto"/>
        <w:right w:val="none" w:sz="0" w:space="0" w:color="auto"/>
      </w:divBdr>
    </w:div>
    <w:div w:id="1086078689">
      <w:bodyDiv w:val="1"/>
      <w:marLeft w:val="0"/>
      <w:marRight w:val="0"/>
      <w:marTop w:val="0"/>
      <w:marBottom w:val="0"/>
      <w:divBdr>
        <w:top w:val="none" w:sz="0" w:space="0" w:color="auto"/>
        <w:left w:val="none" w:sz="0" w:space="0" w:color="auto"/>
        <w:bottom w:val="none" w:sz="0" w:space="0" w:color="auto"/>
        <w:right w:val="none" w:sz="0" w:space="0" w:color="auto"/>
      </w:divBdr>
    </w:div>
    <w:div w:id="1100680623">
      <w:bodyDiv w:val="1"/>
      <w:marLeft w:val="0"/>
      <w:marRight w:val="0"/>
      <w:marTop w:val="0"/>
      <w:marBottom w:val="0"/>
      <w:divBdr>
        <w:top w:val="none" w:sz="0" w:space="0" w:color="auto"/>
        <w:left w:val="none" w:sz="0" w:space="0" w:color="auto"/>
        <w:bottom w:val="none" w:sz="0" w:space="0" w:color="auto"/>
        <w:right w:val="none" w:sz="0" w:space="0" w:color="auto"/>
      </w:divBdr>
    </w:div>
    <w:div w:id="1125198041">
      <w:marLeft w:val="0"/>
      <w:marRight w:val="0"/>
      <w:marTop w:val="0"/>
      <w:marBottom w:val="0"/>
      <w:divBdr>
        <w:top w:val="none" w:sz="0" w:space="0" w:color="auto"/>
        <w:left w:val="none" w:sz="0" w:space="0" w:color="auto"/>
        <w:bottom w:val="none" w:sz="0" w:space="0" w:color="auto"/>
        <w:right w:val="none" w:sz="0" w:space="0" w:color="auto"/>
      </w:divBdr>
    </w:div>
    <w:div w:id="1169517753">
      <w:bodyDiv w:val="1"/>
      <w:marLeft w:val="0"/>
      <w:marRight w:val="0"/>
      <w:marTop w:val="0"/>
      <w:marBottom w:val="0"/>
      <w:divBdr>
        <w:top w:val="none" w:sz="0" w:space="0" w:color="auto"/>
        <w:left w:val="none" w:sz="0" w:space="0" w:color="auto"/>
        <w:bottom w:val="none" w:sz="0" w:space="0" w:color="auto"/>
        <w:right w:val="none" w:sz="0" w:space="0" w:color="auto"/>
      </w:divBdr>
    </w:div>
    <w:div w:id="1221019484">
      <w:bodyDiv w:val="1"/>
      <w:marLeft w:val="0"/>
      <w:marRight w:val="0"/>
      <w:marTop w:val="0"/>
      <w:marBottom w:val="0"/>
      <w:divBdr>
        <w:top w:val="none" w:sz="0" w:space="0" w:color="auto"/>
        <w:left w:val="none" w:sz="0" w:space="0" w:color="auto"/>
        <w:bottom w:val="none" w:sz="0" w:space="0" w:color="auto"/>
        <w:right w:val="none" w:sz="0" w:space="0" w:color="auto"/>
      </w:divBdr>
    </w:div>
    <w:div w:id="1256866532">
      <w:bodyDiv w:val="1"/>
      <w:marLeft w:val="0"/>
      <w:marRight w:val="0"/>
      <w:marTop w:val="0"/>
      <w:marBottom w:val="0"/>
      <w:divBdr>
        <w:top w:val="none" w:sz="0" w:space="0" w:color="auto"/>
        <w:left w:val="none" w:sz="0" w:space="0" w:color="auto"/>
        <w:bottom w:val="none" w:sz="0" w:space="0" w:color="auto"/>
        <w:right w:val="none" w:sz="0" w:space="0" w:color="auto"/>
      </w:divBdr>
    </w:div>
    <w:div w:id="1269433190">
      <w:bodyDiv w:val="1"/>
      <w:marLeft w:val="0"/>
      <w:marRight w:val="0"/>
      <w:marTop w:val="0"/>
      <w:marBottom w:val="0"/>
      <w:divBdr>
        <w:top w:val="none" w:sz="0" w:space="0" w:color="auto"/>
        <w:left w:val="none" w:sz="0" w:space="0" w:color="auto"/>
        <w:bottom w:val="none" w:sz="0" w:space="0" w:color="auto"/>
        <w:right w:val="none" w:sz="0" w:space="0" w:color="auto"/>
      </w:divBdr>
    </w:div>
    <w:div w:id="1368287978">
      <w:bodyDiv w:val="1"/>
      <w:marLeft w:val="0"/>
      <w:marRight w:val="0"/>
      <w:marTop w:val="0"/>
      <w:marBottom w:val="0"/>
      <w:divBdr>
        <w:top w:val="none" w:sz="0" w:space="0" w:color="auto"/>
        <w:left w:val="none" w:sz="0" w:space="0" w:color="auto"/>
        <w:bottom w:val="none" w:sz="0" w:space="0" w:color="auto"/>
        <w:right w:val="none" w:sz="0" w:space="0" w:color="auto"/>
      </w:divBdr>
    </w:div>
    <w:div w:id="1389378162">
      <w:bodyDiv w:val="1"/>
      <w:marLeft w:val="0"/>
      <w:marRight w:val="0"/>
      <w:marTop w:val="0"/>
      <w:marBottom w:val="0"/>
      <w:divBdr>
        <w:top w:val="none" w:sz="0" w:space="0" w:color="auto"/>
        <w:left w:val="none" w:sz="0" w:space="0" w:color="auto"/>
        <w:bottom w:val="none" w:sz="0" w:space="0" w:color="auto"/>
        <w:right w:val="none" w:sz="0" w:space="0" w:color="auto"/>
      </w:divBdr>
    </w:div>
    <w:div w:id="1526358089">
      <w:bodyDiv w:val="1"/>
      <w:marLeft w:val="0"/>
      <w:marRight w:val="0"/>
      <w:marTop w:val="0"/>
      <w:marBottom w:val="0"/>
      <w:divBdr>
        <w:top w:val="none" w:sz="0" w:space="0" w:color="auto"/>
        <w:left w:val="none" w:sz="0" w:space="0" w:color="auto"/>
        <w:bottom w:val="none" w:sz="0" w:space="0" w:color="auto"/>
        <w:right w:val="none" w:sz="0" w:space="0" w:color="auto"/>
      </w:divBdr>
    </w:div>
    <w:div w:id="1570459398">
      <w:bodyDiv w:val="1"/>
      <w:marLeft w:val="0"/>
      <w:marRight w:val="0"/>
      <w:marTop w:val="0"/>
      <w:marBottom w:val="0"/>
      <w:divBdr>
        <w:top w:val="none" w:sz="0" w:space="0" w:color="auto"/>
        <w:left w:val="none" w:sz="0" w:space="0" w:color="auto"/>
        <w:bottom w:val="none" w:sz="0" w:space="0" w:color="auto"/>
        <w:right w:val="none" w:sz="0" w:space="0" w:color="auto"/>
      </w:divBdr>
    </w:div>
    <w:div w:id="1586183809">
      <w:bodyDiv w:val="1"/>
      <w:marLeft w:val="0"/>
      <w:marRight w:val="0"/>
      <w:marTop w:val="0"/>
      <w:marBottom w:val="0"/>
      <w:divBdr>
        <w:top w:val="none" w:sz="0" w:space="0" w:color="auto"/>
        <w:left w:val="none" w:sz="0" w:space="0" w:color="auto"/>
        <w:bottom w:val="none" w:sz="0" w:space="0" w:color="auto"/>
        <w:right w:val="none" w:sz="0" w:space="0" w:color="auto"/>
      </w:divBdr>
    </w:div>
    <w:div w:id="1734041547">
      <w:bodyDiv w:val="1"/>
      <w:marLeft w:val="0"/>
      <w:marRight w:val="0"/>
      <w:marTop w:val="0"/>
      <w:marBottom w:val="0"/>
      <w:divBdr>
        <w:top w:val="none" w:sz="0" w:space="0" w:color="auto"/>
        <w:left w:val="none" w:sz="0" w:space="0" w:color="auto"/>
        <w:bottom w:val="none" w:sz="0" w:space="0" w:color="auto"/>
        <w:right w:val="none" w:sz="0" w:space="0" w:color="auto"/>
      </w:divBdr>
    </w:div>
    <w:div w:id="1738239841">
      <w:bodyDiv w:val="1"/>
      <w:marLeft w:val="0"/>
      <w:marRight w:val="0"/>
      <w:marTop w:val="0"/>
      <w:marBottom w:val="0"/>
      <w:divBdr>
        <w:top w:val="none" w:sz="0" w:space="0" w:color="auto"/>
        <w:left w:val="none" w:sz="0" w:space="0" w:color="auto"/>
        <w:bottom w:val="none" w:sz="0" w:space="0" w:color="auto"/>
        <w:right w:val="none" w:sz="0" w:space="0" w:color="auto"/>
      </w:divBdr>
    </w:div>
    <w:div w:id="1794598438">
      <w:bodyDiv w:val="1"/>
      <w:marLeft w:val="0"/>
      <w:marRight w:val="0"/>
      <w:marTop w:val="0"/>
      <w:marBottom w:val="0"/>
      <w:divBdr>
        <w:top w:val="none" w:sz="0" w:space="0" w:color="auto"/>
        <w:left w:val="none" w:sz="0" w:space="0" w:color="auto"/>
        <w:bottom w:val="none" w:sz="0" w:space="0" w:color="auto"/>
        <w:right w:val="none" w:sz="0" w:space="0" w:color="auto"/>
      </w:divBdr>
    </w:div>
    <w:div w:id="1880118473">
      <w:bodyDiv w:val="1"/>
      <w:marLeft w:val="0"/>
      <w:marRight w:val="0"/>
      <w:marTop w:val="0"/>
      <w:marBottom w:val="0"/>
      <w:divBdr>
        <w:top w:val="none" w:sz="0" w:space="0" w:color="auto"/>
        <w:left w:val="none" w:sz="0" w:space="0" w:color="auto"/>
        <w:bottom w:val="none" w:sz="0" w:space="0" w:color="auto"/>
        <w:right w:val="none" w:sz="0" w:space="0" w:color="auto"/>
      </w:divBdr>
    </w:div>
    <w:div w:id="1907059423">
      <w:bodyDiv w:val="1"/>
      <w:marLeft w:val="0"/>
      <w:marRight w:val="0"/>
      <w:marTop w:val="0"/>
      <w:marBottom w:val="0"/>
      <w:divBdr>
        <w:top w:val="none" w:sz="0" w:space="0" w:color="auto"/>
        <w:left w:val="none" w:sz="0" w:space="0" w:color="auto"/>
        <w:bottom w:val="none" w:sz="0" w:space="0" w:color="auto"/>
        <w:right w:val="none" w:sz="0" w:space="0" w:color="auto"/>
      </w:divBdr>
    </w:div>
    <w:div w:id="1930429617">
      <w:bodyDiv w:val="1"/>
      <w:marLeft w:val="0"/>
      <w:marRight w:val="0"/>
      <w:marTop w:val="0"/>
      <w:marBottom w:val="0"/>
      <w:divBdr>
        <w:top w:val="none" w:sz="0" w:space="0" w:color="auto"/>
        <w:left w:val="none" w:sz="0" w:space="0" w:color="auto"/>
        <w:bottom w:val="none" w:sz="0" w:space="0" w:color="auto"/>
        <w:right w:val="none" w:sz="0" w:space="0" w:color="auto"/>
      </w:divBdr>
    </w:div>
    <w:div w:id="1969774813">
      <w:bodyDiv w:val="1"/>
      <w:marLeft w:val="0"/>
      <w:marRight w:val="0"/>
      <w:marTop w:val="0"/>
      <w:marBottom w:val="0"/>
      <w:divBdr>
        <w:top w:val="none" w:sz="0" w:space="0" w:color="auto"/>
        <w:left w:val="none" w:sz="0" w:space="0" w:color="auto"/>
        <w:bottom w:val="none" w:sz="0" w:space="0" w:color="auto"/>
        <w:right w:val="none" w:sz="0" w:space="0" w:color="auto"/>
      </w:divBdr>
      <w:divsChild>
        <w:div w:id="34084181">
          <w:marLeft w:val="0"/>
          <w:marRight w:val="0"/>
          <w:marTop w:val="0"/>
          <w:marBottom w:val="0"/>
          <w:divBdr>
            <w:top w:val="none" w:sz="0" w:space="0" w:color="auto"/>
            <w:left w:val="none" w:sz="0" w:space="0" w:color="auto"/>
            <w:bottom w:val="none" w:sz="0" w:space="0" w:color="auto"/>
            <w:right w:val="none" w:sz="0" w:space="0" w:color="auto"/>
          </w:divBdr>
        </w:div>
        <w:div w:id="168104644">
          <w:marLeft w:val="0"/>
          <w:marRight w:val="0"/>
          <w:marTop w:val="0"/>
          <w:marBottom w:val="0"/>
          <w:divBdr>
            <w:top w:val="none" w:sz="0" w:space="0" w:color="auto"/>
            <w:left w:val="none" w:sz="0" w:space="0" w:color="auto"/>
            <w:bottom w:val="none" w:sz="0" w:space="0" w:color="auto"/>
            <w:right w:val="none" w:sz="0" w:space="0" w:color="auto"/>
          </w:divBdr>
        </w:div>
        <w:div w:id="561796712">
          <w:marLeft w:val="0"/>
          <w:marRight w:val="0"/>
          <w:marTop w:val="0"/>
          <w:marBottom w:val="0"/>
          <w:divBdr>
            <w:top w:val="none" w:sz="0" w:space="0" w:color="auto"/>
            <w:left w:val="none" w:sz="0" w:space="0" w:color="auto"/>
            <w:bottom w:val="none" w:sz="0" w:space="0" w:color="auto"/>
            <w:right w:val="none" w:sz="0" w:space="0" w:color="auto"/>
          </w:divBdr>
        </w:div>
        <w:div w:id="972060122">
          <w:marLeft w:val="0"/>
          <w:marRight w:val="0"/>
          <w:marTop w:val="0"/>
          <w:marBottom w:val="0"/>
          <w:divBdr>
            <w:top w:val="none" w:sz="0" w:space="0" w:color="auto"/>
            <w:left w:val="none" w:sz="0" w:space="0" w:color="auto"/>
            <w:bottom w:val="none" w:sz="0" w:space="0" w:color="auto"/>
            <w:right w:val="none" w:sz="0" w:space="0" w:color="auto"/>
          </w:divBdr>
        </w:div>
        <w:div w:id="1186335400">
          <w:marLeft w:val="0"/>
          <w:marRight w:val="0"/>
          <w:marTop w:val="0"/>
          <w:marBottom w:val="0"/>
          <w:divBdr>
            <w:top w:val="none" w:sz="0" w:space="0" w:color="auto"/>
            <w:left w:val="none" w:sz="0" w:space="0" w:color="auto"/>
            <w:bottom w:val="none" w:sz="0" w:space="0" w:color="auto"/>
            <w:right w:val="none" w:sz="0" w:space="0" w:color="auto"/>
          </w:divBdr>
        </w:div>
        <w:div w:id="1372418390">
          <w:marLeft w:val="0"/>
          <w:marRight w:val="0"/>
          <w:marTop w:val="0"/>
          <w:marBottom w:val="0"/>
          <w:divBdr>
            <w:top w:val="none" w:sz="0" w:space="0" w:color="auto"/>
            <w:left w:val="none" w:sz="0" w:space="0" w:color="auto"/>
            <w:bottom w:val="none" w:sz="0" w:space="0" w:color="auto"/>
            <w:right w:val="none" w:sz="0" w:space="0" w:color="auto"/>
          </w:divBdr>
        </w:div>
        <w:div w:id="1539708104">
          <w:marLeft w:val="0"/>
          <w:marRight w:val="0"/>
          <w:marTop w:val="0"/>
          <w:marBottom w:val="0"/>
          <w:divBdr>
            <w:top w:val="none" w:sz="0" w:space="0" w:color="auto"/>
            <w:left w:val="none" w:sz="0" w:space="0" w:color="auto"/>
            <w:bottom w:val="none" w:sz="0" w:space="0" w:color="auto"/>
            <w:right w:val="none" w:sz="0" w:space="0" w:color="auto"/>
          </w:divBdr>
        </w:div>
        <w:div w:id="1622809005">
          <w:marLeft w:val="0"/>
          <w:marRight w:val="0"/>
          <w:marTop w:val="0"/>
          <w:marBottom w:val="0"/>
          <w:divBdr>
            <w:top w:val="none" w:sz="0" w:space="0" w:color="auto"/>
            <w:left w:val="none" w:sz="0" w:space="0" w:color="auto"/>
            <w:bottom w:val="none" w:sz="0" w:space="0" w:color="auto"/>
            <w:right w:val="none" w:sz="0" w:space="0" w:color="auto"/>
          </w:divBdr>
        </w:div>
      </w:divsChild>
    </w:div>
    <w:div w:id="2077120464">
      <w:bodyDiv w:val="1"/>
      <w:marLeft w:val="0"/>
      <w:marRight w:val="0"/>
      <w:marTop w:val="0"/>
      <w:marBottom w:val="0"/>
      <w:divBdr>
        <w:top w:val="none" w:sz="0" w:space="0" w:color="auto"/>
        <w:left w:val="none" w:sz="0" w:space="0" w:color="auto"/>
        <w:bottom w:val="none" w:sz="0" w:space="0" w:color="auto"/>
        <w:right w:val="none" w:sz="0" w:space="0" w:color="auto"/>
      </w:divBdr>
    </w:div>
    <w:div w:id="2118862508">
      <w:bodyDiv w:val="1"/>
      <w:marLeft w:val="0"/>
      <w:marRight w:val="0"/>
      <w:marTop w:val="0"/>
      <w:marBottom w:val="0"/>
      <w:divBdr>
        <w:top w:val="none" w:sz="0" w:space="0" w:color="auto"/>
        <w:left w:val="none" w:sz="0" w:space="0" w:color="auto"/>
        <w:bottom w:val="none" w:sz="0" w:space="0" w:color="auto"/>
        <w:right w:val="none" w:sz="0" w:space="0" w:color="auto"/>
      </w:divBdr>
    </w:div>
    <w:div w:id="21468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uduser.gov/portal/datasets/home-datasets/files/HOME_RentLimits_State_ID_2024.pdf"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reservationdatabase.or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dahohousing.com/federal-programs/legal-notices-plans-and-reports/" TargetMode="External"/><Relationship Id="rId24" Type="http://schemas.openxmlformats.org/officeDocument/2006/relationships/hyperlink" Target="https://www.idahohousing.com/federal-programs/home-progra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rentalcompliance.org/housing-compliance-services/tax-credit-home.aspx" TargetMode="External"/><Relationship Id="rId10" Type="http://schemas.openxmlformats.org/officeDocument/2006/relationships/endnotes" Target="endnotes.xml"/><Relationship Id="rId19" Type="http://schemas.openxmlformats.org/officeDocument/2006/relationships/hyperlink" Target="https://legislature.idaho.gov/sessioninfo/2021/legislation/H01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idahostatejournal.com/community/city-of-pocatello-starts-lead-safe-and-healthy-homes-program/article_651cad99-5f01-5711-9f63-69bf9c3d29ca.html" TargetMode="External"/><Relationship Id="rId27"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AF9D1BB-50D7-4041-AA3C-BBC44DC5DFA6}">
    <t:Anchor>
      <t:Comment id="296591638"/>
    </t:Anchor>
    <t:History>
      <t:Event id="{256E0744-1FDB-41FF-A255-D4C29A70A116}" time="2024-12-12T04:25:27.765Z">
        <t:Attribution userId="S::atester@tdainc.org::b8827e1b-bdd9-457a-a94f-0beab9b4f6d8" userProvider="AD" userName="Alexandra Tester"/>
        <t:Anchor>
          <t:Comment id="296591638"/>
        </t:Anchor>
        <t:Create/>
      </t:Event>
      <t:Event id="{BE13692A-676E-45F3-88F0-4377181C7FA1}" time="2024-12-12T04:25:27.765Z">
        <t:Attribution userId="S::atester@tdainc.org::b8827e1b-bdd9-457a-a94f-0beab9b4f6d8" userProvider="AD" userName="Alexandra Tester"/>
        <t:Anchor>
          <t:Comment id="296591638"/>
        </t:Anchor>
        <t:Assign userId="S::JAlpha@tdainc.org::928de8a7-8603-4ff6-84a1-ae5a36482c11" userProvider="AD" userName="Jennifer Alpha"/>
      </t:Event>
      <t:Event id="{9105AEA6-99F7-406F-9CE6-089D16AAF5FE}" time="2024-12-12T04:25:27.765Z">
        <t:Attribution userId="S::atester@tdainc.org::b8827e1b-bdd9-457a-a94f-0beab9b4f6d8" userProvider="AD" userName="Alexandra Tester"/>
        <t:Anchor>
          <t:Comment id="296591638"/>
        </t:Anchor>
        <t:SetTitle title="@Jennifer Alpha I am having a hard time understanding the data we were sent and how to enter it in here. It was sent by Rhiannon on 11/26. We need to respond to that email if we want the characteristics of residents information with a dat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DC7D2D9AA38D4EA1DF1A8C3F0086D5" ma:contentTypeVersion="4" ma:contentTypeDescription="Create a new document." ma:contentTypeScope="" ma:versionID="a168fcd2ed7573991ac44f0af74b38e0">
  <xsd:schema xmlns:xsd="http://www.w3.org/2001/XMLSchema" xmlns:xs="http://www.w3.org/2001/XMLSchema" xmlns:p="http://schemas.microsoft.com/office/2006/metadata/properties" xmlns:ns2="6134808e-b981-49ac-9f90-3ea0133160d7" targetNamespace="http://schemas.microsoft.com/office/2006/metadata/properties" ma:root="true" ma:fieldsID="0cc83302f956f871cbfde69c3c331015" ns2:_="">
    <xsd:import namespace="6134808e-b981-49ac-9f90-3ea0133160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34808e-b981-49ac-9f90-3ea013316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B883B-4018-425F-AB45-A4A4D149A7D8}">
  <ds:schemaRefs>
    <ds:schemaRef ds:uri="http://schemas.microsoft.com/sharepoint/v3/contenttype/forms"/>
  </ds:schemaRefs>
</ds:datastoreItem>
</file>

<file path=customXml/itemProps2.xml><?xml version="1.0" encoding="utf-8"?>
<ds:datastoreItem xmlns:ds="http://schemas.openxmlformats.org/officeDocument/2006/customXml" ds:itemID="{198A73AE-60C6-4ABA-AE1F-735ABC5EF5FF}">
  <ds:schemaRefs>
    <ds:schemaRef ds:uri="http://schemas.openxmlformats.org/officeDocument/2006/bibliography"/>
  </ds:schemaRefs>
</ds:datastoreItem>
</file>

<file path=customXml/itemProps3.xml><?xml version="1.0" encoding="utf-8"?>
<ds:datastoreItem xmlns:ds="http://schemas.openxmlformats.org/officeDocument/2006/customXml" ds:itemID="{540E040D-92DC-4F71-B78C-E834358DD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34808e-b981-49ac-9f90-3ea013316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E8A14-667C-4985-A1E9-FB680C414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221</Pages>
  <Words>50235</Words>
  <Characters>286340</Characters>
  <Application>Microsoft Office Word</Application>
  <DocSecurity>0</DocSecurity>
  <Lines>2386</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Tester</dc:creator>
  <cp:keywords/>
  <dc:description/>
  <cp:lastModifiedBy>Dennis Porter</cp:lastModifiedBy>
  <cp:revision>3</cp:revision>
  <dcterms:created xsi:type="dcterms:W3CDTF">2025-04-04T20:57:00Z</dcterms:created>
  <dcterms:modified xsi:type="dcterms:W3CDTF">2025-04-04T21:58:00Z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0x01010081DC7D2D9AA38D4EA1DF1A8C3F0086D5</vt:lpwstr>
  </property>
  <property fmtid="{D5CDD505-2E9C-101B-9397-08002B2CF9AE}" pid="3" name="SmartDox GUID">
    <vt:lpwstr>d8e3948a-ef1a-4fe7-a0fa-bddadf963598</vt:lpwstr>
  </property>
</Properties>
</file>