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7BF" w:rsidRPr="00E407BF" w:rsidRDefault="00E407BF" w:rsidP="00E407BF">
      <w:pPr>
        <w:spacing w:after="0" w:line="240" w:lineRule="auto"/>
        <w:jc w:val="center"/>
        <w:rPr>
          <w:rFonts w:ascii="Arial" w:eastAsia="Times New Roman" w:hAnsi="Arial" w:cs="Arial"/>
          <w:b/>
          <w:bCs/>
          <w:sz w:val="28"/>
          <w:szCs w:val="20"/>
        </w:rPr>
      </w:pPr>
      <w:r w:rsidRPr="00E407BF">
        <w:rPr>
          <w:rFonts w:ascii="Arial" w:eastAsia="Times New Roman" w:hAnsi="Arial" w:cs="Arial"/>
          <w:b/>
          <w:sz w:val="28"/>
          <w:szCs w:val="32"/>
        </w:rPr>
        <w:t xml:space="preserve">Determination of Exemption or </w:t>
      </w:r>
      <w:r w:rsidRPr="00E407BF">
        <w:rPr>
          <w:rFonts w:ascii="Arial" w:eastAsia="Times New Roman" w:hAnsi="Arial" w:cs="Arial"/>
          <w:b/>
          <w:bCs/>
          <w:sz w:val="28"/>
          <w:szCs w:val="32"/>
        </w:rPr>
        <w:t>Determination</w:t>
      </w:r>
      <w:r w:rsidRPr="00E407BF">
        <w:rPr>
          <w:rFonts w:ascii="Arial" w:eastAsia="Times New Roman" w:hAnsi="Arial" w:cs="Arial"/>
          <w:b/>
          <w:bCs/>
          <w:sz w:val="28"/>
          <w:szCs w:val="20"/>
        </w:rPr>
        <w:t xml:space="preserve"> of</w:t>
      </w:r>
    </w:p>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b/>
          <w:bCs/>
          <w:sz w:val="28"/>
          <w:szCs w:val="20"/>
        </w:rPr>
      </w:pPr>
      <w:r w:rsidRPr="00E407BF">
        <w:rPr>
          <w:rFonts w:ascii="Arial" w:eastAsia="Times New Roman" w:hAnsi="Arial" w:cs="Arial"/>
          <w:b/>
          <w:bCs/>
          <w:sz w:val="28"/>
          <w:szCs w:val="20"/>
        </w:rPr>
        <w:t xml:space="preserve">Categorical Exclusion </w:t>
      </w:r>
      <w:r w:rsidRPr="00E407BF">
        <w:rPr>
          <w:rFonts w:ascii="Arial" w:eastAsia="Times New Roman" w:hAnsi="Arial" w:cs="Arial"/>
          <w:b/>
          <w:bCs/>
          <w:szCs w:val="20"/>
        </w:rPr>
        <w:t>(not subject to Section 58.5)</w:t>
      </w:r>
    </w:p>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r w:rsidRPr="00E407BF">
        <w:rPr>
          <w:rFonts w:ascii="Arial" w:eastAsia="Times New Roman" w:hAnsi="Arial" w:cs="Arial"/>
          <w:b/>
          <w:bCs/>
          <w:sz w:val="20"/>
          <w:szCs w:val="20"/>
        </w:rPr>
        <w:t>24 CFR 58.34(a) and 58.35(b)</w:t>
      </w:r>
    </w:p>
    <w:p w:rsidR="00E407BF" w:rsidRPr="00E407BF" w:rsidRDefault="00E407BF" w:rsidP="00E407BF">
      <w:pPr>
        <w:overflowPunct w:val="0"/>
        <w:autoSpaceDE w:val="0"/>
        <w:autoSpaceDN w:val="0"/>
        <w:adjustRightInd w:val="0"/>
        <w:spacing w:after="0" w:line="240" w:lineRule="auto"/>
        <w:textAlignment w:val="baseline"/>
        <w:rPr>
          <w:rFonts w:ascii="New York" w:eastAsia="Times New Roman" w:hAnsi="New York" w:cs="Times New Roman"/>
          <w:b/>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770"/>
        <w:gridCol w:w="198"/>
        <w:gridCol w:w="4572"/>
      </w:tblGrid>
      <w:tr w:rsidR="00E407BF" w:rsidRPr="00E407BF" w:rsidTr="00DF6339">
        <w:tc>
          <w:tcPr>
            <w:tcW w:w="10008" w:type="dxa"/>
            <w:gridSpan w:val="4"/>
          </w:tcPr>
          <w:p w:rsidR="00E407BF" w:rsidRPr="00E407BF" w:rsidRDefault="00E407BF" w:rsidP="00E407BF">
            <w:pPr>
              <w:overflowPunct w:val="0"/>
              <w:autoSpaceDE w:val="0"/>
              <w:autoSpaceDN w:val="0"/>
              <w:adjustRightInd w:val="0"/>
              <w:spacing w:before="60" w:after="0" w:line="240" w:lineRule="auto"/>
              <w:textAlignment w:val="baseline"/>
              <w:rPr>
                <w:rFonts w:ascii="Arial" w:eastAsia="Times New Roman" w:hAnsi="Arial" w:cs="Arial"/>
                <w:sz w:val="21"/>
                <w:szCs w:val="21"/>
              </w:rPr>
            </w:pPr>
            <w:r w:rsidRPr="00E407BF">
              <w:rPr>
                <w:rFonts w:ascii="Arial" w:eastAsia="Times New Roman" w:hAnsi="Arial" w:cs="Arial"/>
                <w:sz w:val="21"/>
                <w:szCs w:val="21"/>
              </w:rPr>
              <w:t>Activity Name and Grant Number:</w:t>
            </w:r>
          </w:p>
          <w:p w:rsidR="00E407BF" w:rsidRPr="00E407BF" w:rsidRDefault="00E407BF" w:rsidP="00E407BF">
            <w:pPr>
              <w:overflowPunct w:val="0"/>
              <w:autoSpaceDE w:val="0"/>
              <w:autoSpaceDN w:val="0"/>
              <w:adjustRightInd w:val="0"/>
              <w:spacing w:after="0" w:line="240" w:lineRule="auto"/>
              <w:textAlignment w:val="baseline"/>
              <w:rPr>
                <w:rFonts w:ascii="Arial" w:eastAsia="Times New Roman" w:hAnsi="Arial" w:cs="Arial"/>
                <w:sz w:val="21"/>
                <w:szCs w:val="21"/>
              </w:rPr>
            </w:pPr>
          </w:p>
          <w:p w:rsidR="00E407BF" w:rsidRPr="00E407BF" w:rsidRDefault="00E407BF" w:rsidP="00E407BF">
            <w:pPr>
              <w:overflowPunct w:val="0"/>
              <w:autoSpaceDE w:val="0"/>
              <w:autoSpaceDN w:val="0"/>
              <w:adjustRightInd w:val="0"/>
              <w:spacing w:after="0" w:line="240" w:lineRule="auto"/>
              <w:textAlignment w:val="baseline"/>
              <w:rPr>
                <w:rFonts w:ascii="Arial" w:eastAsia="Times New Roman" w:hAnsi="Arial" w:cs="Arial"/>
                <w:sz w:val="21"/>
                <w:szCs w:val="21"/>
              </w:rPr>
            </w:pPr>
            <w:r w:rsidRPr="00E407BF">
              <w:rPr>
                <w:rFonts w:ascii="Arial" w:eastAsia="Times New Roman" w:hAnsi="Arial" w:cs="Arial"/>
                <w:sz w:val="21"/>
                <w:szCs w:val="21"/>
              </w:rPr>
              <w:t>Address:</w:t>
            </w:r>
          </w:p>
          <w:p w:rsidR="00E407BF" w:rsidRPr="00E407BF" w:rsidRDefault="00E407BF" w:rsidP="00E407BF">
            <w:pPr>
              <w:overflowPunct w:val="0"/>
              <w:autoSpaceDE w:val="0"/>
              <w:autoSpaceDN w:val="0"/>
              <w:adjustRightInd w:val="0"/>
              <w:spacing w:after="0" w:line="240" w:lineRule="auto"/>
              <w:textAlignment w:val="baseline"/>
              <w:rPr>
                <w:rFonts w:ascii="Arial" w:eastAsia="Times New Roman" w:hAnsi="Arial" w:cs="Arial"/>
                <w:sz w:val="21"/>
                <w:szCs w:val="21"/>
              </w:rPr>
            </w:pPr>
          </w:p>
          <w:p w:rsidR="00E407BF" w:rsidRPr="00E407BF" w:rsidRDefault="00E407BF" w:rsidP="00E407BF">
            <w:pPr>
              <w:keepNext/>
              <w:tabs>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000"/>
                <w:tab w:val="left" w:pos="9360"/>
                <w:tab w:val="left" w:pos="9940"/>
                <w:tab w:val="left" w:pos="10080"/>
              </w:tabs>
              <w:overflowPunct w:val="0"/>
              <w:autoSpaceDE w:val="0"/>
              <w:autoSpaceDN w:val="0"/>
              <w:adjustRightInd w:val="0"/>
              <w:spacing w:after="0" w:line="240" w:lineRule="atLeast"/>
              <w:jc w:val="center"/>
              <w:textAlignment w:val="baseline"/>
              <w:outlineLvl w:val="0"/>
              <w:rPr>
                <w:rFonts w:ascii="Arial" w:eastAsia="Times New Roman" w:hAnsi="Arial" w:cs="Arial"/>
                <w:bCs/>
                <w:sz w:val="21"/>
                <w:szCs w:val="21"/>
              </w:rPr>
            </w:pPr>
            <w:r w:rsidRPr="00E407BF">
              <w:rPr>
                <w:rFonts w:ascii="Arial" w:eastAsia="Times New Roman" w:hAnsi="Arial" w:cs="Arial"/>
                <w:sz w:val="21"/>
                <w:szCs w:val="21"/>
              </w:rPr>
              <w:t>Activity Description:</w:t>
            </w:r>
          </w:p>
          <w:p w:rsidR="00E407BF" w:rsidRPr="00E407BF" w:rsidRDefault="00E407BF" w:rsidP="00E407BF">
            <w:pPr>
              <w:overflowPunct w:val="0"/>
              <w:autoSpaceDE w:val="0"/>
              <w:autoSpaceDN w:val="0"/>
              <w:adjustRightInd w:val="0"/>
              <w:spacing w:after="0" w:line="240" w:lineRule="auto"/>
              <w:textAlignment w:val="baseline"/>
              <w:rPr>
                <w:rFonts w:ascii="Arial" w:eastAsia="Times New Roman" w:hAnsi="Arial" w:cs="Arial"/>
                <w:sz w:val="21"/>
                <w:szCs w:val="21"/>
              </w:rPr>
            </w:pPr>
          </w:p>
          <w:p w:rsidR="00E407BF" w:rsidRPr="00E407BF" w:rsidRDefault="00E407BF" w:rsidP="00E407BF">
            <w:pPr>
              <w:overflowPunct w:val="0"/>
              <w:autoSpaceDE w:val="0"/>
              <w:autoSpaceDN w:val="0"/>
              <w:adjustRightInd w:val="0"/>
              <w:spacing w:after="0" w:line="240" w:lineRule="auto"/>
              <w:textAlignment w:val="baseline"/>
              <w:rPr>
                <w:rFonts w:ascii="Arial" w:eastAsia="Times New Roman" w:hAnsi="Arial" w:cs="Arial"/>
                <w:sz w:val="21"/>
                <w:szCs w:val="21"/>
              </w:rPr>
            </w:pPr>
          </w:p>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b/>
                <w:bCs/>
                <w:sz w:val="32"/>
                <w:szCs w:val="20"/>
              </w:rPr>
            </w:pPr>
            <w:r w:rsidRPr="00E407BF">
              <w:rPr>
                <w:rFonts w:ascii="Arial" w:eastAsia="Times New Roman" w:hAnsi="Arial" w:cs="Arial"/>
                <w:sz w:val="21"/>
                <w:szCs w:val="21"/>
              </w:rPr>
              <w:t>Funding Source:  ICDBG</w:t>
            </w:r>
            <w:r w:rsidRPr="00E407BF">
              <w:rPr>
                <w:rFonts w:ascii="Times New Roman" w:eastAsia="Times New Roman" w:hAnsi="Times New Roman" w:cs="Times New Roman"/>
                <w:szCs w:val="20"/>
              </w:rPr>
              <w:t xml:space="preserve">    </w:t>
            </w:r>
          </w:p>
        </w:tc>
      </w:tr>
      <w:tr w:rsidR="00E407BF" w:rsidRPr="00E407BF" w:rsidTr="00DF6339">
        <w:tc>
          <w:tcPr>
            <w:tcW w:w="468" w:type="dxa"/>
            <w:tcBorders>
              <w:bottom w:val="double" w:sz="4" w:space="0" w:color="auto"/>
            </w:tcBorders>
            <w:vAlign w:val="center"/>
          </w:tcPr>
          <w:p w:rsidR="00E407BF" w:rsidRPr="00E407BF" w:rsidRDefault="00E407BF" w:rsidP="00E407B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4"/>
                <w:szCs w:val="20"/>
              </w:rPr>
            </w:pPr>
            <w:r w:rsidRPr="00E407BF">
              <w:rPr>
                <w:rFonts w:ascii="Times New Roman" w:eastAsia="Times New Roman" w:hAnsi="Times New Roman" w:cs="Times New Roman"/>
                <w:sz w:val="24"/>
                <w:szCs w:val="20"/>
              </w:rPr>
              <w:t>√</w:t>
            </w:r>
          </w:p>
        </w:tc>
        <w:tc>
          <w:tcPr>
            <w:tcW w:w="9540" w:type="dxa"/>
            <w:gridSpan w:val="3"/>
            <w:tcBorders>
              <w:bottom w:val="double" w:sz="4" w:space="0" w:color="auto"/>
            </w:tcBorders>
            <w:vAlign w:val="center"/>
          </w:tcPr>
          <w:p w:rsidR="00E407BF" w:rsidRPr="00E407BF" w:rsidRDefault="00E407BF" w:rsidP="00E407BF">
            <w:pPr>
              <w:overflowPunct w:val="0"/>
              <w:autoSpaceDE w:val="0"/>
              <w:autoSpaceDN w:val="0"/>
              <w:adjustRightInd w:val="0"/>
              <w:spacing w:before="60" w:after="60" w:line="240" w:lineRule="auto"/>
              <w:textAlignment w:val="baseline"/>
              <w:rPr>
                <w:rFonts w:ascii="Arial" w:eastAsia="Times New Roman" w:hAnsi="Arial" w:cs="Arial"/>
                <w:sz w:val="20"/>
                <w:szCs w:val="20"/>
              </w:rPr>
            </w:pPr>
            <w:r w:rsidRPr="00E407BF">
              <w:rPr>
                <w:rFonts w:ascii="Arial" w:eastAsia="Times New Roman" w:hAnsi="Arial" w:cs="Arial"/>
                <w:b/>
                <w:bCs/>
                <w:szCs w:val="20"/>
              </w:rPr>
              <w:t>The activity falls into the category below, which is listed at 24 CFR 58.34(a) as Exempt.</w:t>
            </w:r>
          </w:p>
        </w:tc>
      </w:tr>
      <w:tr w:rsidR="00E407BF" w:rsidRPr="00E407BF" w:rsidTr="00DF6339">
        <w:tc>
          <w:tcPr>
            <w:tcW w:w="468" w:type="dxa"/>
            <w:tcBorders>
              <w:top w:val="double" w:sz="4" w:space="0" w:color="auto"/>
            </w:tcBorders>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Borders>
              <w:top w:val="double" w:sz="4" w:space="0" w:color="auto"/>
            </w:tcBorders>
          </w:tcPr>
          <w:p w:rsidR="00E407BF" w:rsidRPr="00E407BF" w:rsidRDefault="00E407BF" w:rsidP="00E407BF">
            <w:pPr>
              <w:numPr>
                <w:ilvl w:val="0"/>
                <w:numId w:val="4"/>
              </w:numPr>
              <w:overflowPunct w:val="0"/>
              <w:autoSpaceDE w:val="0"/>
              <w:autoSpaceDN w:val="0"/>
              <w:adjustRightInd w:val="0"/>
              <w:spacing w:before="60" w:after="0" w:line="240" w:lineRule="auto"/>
              <w:ind w:left="432"/>
              <w:textAlignment w:val="baseline"/>
              <w:rPr>
                <w:rFonts w:ascii="Arial" w:eastAsia="Times New Roman" w:hAnsi="Arial" w:cs="Arial"/>
                <w:sz w:val="20"/>
                <w:szCs w:val="20"/>
              </w:rPr>
            </w:pPr>
            <w:r w:rsidRPr="00E407BF">
              <w:rPr>
                <w:rFonts w:ascii="Arial" w:eastAsia="Times New Roman" w:hAnsi="Arial" w:cs="Arial"/>
                <w:sz w:val="20"/>
                <w:szCs w:val="20"/>
              </w:rPr>
              <w:t>Environmental and other studies, resource identification, and development of plans and strategies</w:t>
            </w:r>
          </w:p>
        </w:tc>
      </w:tr>
      <w:tr w:rsidR="00E407BF" w:rsidRPr="00E407BF" w:rsidTr="00DF6339">
        <w:tc>
          <w:tcPr>
            <w:tcW w:w="468" w:type="dxa"/>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Pr>
          <w:p w:rsidR="00E407BF" w:rsidRPr="00E407BF" w:rsidRDefault="00E407BF" w:rsidP="00E407BF">
            <w:pPr>
              <w:numPr>
                <w:ilvl w:val="0"/>
                <w:numId w:val="4"/>
              </w:numPr>
              <w:overflowPunct w:val="0"/>
              <w:autoSpaceDE w:val="0"/>
              <w:autoSpaceDN w:val="0"/>
              <w:adjustRightInd w:val="0"/>
              <w:spacing w:before="60" w:after="60" w:line="240" w:lineRule="auto"/>
              <w:ind w:left="432"/>
              <w:textAlignment w:val="baseline"/>
              <w:rPr>
                <w:rFonts w:ascii="Arial" w:eastAsia="Times New Roman" w:hAnsi="Arial" w:cs="Arial"/>
                <w:sz w:val="20"/>
                <w:szCs w:val="20"/>
              </w:rPr>
            </w:pPr>
            <w:r w:rsidRPr="00E407BF">
              <w:rPr>
                <w:rFonts w:ascii="Arial" w:eastAsia="Times New Roman" w:hAnsi="Arial" w:cs="Arial"/>
                <w:sz w:val="20"/>
                <w:szCs w:val="20"/>
              </w:rPr>
              <w:t>Information and financial services</w:t>
            </w:r>
          </w:p>
        </w:tc>
      </w:tr>
      <w:tr w:rsidR="00E407BF" w:rsidRPr="00E407BF" w:rsidTr="00DF6339">
        <w:tc>
          <w:tcPr>
            <w:tcW w:w="468" w:type="dxa"/>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Pr>
          <w:p w:rsidR="00E407BF" w:rsidRPr="00E407BF" w:rsidRDefault="00E407BF" w:rsidP="00E407BF">
            <w:pPr>
              <w:numPr>
                <w:ilvl w:val="0"/>
                <w:numId w:val="4"/>
              </w:numPr>
              <w:overflowPunct w:val="0"/>
              <w:autoSpaceDE w:val="0"/>
              <w:autoSpaceDN w:val="0"/>
              <w:adjustRightInd w:val="0"/>
              <w:spacing w:before="60" w:after="60" w:line="240" w:lineRule="auto"/>
              <w:ind w:left="432"/>
              <w:textAlignment w:val="baseline"/>
              <w:rPr>
                <w:rFonts w:ascii="Arial" w:eastAsia="Times New Roman" w:hAnsi="Arial" w:cs="Arial"/>
                <w:sz w:val="20"/>
                <w:szCs w:val="20"/>
              </w:rPr>
            </w:pPr>
            <w:r w:rsidRPr="00E407BF">
              <w:rPr>
                <w:rFonts w:ascii="Arial" w:eastAsia="Times New Roman" w:hAnsi="Arial" w:cs="Arial"/>
                <w:sz w:val="20"/>
                <w:szCs w:val="20"/>
              </w:rPr>
              <w:t>Administrative and management activities</w:t>
            </w:r>
          </w:p>
        </w:tc>
      </w:tr>
      <w:tr w:rsidR="00E407BF" w:rsidRPr="00E407BF" w:rsidTr="00DF6339">
        <w:tc>
          <w:tcPr>
            <w:tcW w:w="468" w:type="dxa"/>
            <w:tcBorders>
              <w:bottom w:val="nil"/>
            </w:tcBorders>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Borders>
              <w:bottom w:val="nil"/>
            </w:tcBorders>
          </w:tcPr>
          <w:p w:rsidR="00E407BF" w:rsidRPr="00E407BF" w:rsidRDefault="00E407BF" w:rsidP="00E407BF">
            <w:pPr>
              <w:numPr>
                <w:ilvl w:val="0"/>
                <w:numId w:val="4"/>
              </w:numPr>
              <w:overflowPunct w:val="0"/>
              <w:autoSpaceDE w:val="0"/>
              <w:autoSpaceDN w:val="0"/>
              <w:adjustRightInd w:val="0"/>
              <w:spacing w:before="60" w:after="0" w:line="240" w:lineRule="auto"/>
              <w:ind w:left="432"/>
              <w:textAlignment w:val="baseline"/>
              <w:rPr>
                <w:rFonts w:ascii="Arial" w:eastAsia="Times New Roman" w:hAnsi="Arial" w:cs="Arial"/>
                <w:sz w:val="20"/>
                <w:szCs w:val="20"/>
              </w:rPr>
            </w:pPr>
            <w:r w:rsidRPr="00E407BF">
              <w:rPr>
                <w:rFonts w:ascii="Arial" w:eastAsia="Times New Roman" w:hAnsi="Arial" w:cs="Arial"/>
                <w:sz w:val="20"/>
                <w:szCs w:val="20"/>
              </w:rPr>
              <w:t>Public services that will not have a physical impact or result in any physical changes including but not   limited to services concerned with:</w:t>
            </w:r>
          </w:p>
        </w:tc>
      </w:tr>
      <w:tr w:rsidR="00E407BF" w:rsidRPr="00E407BF" w:rsidTr="00DF6339">
        <w:tc>
          <w:tcPr>
            <w:tcW w:w="468" w:type="dxa"/>
            <w:tcBorders>
              <w:top w:val="nil"/>
            </w:tcBorders>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4770" w:type="dxa"/>
            <w:tcBorders>
              <w:top w:val="nil"/>
              <w:right w:val="nil"/>
            </w:tcBorders>
          </w:tcPr>
          <w:p w:rsidR="00E407BF" w:rsidRPr="00E407BF" w:rsidRDefault="00E407BF" w:rsidP="00E407BF">
            <w:pPr>
              <w:numPr>
                <w:ilvl w:val="0"/>
                <w:numId w:val="2"/>
              </w:numPr>
              <w:tabs>
                <w:tab w:val="left" w:pos="432"/>
              </w:tabs>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Employment</w:t>
            </w:r>
          </w:p>
          <w:p w:rsidR="00E407BF" w:rsidRPr="00E407BF" w:rsidRDefault="00E407BF" w:rsidP="00E407BF">
            <w:pPr>
              <w:numPr>
                <w:ilvl w:val="0"/>
                <w:numId w:val="2"/>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Crime prevention</w:t>
            </w:r>
          </w:p>
          <w:p w:rsidR="00E407BF" w:rsidRPr="00E407BF" w:rsidRDefault="00E407BF" w:rsidP="00E407BF">
            <w:pPr>
              <w:numPr>
                <w:ilvl w:val="0"/>
                <w:numId w:val="2"/>
              </w:numPr>
              <w:tabs>
                <w:tab w:val="left" w:pos="432"/>
              </w:tabs>
              <w:overflowPunct w:val="0"/>
              <w:autoSpaceDE w:val="0"/>
              <w:autoSpaceDN w:val="0"/>
              <w:adjustRightInd w:val="0"/>
              <w:spacing w:after="0" w:line="240" w:lineRule="auto"/>
              <w:ind w:left="792"/>
              <w:textAlignment w:val="baseline"/>
              <w:rPr>
                <w:rFonts w:ascii="Arial" w:eastAsia="Times New Roman" w:hAnsi="Arial" w:cs="Arial"/>
                <w:sz w:val="20"/>
                <w:szCs w:val="20"/>
              </w:rPr>
            </w:pPr>
            <w:proofErr w:type="gramStart"/>
            <w:r w:rsidRPr="00E407BF">
              <w:rPr>
                <w:rFonts w:ascii="Arial" w:eastAsia="Times New Roman" w:hAnsi="Arial" w:cs="Arial"/>
                <w:sz w:val="20"/>
                <w:szCs w:val="20"/>
              </w:rPr>
              <w:t>Child care</w:t>
            </w:r>
            <w:proofErr w:type="gramEnd"/>
          </w:p>
          <w:p w:rsidR="00E407BF" w:rsidRPr="00E407BF" w:rsidRDefault="00E407BF" w:rsidP="00E407BF">
            <w:pPr>
              <w:numPr>
                <w:ilvl w:val="0"/>
                <w:numId w:val="2"/>
              </w:numPr>
              <w:tabs>
                <w:tab w:val="left" w:pos="432"/>
              </w:tabs>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Health</w:t>
            </w:r>
          </w:p>
          <w:p w:rsidR="00E407BF" w:rsidRPr="00E407BF" w:rsidRDefault="00E407BF" w:rsidP="00E407BF">
            <w:pPr>
              <w:numPr>
                <w:ilvl w:val="0"/>
                <w:numId w:val="2"/>
              </w:numPr>
              <w:tabs>
                <w:tab w:val="left" w:pos="432"/>
              </w:tabs>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Recreation needs</w:t>
            </w:r>
          </w:p>
          <w:p w:rsidR="00E407BF" w:rsidRPr="00E407BF" w:rsidRDefault="00E407BF" w:rsidP="00E407BF">
            <w:pPr>
              <w:numPr>
                <w:ilvl w:val="0"/>
                <w:numId w:val="2"/>
              </w:numPr>
              <w:tabs>
                <w:tab w:val="left" w:pos="432"/>
              </w:tabs>
              <w:overflowPunct w:val="0"/>
              <w:autoSpaceDE w:val="0"/>
              <w:autoSpaceDN w:val="0"/>
              <w:adjustRightInd w:val="0"/>
              <w:spacing w:after="6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Drug abuse</w:t>
            </w:r>
          </w:p>
        </w:tc>
        <w:tc>
          <w:tcPr>
            <w:tcW w:w="4770" w:type="dxa"/>
            <w:gridSpan w:val="2"/>
            <w:tcBorders>
              <w:top w:val="nil"/>
              <w:left w:val="nil"/>
            </w:tcBorders>
          </w:tcPr>
          <w:p w:rsidR="00E407BF" w:rsidRPr="00E407BF" w:rsidRDefault="00E407BF" w:rsidP="00E407BF">
            <w:pPr>
              <w:numPr>
                <w:ilvl w:val="0"/>
                <w:numId w:val="2"/>
              </w:numPr>
              <w:tabs>
                <w:tab w:val="left" w:pos="432"/>
                <w:tab w:val="num" w:pos="522"/>
              </w:tabs>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Education</w:t>
            </w:r>
          </w:p>
          <w:p w:rsidR="00E407BF" w:rsidRPr="00E407BF" w:rsidRDefault="00E407BF" w:rsidP="00E407BF">
            <w:pPr>
              <w:numPr>
                <w:ilvl w:val="0"/>
                <w:numId w:val="2"/>
              </w:numPr>
              <w:tabs>
                <w:tab w:val="left" w:pos="432"/>
                <w:tab w:val="num" w:pos="522"/>
              </w:tabs>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Counseling</w:t>
            </w:r>
          </w:p>
          <w:p w:rsidR="00E407BF" w:rsidRPr="00E407BF" w:rsidRDefault="00E407BF" w:rsidP="00E407BF">
            <w:pPr>
              <w:numPr>
                <w:ilvl w:val="0"/>
                <w:numId w:val="2"/>
              </w:numPr>
              <w:tabs>
                <w:tab w:val="left" w:pos="432"/>
                <w:tab w:val="num" w:pos="522"/>
              </w:tabs>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 xml:space="preserve">Energy conservation </w:t>
            </w:r>
          </w:p>
          <w:p w:rsidR="00E407BF" w:rsidRPr="00E407BF" w:rsidRDefault="00E407BF" w:rsidP="00E407BF">
            <w:pPr>
              <w:numPr>
                <w:ilvl w:val="0"/>
                <w:numId w:val="2"/>
              </w:numPr>
              <w:tabs>
                <w:tab w:val="left" w:pos="432"/>
                <w:tab w:val="num" w:pos="522"/>
              </w:tabs>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Welfare</w:t>
            </w:r>
          </w:p>
          <w:p w:rsidR="00E407BF" w:rsidRPr="00E407BF" w:rsidRDefault="00E407BF" w:rsidP="00E407BF">
            <w:pPr>
              <w:numPr>
                <w:ilvl w:val="0"/>
                <w:numId w:val="2"/>
              </w:numPr>
              <w:tabs>
                <w:tab w:val="left" w:pos="432"/>
                <w:tab w:val="num" w:pos="522"/>
              </w:tabs>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Other _______________</w:t>
            </w:r>
          </w:p>
        </w:tc>
      </w:tr>
      <w:tr w:rsidR="00E407BF" w:rsidRPr="00E407BF" w:rsidTr="00DF6339">
        <w:tc>
          <w:tcPr>
            <w:tcW w:w="468" w:type="dxa"/>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Pr>
          <w:p w:rsidR="00E407BF" w:rsidRPr="00E407BF" w:rsidRDefault="00E407BF" w:rsidP="00E407BF">
            <w:pPr>
              <w:tabs>
                <w:tab w:val="left" w:pos="432"/>
                <w:tab w:val="left" w:pos="612"/>
                <w:tab w:val="left" w:pos="1332"/>
              </w:tabs>
              <w:overflowPunct w:val="0"/>
              <w:autoSpaceDE w:val="0"/>
              <w:autoSpaceDN w:val="0"/>
              <w:adjustRightInd w:val="0"/>
              <w:spacing w:before="60" w:after="60" w:line="240" w:lineRule="auto"/>
              <w:ind w:left="432" w:hanging="372"/>
              <w:textAlignment w:val="baseline"/>
              <w:rPr>
                <w:rFonts w:ascii="Arial" w:eastAsia="Times New Roman" w:hAnsi="Arial" w:cs="Arial"/>
                <w:sz w:val="20"/>
                <w:szCs w:val="20"/>
              </w:rPr>
            </w:pPr>
            <w:r w:rsidRPr="00E407BF">
              <w:rPr>
                <w:rFonts w:ascii="Arial" w:eastAsia="Times New Roman" w:hAnsi="Arial" w:cs="Arial"/>
                <w:sz w:val="20"/>
                <w:szCs w:val="20"/>
              </w:rPr>
              <w:t>5.</w:t>
            </w:r>
            <w:r w:rsidRPr="00E407BF">
              <w:rPr>
                <w:rFonts w:ascii="Arial" w:eastAsia="Times New Roman" w:hAnsi="Arial" w:cs="Arial"/>
                <w:sz w:val="20"/>
                <w:szCs w:val="20"/>
              </w:rPr>
              <w:tab/>
              <w:t>Inspections and testing of properties for hazards or defects</w:t>
            </w:r>
          </w:p>
        </w:tc>
      </w:tr>
      <w:tr w:rsidR="00E407BF" w:rsidRPr="00E407BF" w:rsidTr="00DF6339">
        <w:tc>
          <w:tcPr>
            <w:tcW w:w="468" w:type="dxa"/>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Pr>
          <w:p w:rsidR="00E407BF" w:rsidRPr="00E407BF" w:rsidRDefault="00E407BF" w:rsidP="00E407BF">
            <w:pPr>
              <w:tabs>
                <w:tab w:val="left" w:pos="72"/>
                <w:tab w:val="left" w:pos="432"/>
                <w:tab w:val="left" w:pos="1332"/>
              </w:tabs>
              <w:overflowPunct w:val="0"/>
              <w:autoSpaceDE w:val="0"/>
              <w:autoSpaceDN w:val="0"/>
              <w:adjustRightInd w:val="0"/>
              <w:spacing w:before="60" w:after="60" w:line="240" w:lineRule="auto"/>
              <w:ind w:left="432" w:hanging="372"/>
              <w:textAlignment w:val="baseline"/>
              <w:rPr>
                <w:rFonts w:ascii="Arial" w:eastAsia="Times New Roman" w:hAnsi="Arial" w:cs="Arial"/>
                <w:sz w:val="20"/>
                <w:szCs w:val="20"/>
              </w:rPr>
            </w:pPr>
            <w:r w:rsidRPr="00E407BF">
              <w:rPr>
                <w:rFonts w:ascii="Arial" w:eastAsia="Times New Roman" w:hAnsi="Arial" w:cs="Arial"/>
                <w:sz w:val="20"/>
                <w:szCs w:val="20"/>
              </w:rPr>
              <w:t>6.</w:t>
            </w:r>
            <w:r w:rsidRPr="00E407BF">
              <w:rPr>
                <w:rFonts w:ascii="Arial" w:eastAsia="Times New Roman" w:hAnsi="Arial" w:cs="Arial"/>
                <w:sz w:val="20"/>
                <w:szCs w:val="20"/>
              </w:rPr>
              <w:tab/>
              <w:t>Purchase of insurance</w:t>
            </w:r>
          </w:p>
        </w:tc>
      </w:tr>
      <w:tr w:rsidR="00E407BF" w:rsidRPr="00E407BF" w:rsidTr="00DF6339">
        <w:tc>
          <w:tcPr>
            <w:tcW w:w="468" w:type="dxa"/>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Pr>
          <w:p w:rsidR="00E407BF" w:rsidRPr="00E407BF" w:rsidRDefault="00E407BF" w:rsidP="00E407BF">
            <w:pPr>
              <w:tabs>
                <w:tab w:val="left" w:pos="72"/>
                <w:tab w:val="left" w:pos="432"/>
                <w:tab w:val="left" w:pos="1332"/>
              </w:tabs>
              <w:overflowPunct w:val="0"/>
              <w:autoSpaceDE w:val="0"/>
              <w:autoSpaceDN w:val="0"/>
              <w:adjustRightInd w:val="0"/>
              <w:spacing w:before="60" w:after="60" w:line="240" w:lineRule="auto"/>
              <w:ind w:left="432" w:hanging="372"/>
              <w:textAlignment w:val="baseline"/>
              <w:rPr>
                <w:rFonts w:ascii="Arial" w:eastAsia="Times New Roman" w:hAnsi="Arial" w:cs="Arial"/>
                <w:sz w:val="20"/>
                <w:szCs w:val="20"/>
              </w:rPr>
            </w:pPr>
            <w:r w:rsidRPr="00E407BF">
              <w:rPr>
                <w:rFonts w:ascii="Arial" w:eastAsia="Times New Roman" w:hAnsi="Arial" w:cs="Arial"/>
                <w:sz w:val="20"/>
                <w:szCs w:val="20"/>
              </w:rPr>
              <w:t xml:space="preserve"> 7.</w:t>
            </w:r>
            <w:r w:rsidRPr="00E407BF">
              <w:rPr>
                <w:rFonts w:ascii="Arial" w:eastAsia="Times New Roman" w:hAnsi="Arial" w:cs="Arial"/>
                <w:sz w:val="20"/>
                <w:szCs w:val="20"/>
              </w:rPr>
              <w:tab/>
              <w:t xml:space="preserve">Purchase of tools </w:t>
            </w:r>
          </w:p>
        </w:tc>
      </w:tr>
      <w:tr w:rsidR="00E407BF" w:rsidRPr="00E407BF" w:rsidTr="00DF6339">
        <w:tc>
          <w:tcPr>
            <w:tcW w:w="468" w:type="dxa"/>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Pr>
          <w:p w:rsidR="00E407BF" w:rsidRPr="00E407BF" w:rsidRDefault="00E407BF" w:rsidP="00E407BF">
            <w:pPr>
              <w:numPr>
                <w:ilvl w:val="0"/>
                <w:numId w:val="3"/>
              </w:numPr>
              <w:tabs>
                <w:tab w:val="left" w:pos="72"/>
                <w:tab w:val="left" w:pos="432"/>
                <w:tab w:val="left" w:pos="1332"/>
              </w:tabs>
              <w:overflowPunct w:val="0"/>
              <w:autoSpaceDE w:val="0"/>
              <w:autoSpaceDN w:val="0"/>
              <w:adjustRightInd w:val="0"/>
              <w:spacing w:before="60" w:after="60" w:line="240" w:lineRule="auto"/>
              <w:ind w:left="432" w:hanging="372"/>
              <w:textAlignment w:val="baseline"/>
              <w:rPr>
                <w:rFonts w:ascii="Arial" w:eastAsia="Times New Roman" w:hAnsi="Arial" w:cs="Arial"/>
                <w:sz w:val="20"/>
                <w:szCs w:val="20"/>
              </w:rPr>
            </w:pPr>
            <w:r w:rsidRPr="00E407BF">
              <w:rPr>
                <w:rFonts w:ascii="Arial" w:eastAsia="Times New Roman" w:hAnsi="Arial" w:cs="Arial"/>
                <w:sz w:val="20"/>
                <w:szCs w:val="20"/>
              </w:rPr>
              <w:t>Engineering or design costs</w:t>
            </w:r>
          </w:p>
        </w:tc>
      </w:tr>
      <w:tr w:rsidR="00E407BF" w:rsidRPr="00E407BF" w:rsidTr="00DF6339">
        <w:tc>
          <w:tcPr>
            <w:tcW w:w="468" w:type="dxa"/>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Pr>
          <w:p w:rsidR="00E407BF" w:rsidRPr="00E407BF" w:rsidRDefault="00E407BF" w:rsidP="00E407BF">
            <w:pPr>
              <w:numPr>
                <w:ilvl w:val="0"/>
                <w:numId w:val="3"/>
              </w:numPr>
              <w:tabs>
                <w:tab w:val="left" w:pos="72"/>
                <w:tab w:val="left" w:pos="432"/>
                <w:tab w:val="left" w:pos="1332"/>
              </w:tabs>
              <w:overflowPunct w:val="0"/>
              <w:autoSpaceDE w:val="0"/>
              <w:autoSpaceDN w:val="0"/>
              <w:adjustRightInd w:val="0"/>
              <w:spacing w:before="60" w:after="60" w:line="240" w:lineRule="auto"/>
              <w:ind w:left="432" w:hanging="372"/>
              <w:textAlignment w:val="baseline"/>
              <w:rPr>
                <w:rFonts w:ascii="Arial" w:eastAsia="Times New Roman" w:hAnsi="Arial" w:cs="Arial"/>
                <w:sz w:val="20"/>
                <w:szCs w:val="20"/>
              </w:rPr>
            </w:pPr>
            <w:r w:rsidRPr="00E407BF">
              <w:rPr>
                <w:rFonts w:ascii="Arial" w:eastAsia="Times New Roman" w:hAnsi="Arial" w:cs="Arial"/>
                <w:sz w:val="20"/>
                <w:szCs w:val="20"/>
              </w:rPr>
              <w:t>Technical assistance and training</w:t>
            </w:r>
          </w:p>
        </w:tc>
      </w:tr>
      <w:tr w:rsidR="00E407BF" w:rsidRPr="00E407BF" w:rsidTr="00DF6339">
        <w:tc>
          <w:tcPr>
            <w:tcW w:w="468" w:type="dxa"/>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Pr>
          <w:p w:rsidR="00E407BF" w:rsidRPr="00E407BF" w:rsidRDefault="00E407BF" w:rsidP="00E407BF">
            <w:pPr>
              <w:numPr>
                <w:ilvl w:val="0"/>
                <w:numId w:val="3"/>
              </w:numPr>
              <w:tabs>
                <w:tab w:val="left" w:pos="72"/>
                <w:tab w:val="left" w:pos="432"/>
                <w:tab w:val="left" w:pos="612"/>
                <w:tab w:val="left" w:pos="1332"/>
              </w:tabs>
              <w:overflowPunct w:val="0"/>
              <w:autoSpaceDE w:val="0"/>
              <w:autoSpaceDN w:val="0"/>
              <w:adjustRightInd w:val="0"/>
              <w:spacing w:before="60" w:after="0" w:line="240" w:lineRule="auto"/>
              <w:ind w:left="432" w:hanging="372"/>
              <w:textAlignment w:val="baseline"/>
              <w:rPr>
                <w:rFonts w:ascii="Arial" w:eastAsia="Times New Roman" w:hAnsi="Arial" w:cs="Arial"/>
                <w:sz w:val="20"/>
                <w:szCs w:val="20"/>
              </w:rPr>
            </w:pPr>
            <w:r w:rsidRPr="00E407BF">
              <w:rPr>
                <w:rFonts w:ascii="Arial" w:eastAsia="Times New Roman" w:hAnsi="Arial" w:cs="Arial"/>
                <w:sz w:val="20"/>
                <w:szCs w:val="20"/>
              </w:rPr>
              <w:t>Temporary or permanent improvements that do not alter environmental conditions and are limited to activities to protect, repair or arrest the effects of disasters or imminent threats to public safety, including those resulting from physical deterioration.</w:t>
            </w:r>
          </w:p>
        </w:tc>
      </w:tr>
      <w:tr w:rsidR="00E407BF" w:rsidRPr="00E407BF" w:rsidTr="00DF6339">
        <w:tc>
          <w:tcPr>
            <w:tcW w:w="468" w:type="dxa"/>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Borders>
              <w:bottom w:val="single" w:sz="4" w:space="0" w:color="auto"/>
            </w:tcBorders>
          </w:tcPr>
          <w:p w:rsidR="00E407BF" w:rsidRPr="00E407BF" w:rsidRDefault="00E407BF" w:rsidP="00E407BF">
            <w:pPr>
              <w:numPr>
                <w:ilvl w:val="0"/>
                <w:numId w:val="3"/>
              </w:numPr>
              <w:tabs>
                <w:tab w:val="left" w:pos="72"/>
                <w:tab w:val="left" w:pos="432"/>
                <w:tab w:val="left" w:pos="1332"/>
              </w:tabs>
              <w:overflowPunct w:val="0"/>
              <w:autoSpaceDE w:val="0"/>
              <w:autoSpaceDN w:val="0"/>
              <w:adjustRightInd w:val="0"/>
              <w:spacing w:before="60" w:after="60" w:line="240" w:lineRule="auto"/>
              <w:ind w:hanging="648"/>
              <w:textAlignment w:val="baseline"/>
              <w:rPr>
                <w:rFonts w:ascii="Arial" w:eastAsia="Times New Roman" w:hAnsi="Arial" w:cs="Arial"/>
                <w:sz w:val="20"/>
                <w:szCs w:val="20"/>
              </w:rPr>
            </w:pPr>
            <w:r w:rsidRPr="00E407BF">
              <w:rPr>
                <w:rFonts w:ascii="Arial" w:eastAsia="Times New Roman" w:hAnsi="Arial" w:cs="Arial"/>
                <w:sz w:val="20"/>
                <w:szCs w:val="20"/>
              </w:rPr>
              <w:t>Payment of principal and interest on loans made or obligations guaranteed by HUD</w:t>
            </w:r>
          </w:p>
        </w:tc>
      </w:tr>
      <w:tr w:rsidR="00E407BF" w:rsidRPr="00E407BF" w:rsidTr="00DF6339">
        <w:tc>
          <w:tcPr>
            <w:tcW w:w="468" w:type="dxa"/>
            <w:tcBorders>
              <w:top w:val="single" w:sz="4" w:space="0" w:color="auto"/>
              <w:left w:val="single" w:sz="4" w:space="0" w:color="auto"/>
              <w:bottom w:val="single" w:sz="4" w:space="0" w:color="auto"/>
              <w:right w:val="single" w:sz="4" w:space="0" w:color="auto"/>
            </w:tcBorders>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E407BF">
              <w:rPr>
                <w:rFonts w:ascii="Times New Roman" w:eastAsia="Times New Roman" w:hAnsi="Times New Roman" w:cs="Times New Roman"/>
                <w:sz w:val="24"/>
                <w:szCs w:val="20"/>
              </w:rPr>
              <w:t>√</w:t>
            </w:r>
          </w:p>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Borders>
              <w:top w:val="single" w:sz="4" w:space="0" w:color="auto"/>
              <w:left w:val="single" w:sz="4" w:space="0" w:color="auto"/>
              <w:bottom w:val="single" w:sz="4" w:space="0" w:color="auto"/>
              <w:right w:val="single" w:sz="4" w:space="0" w:color="auto"/>
            </w:tcBorders>
          </w:tcPr>
          <w:p w:rsidR="00E407BF" w:rsidRPr="00E407BF" w:rsidRDefault="00E407BF" w:rsidP="00E407BF">
            <w:pPr>
              <w:tabs>
                <w:tab w:val="left" w:pos="72"/>
                <w:tab w:val="left" w:pos="432"/>
                <w:tab w:val="left" w:pos="1332"/>
              </w:tabs>
              <w:overflowPunct w:val="0"/>
              <w:autoSpaceDE w:val="0"/>
              <w:autoSpaceDN w:val="0"/>
              <w:adjustRightInd w:val="0"/>
              <w:spacing w:before="60" w:after="60" w:line="240" w:lineRule="auto"/>
              <w:ind w:left="72" w:hanging="18"/>
              <w:textAlignment w:val="baseline"/>
              <w:rPr>
                <w:rFonts w:ascii="Arial" w:eastAsia="Times New Roman" w:hAnsi="Arial" w:cs="Arial"/>
                <w:b/>
                <w:sz w:val="24"/>
                <w:szCs w:val="20"/>
              </w:rPr>
            </w:pPr>
            <w:r w:rsidRPr="00E407BF">
              <w:rPr>
                <w:rFonts w:ascii="Arial" w:eastAsia="Times New Roman" w:hAnsi="Arial" w:cs="Arial"/>
                <w:b/>
                <w:szCs w:val="20"/>
              </w:rPr>
              <w:t xml:space="preserve">The activity falls into the category listed below, which is listed at 24 CFR 58.35(b) as a Categorically Excluded activity not subject to Section 58.5.  </w:t>
            </w:r>
          </w:p>
        </w:tc>
      </w:tr>
      <w:tr w:rsidR="00E407BF" w:rsidRPr="00E407BF" w:rsidTr="00DF6339">
        <w:tc>
          <w:tcPr>
            <w:tcW w:w="468" w:type="dxa"/>
            <w:tcBorders>
              <w:top w:val="single" w:sz="4" w:space="0" w:color="auto"/>
              <w:left w:val="single" w:sz="4" w:space="0" w:color="auto"/>
              <w:bottom w:val="single" w:sz="4" w:space="0" w:color="auto"/>
              <w:right w:val="single" w:sz="4" w:space="0" w:color="auto"/>
            </w:tcBorders>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Borders>
              <w:top w:val="single" w:sz="4" w:space="0" w:color="auto"/>
              <w:left w:val="single" w:sz="4" w:space="0" w:color="auto"/>
              <w:bottom w:val="single" w:sz="4" w:space="0" w:color="auto"/>
              <w:right w:val="single" w:sz="4" w:space="0" w:color="auto"/>
            </w:tcBorders>
          </w:tcPr>
          <w:p w:rsidR="00E407BF" w:rsidRPr="00E407BF" w:rsidRDefault="00E407BF" w:rsidP="00E407BF">
            <w:pPr>
              <w:tabs>
                <w:tab w:val="left" w:pos="72"/>
                <w:tab w:val="left" w:pos="432"/>
                <w:tab w:val="left" w:pos="1332"/>
              </w:tabs>
              <w:overflowPunct w:val="0"/>
              <w:autoSpaceDE w:val="0"/>
              <w:autoSpaceDN w:val="0"/>
              <w:adjustRightInd w:val="0"/>
              <w:spacing w:before="60" w:after="60" w:line="240" w:lineRule="auto"/>
              <w:ind w:left="432" w:hanging="360"/>
              <w:textAlignment w:val="baseline"/>
              <w:rPr>
                <w:rFonts w:ascii="Arial" w:eastAsia="Times New Roman" w:hAnsi="Arial" w:cs="Arial"/>
                <w:sz w:val="20"/>
                <w:szCs w:val="20"/>
              </w:rPr>
            </w:pPr>
            <w:r w:rsidRPr="00E407BF">
              <w:rPr>
                <w:rFonts w:ascii="Arial" w:eastAsia="Times New Roman" w:hAnsi="Arial" w:cs="Arial"/>
                <w:sz w:val="20"/>
                <w:szCs w:val="20"/>
              </w:rPr>
              <w:t>1.</w:t>
            </w:r>
            <w:r w:rsidRPr="00E407BF">
              <w:rPr>
                <w:rFonts w:ascii="Arial" w:eastAsia="Times New Roman" w:hAnsi="Arial" w:cs="Arial"/>
                <w:sz w:val="20"/>
                <w:szCs w:val="20"/>
              </w:rPr>
              <w:tab/>
              <w:t>Tenant-based rental assistance</w:t>
            </w:r>
          </w:p>
        </w:tc>
      </w:tr>
      <w:tr w:rsidR="00E407BF" w:rsidRPr="00E407BF" w:rsidTr="00DF6339">
        <w:tc>
          <w:tcPr>
            <w:tcW w:w="468" w:type="dxa"/>
            <w:tcBorders>
              <w:top w:val="single" w:sz="4" w:space="0" w:color="auto"/>
              <w:left w:val="single" w:sz="4" w:space="0" w:color="auto"/>
              <w:bottom w:val="single" w:sz="4" w:space="0" w:color="auto"/>
              <w:right w:val="single" w:sz="4" w:space="0" w:color="auto"/>
            </w:tcBorders>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Borders>
              <w:top w:val="single" w:sz="4" w:space="0" w:color="auto"/>
              <w:left w:val="single" w:sz="4" w:space="0" w:color="auto"/>
              <w:bottom w:val="single" w:sz="4" w:space="0" w:color="auto"/>
              <w:right w:val="single" w:sz="4" w:space="0" w:color="auto"/>
            </w:tcBorders>
          </w:tcPr>
          <w:p w:rsidR="00E407BF" w:rsidRPr="00E407BF" w:rsidRDefault="00E407BF" w:rsidP="00E407BF">
            <w:pPr>
              <w:tabs>
                <w:tab w:val="left" w:pos="72"/>
                <w:tab w:val="left" w:pos="432"/>
                <w:tab w:val="left" w:pos="1332"/>
              </w:tabs>
              <w:overflowPunct w:val="0"/>
              <w:autoSpaceDE w:val="0"/>
              <w:autoSpaceDN w:val="0"/>
              <w:adjustRightInd w:val="0"/>
              <w:spacing w:before="60" w:after="60" w:line="240" w:lineRule="auto"/>
              <w:ind w:left="432" w:hanging="360"/>
              <w:textAlignment w:val="baseline"/>
              <w:rPr>
                <w:rFonts w:ascii="Arial" w:eastAsia="Times New Roman" w:hAnsi="Arial" w:cs="Arial"/>
                <w:sz w:val="20"/>
                <w:szCs w:val="20"/>
              </w:rPr>
            </w:pPr>
            <w:r w:rsidRPr="00E407BF">
              <w:rPr>
                <w:rFonts w:ascii="Arial" w:eastAsia="Times New Roman" w:hAnsi="Arial" w:cs="Arial"/>
                <w:sz w:val="20"/>
                <w:szCs w:val="20"/>
              </w:rPr>
              <w:t>2.</w:t>
            </w:r>
            <w:r w:rsidRPr="00E407BF">
              <w:rPr>
                <w:rFonts w:ascii="Arial" w:eastAsia="Times New Roman" w:hAnsi="Arial" w:cs="Arial"/>
                <w:sz w:val="20"/>
                <w:szCs w:val="20"/>
              </w:rPr>
              <w:tab/>
              <w:t>Supportive Services (including but not limited to):</w:t>
            </w:r>
          </w:p>
          <w:p w:rsidR="00E407BF" w:rsidRPr="00E407BF" w:rsidRDefault="00E407BF" w:rsidP="00E407BF">
            <w:pPr>
              <w:numPr>
                <w:ilvl w:val="0"/>
                <w:numId w:val="1"/>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Health care</w:t>
            </w:r>
          </w:p>
          <w:p w:rsidR="00E407BF" w:rsidRPr="00E407BF" w:rsidRDefault="00E407BF" w:rsidP="00E407BF">
            <w:pPr>
              <w:numPr>
                <w:ilvl w:val="0"/>
                <w:numId w:val="1"/>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Housing services</w:t>
            </w:r>
          </w:p>
          <w:p w:rsidR="00E407BF" w:rsidRPr="00E407BF" w:rsidRDefault="00E407BF" w:rsidP="00E407BF">
            <w:pPr>
              <w:numPr>
                <w:ilvl w:val="0"/>
                <w:numId w:val="1"/>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Permanent housing placement</w:t>
            </w:r>
          </w:p>
          <w:p w:rsidR="00E407BF" w:rsidRPr="00E407BF" w:rsidRDefault="00E407BF" w:rsidP="00E407BF">
            <w:pPr>
              <w:numPr>
                <w:ilvl w:val="0"/>
                <w:numId w:val="1"/>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Day care</w:t>
            </w:r>
          </w:p>
          <w:p w:rsidR="00E407BF" w:rsidRPr="00E407BF" w:rsidRDefault="00E407BF" w:rsidP="00E407BF">
            <w:pPr>
              <w:numPr>
                <w:ilvl w:val="0"/>
                <w:numId w:val="1"/>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Nutritional services</w:t>
            </w:r>
          </w:p>
          <w:p w:rsidR="00E407BF" w:rsidRPr="00E407BF" w:rsidRDefault="00E407BF" w:rsidP="00E407BF">
            <w:pPr>
              <w:numPr>
                <w:ilvl w:val="0"/>
                <w:numId w:val="1"/>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Short term payments for rent/mortgage/utility costs</w:t>
            </w:r>
          </w:p>
          <w:p w:rsidR="00E407BF" w:rsidRPr="00E407BF" w:rsidRDefault="00E407BF" w:rsidP="00E407BF">
            <w:pPr>
              <w:numPr>
                <w:ilvl w:val="0"/>
                <w:numId w:val="1"/>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Assistance in gaining access to government benefits/services</w:t>
            </w:r>
          </w:p>
        </w:tc>
      </w:tr>
      <w:tr w:rsidR="00E407BF" w:rsidRPr="00E407BF" w:rsidTr="00DF6339">
        <w:trPr>
          <w:cantSplit/>
          <w:trHeight w:val="1152"/>
        </w:trPr>
        <w:tc>
          <w:tcPr>
            <w:tcW w:w="468" w:type="dxa"/>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4968" w:type="dxa"/>
            <w:gridSpan w:val="2"/>
            <w:tcBorders>
              <w:right w:val="nil"/>
            </w:tcBorders>
          </w:tcPr>
          <w:p w:rsidR="00E407BF" w:rsidRPr="00E407BF" w:rsidRDefault="00E407BF" w:rsidP="00E407BF">
            <w:pPr>
              <w:overflowPunct w:val="0"/>
              <w:autoSpaceDE w:val="0"/>
              <w:autoSpaceDN w:val="0"/>
              <w:adjustRightInd w:val="0"/>
              <w:spacing w:after="0" w:line="240" w:lineRule="auto"/>
              <w:ind w:left="432" w:hanging="360"/>
              <w:textAlignment w:val="baseline"/>
              <w:rPr>
                <w:rFonts w:ascii="Arial" w:eastAsia="Times New Roman" w:hAnsi="Arial" w:cs="Arial"/>
                <w:sz w:val="20"/>
                <w:szCs w:val="20"/>
              </w:rPr>
            </w:pPr>
            <w:r w:rsidRPr="00E407BF">
              <w:rPr>
                <w:rFonts w:ascii="Arial" w:eastAsia="Times New Roman" w:hAnsi="Arial" w:cs="Arial"/>
                <w:sz w:val="20"/>
                <w:szCs w:val="20"/>
              </w:rPr>
              <w:t>3.</w:t>
            </w:r>
            <w:r w:rsidRPr="00E407BF">
              <w:rPr>
                <w:rFonts w:ascii="Arial" w:eastAsia="Times New Roman" w:hAnsi="Arial" w:cs="Arial"/>
                <w:sz w:val="20"/>
                <w:szCs w:val="20"/>
              </w:rPr>
              <w:tab/>
              <w:t>Operating Costs:</w:t>
            </w:r>
          </w:p>
          <w:p w:rsidR="00E407BF" w:rsidRPr="00E407BF" w:rsidRDefault="00E407BF" w:rsidP="00E407BF">
            <w:pPr>
              <w:numPr>
                <w:ilvl w:val="0"/>
                <w:numId w:val="5"/>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Maintenance</w:t>
            </w:r>
          </w:p>
          <w:p w:rsidR="00E407BF" w:rsidRPr="00E407BF" w:rsidRDefault="00E407BF" w:rsidP="00E407BF">
            <w:pPr>
              <w:numPr>
                <w:ilvl w:val="0"/>
                <w:numId w:val="5"/>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Security</w:t>
            </w:r>
          </w:p>
          <w:p w:rsidR="00E407BF" w:rsidRPr="00E407BF" w:rsidRDefault="00E407BF" w:rsidP="00E407BF">
            <w:pPr>
              <w:numPr>
                <w:ilvl w:val="0"/>
                <w:numId w:val="5"/>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Operation</w:t>
            </w:r>
          </w:p>
          <w:p w:rsidR="00E407BF" w:rsidRPr="00E407BF" w:rsidRDefault="00E407BF" w:rsidP="00E407BF">
            <w:pPr>
              <w:numPr>
                <w:ilvl w:val="0"/>
                <w:numId w:val="5"/>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Utilities</w:t>
            </w:r>
          </w:p>
        </w:tc>
        <w:tc>
          <w:tcPr>
            <w:tcW w:w="4572" w:type="dxa"/>
            <w:tcBorders>
              <w:left w:val="nil"/>
            </w:tcBorders>
          </w:tcPr>
          <w:p w:rsidR="00E407BF" w:rsidRPr="00E407BF" w:rsidRDefault="00E407BF" w:rsidP="00E407BF">
            <w:pPr>
              <w:overflowPunct w:val="0"/>
              <w:autoSpaceDE w:val="0"/>
              <w:autoSpaceDN w:val="0"/>
              <w:adjustRightInd w:val="0"/>
              <w:spacing w:after="0" w:line="240" w:lineRule="auto"/>
              <w:ind w:left="144"/>
              <w:textAlignment w:val="baseline"/>
              <w:rPr>
                <w:rFonts w:ascii="Arial" w:eastAsia="Times New Roman" w:hAnsi="Arial" w:cs="Arial"/>
                <w:sz w:val="20"/>
                <w:szCs w:val="20"/>
              </w:rPr>
            </w:pPr>
          </w:p>
          <w:p w:rsidR="00E407BF" w:rsidRPr="00E407BF" w:rsidRDefault="00E407BF" w:rsidP="00E407BF">
            <w:pPr>
              <w:numPr>
                <w:ilvl w:val="0"/>
                <w:numId w:val="5"/>
              </w:numPr>
              <w:overflowPunct w:val="0"/>
              <w:autoSpaceDE w:val="0"/>
              <w:autoSpaceDN w:val="0"/>
              <w:adjustRightInd w:val="0"/>
              <w:spacing w:after="0" w:line="240" w:lineRule="auto"/>
              <w:ind w:left="504"/>
              <w:textAlignment w:val="baseline"/>
              <w:rPr>
                <w:rFonts w:ascii="Arial" w:eastAsia="Times New Roman" w:hAnsi="Arial" w:cs="Arial"/>
                <w:sz w:val="20"/>
                <w:szCs w:val="20"/>
              </w:rPr>
            </w:pPr>
            <w:r w:rsidRPr="00E407BF">
              <w:rPr>
                <w:rFonts w:ascii="Arial" w:eastAsia="Times New Roman" w:hAnsi="Arial" w:cs="Arial"/>
                <w:sz w:val="20"/>
                <w:szCs w:val="20"/>
              </w:rPr>
              <w:t>Furnishings</w:t>
            </w:r>
          </w:p>
          <w:p w:rsidR="00E407BF" w:rsidRPr="00E407BF" w:rsidRDefault="00E407BF" w:rsidP="00E407BF">
            <w:pPr>
              <w:numPr>
                <w:ilvl w:val="0"/>
                <w:numId w:val="5"/>
              </w:numPr>
              <w:overflowPunct w:val="0"/>
              <w:autoSpaceDE w:val="0"/>
              <w:autoSpaceDN w:val="0"/>
              <w:adjustRightInd w:val="0"/>
              <w:spacing w:after="0" w:line="240" w:lineRule="auto"/>
              <w:ind w:left="504"/>
              <w:textAlignment w:val="baseline"/>
              <w:rPr>
                <w:rFonts w:ascii="Arial" w:eastAsia="Times New Roman" w:hAnsi="Arial" w:cs="Arial"/>
                <w:sz w:val="20"/>
                <w:szCs w:val="20"/>
              </w:rPr>
            </w:pPr>
            <w:r w:rsidRPr="00E407BF">
              <w:rPr>
                <w:rFonts w:ascii="Arial" w:eastAsia="Times New Roman" w:hAnsi="Arial" w:cs="Arial"/>
                <w:sz w:val="20"/>
                <w:szCs w:val="20"/>
              </w:rPr>
              <w:t>Equipment</w:t>
            </w:r>
          </w:p>
          <w:p w:rsidR="00E407BF" w:rsidRPr="00E407BF" w:rsidRDefault="00E407BF" w:rsidP="00E407BF">
            <w:pPr>
              <w:numPr>
                <w:ilvl w:val="0"/>
                <w:numId w:val="5"/>
              </w:numPr>
              <w:overflowPunct w:val="0"/>
              <w:autoSpaceDE w:val="0"/>
              <w:autoSpaceDN w:val="0"/>
              <w:adjustRightInd w:val="0"/>
              <w:spacing w:after="0" w:line="240" w:lineRule="auto"/>
              <w:ind w:left="504"/>
              <w:textAlignment w:val="baseline"/>
              <w:rPr>
                <w:rFonts w:ascii="Arial" w:eastAsia="Times New Roman" w:hAnsi="Arial" w:cs="Arial"/>
                <w:sz w:val="20"/>
                <w:szCs w:val="20"/>
              </w:rPr>
            </w:pPr>
            <w:r w:rsidRPr="00E407BF">
              <w:rPr>
                <w:rFonts w:ascii="Arial" w:eastAsia="Times New Roman" w:hAnsi="Arial" w:cs="Arial"/>
                <w:sz w:val="20"/>
                <w:szCs w:val="20"/>
              </w:rPr>
              <w:t>Supplies</w:t>
            </w:r>
          </w:p>
          <w:p w:rsidR="00E407BF" w:rsidRPr="00E407BF" w:rsidRDefault="00E407BF" w:rsidP="00E407BF">
            <w:pPr>
              <w:numPr>
                <w:ilvl w:val="0"/>
                <w:numId w:val="5"/>
              </w:numPr>
              <w:overflowPunct w:val="0"/>
              <w:autoSpaceDE w:val="0"/>
              <w:autoSpaceDN w:val="0"/>
              <w:adjustRightInd w:val="0"/>
              <w:spacing w:after="0" w:line="240" w:lineRule="auto"/>
              <w:ind w:left="504"/>
              <w:textAlignment w:val="baseline"/>
              <w:rPr>
                <w:rFonts w:ascii="Arial" w:eastAsia="Times New Roman" w:hAnsi="Arial" w:cs="Arial"/>
                <w:sz w:val="20"/>
                <w:szCs w:val="20"/>
              </w:rPr>
            </w:pPr>
            <w:r w:rsidRPr="00E407BF">
              <w:rPr>
                <w:rFonts w:ascii="Arial" w:eastAsia="Times New Roman" w:hAnsi="Arial" w:cs="Arial"/>
                <w:sz w:val="20"/>
                <w:szCs w:val="20"/>
              </w:rPr>
              <w:t>Staff training and recruitment</w:t>
            </w:r>
          </w:p>
        </w:tc>
      </w:tr>
      <w:tr w:rsidR="00E407BF" w:rsidRPr="00E407BF" w:rsidTr="00DF6339">
        <w:trPr>
          <w:cantSplit/>
        </w:trPr>
        <w:tc>
          <w:tcPr>
            <w:tcW w:w="468" w:type="dxa"/>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Pr>
          <w:p w:rsidR="00E407BF" w:rsidRPr="00E407BF" w:rsidRDefault="00E407BF" w:rsidP="00E407BF">
            <w:pPr>
              <w:overflowPunct w:val="0"/>
              <w:autoSpaceDE w:val="0"/>
              <w:autoSpaceDN w:val="0"/>
              <w:adjustRightInd w:val="0"/>
              <w:spacing w:after="0" w:line="240" w:lineRule="auto"/>
              <w:ind w:left="432" w:hanging="360"/>
              <w:textAlignment w:val="baseline"/>
              <w:rPr>
                <w:rFonts w:ascii="Arial" w:eastAsia="Times New Roman" w:hAnsi="Arial" w:cs="Arial"/>
                <w:sz w:val="20"/>
                <w:szCs w:val="20"/>
              </w:rPr>
            </w:pPr>
            <w:r w:rsidRPr="00E407BF">
              <w:rPr>
                <w:rFonts w:ascii="Arial" w:eastAsia="Times New Roman" w:hAnsi="Arial" w:cs="Arial"/>
                <w:sz w:val="20"/>
                <w:szCs w:val="20"/>
              </w:rPr>
              <w:t>4.</w:t>
            </w:r>
            <w:r w:rsidRPr="00E407BF">
              <w:rPr>
                <w:rFonts w:ascii="Arial" w:eastAsia="Times New Roman" w:hAnsi="Arial" w:cs="Arial"/>
                <w:sz w:val="20"/>
                <w:szCs w:val="20"/>
              </w:rPr>
              <w:tab/>
              <w:t>Economic Development Activities:</w:t>
            </w:r>
          </w:p>
          <w:p w:rsidR="00E407BF" w:rsidRPr="00E407BF" w:rsidRDefault="00E407BF" w:rsidP="00E407BF">
            <w:pPr>
              <w:numPr>
                <w:ilvl w:val="0"/>
                <w:numId w:val="6"/>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Equipment purchase</w:t>
            </w:r>
          </w:p>
          <w:p w:rsidR="00E407BF" w:rsidRPr="00E407BF" w:rsidRDefault="00E407BF" w:rsidP="00E407BF">
            <w:pPr>
              <w:numPr>
                <w:ilvl w:val="0"/>
                <w:numId w:val="6"/>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Inventory financing</w:t>
            </w:r>
          </w:p>
          <w:p w:rsidR="00E407BF" w:rsidRPr="00E407BF" w:rsidRDefault="00E407BF" w:rsidP="00E407BF">
            <w:pPr>
              <w:numPr>
                <w:ilvl w:val="0"/>
                <w:numId w:val="6"/>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Interest subsidy</w:t>
            </w:r>
          </w:p>
          <w:p w:rsidR="00E407BF" w:rsidRPr="00E407BF" w:rsidRDefault="00E407BF" w:rsidP="00E407BF">
            <w:pPr>
              <w:numPr>
                <w:ilvl w:val="0"/>
                <w:numId w:val="6"/>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Operating costs</w:t>
            </w:r>
          </w:p>
          <w:p w:rsidR="00E407BF" w:rsidRPr="00E407BF" w:rsidRDefault="00E407BF" w:rsidP="00E407BF">
            <w:pPr>
              <w:numPr>
                <w:ilvl w:val="0"/>
                <w:numId w:val="6"/>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Other expenses not associated with construction or expansion</w:t>
            </w:r>
          </w:p>
        </w:tc>
      </w:tr>
      <w:tr w:rsidR="00E407BF" w:rsidRPr="00E407BF" w:rsidTr="00DF6339">
        <w:trPr>
          <w:cantSplit/>
        </w:trPr>
        <w:tc>
          <w:tcPr>
            <w:tcW w:w="468" w:type="dxa"/>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Pr>
          <w:p w:rsidR="00E407BF" w:rsidRPr="00E407BF" w:rsidRDefault="00E407BF" w:rsidP="00E407BF">
            <w:pPr>
              <w:overflowPunct w:val="0"/>
              <w:autoSpaceDE w:val="0"/>
              <w:autoSpaceDN w:val="0"/>
              <w:adjustRightInd w:val="0"/>
              <w:spacing w:after="0" w:line="240" w:lineRule="auto"/>
              <w:ind w:left="432" w:hanging="360"/>
              <w:textAlignment w:val="baseline"/>
              <w:rPr>
                <w:rFonts w:ascii="Arial" w:eastAsia="Times New Roman" w:hAnsi="Arial" w:cs="Arial"/>
                <w:sz w:val="20"/>
                <w:szCs w:val="20"/>
              </w:rPr>
            </w:pPr>
            <w:r w:rsidRPr="00E407BF">
              <w:rPr>
                <w:rFonts w:ascii="Arial" w:eastAsia="Times New Roman" w:hAnsi="Arial" w:cs="Arial"/>
                <w:sz w:val="20"/>
                <w:szCs w:val="20"/>
              </w:rPr>
              <w:t>5.</w:t>
            </w:r>
            <w:r w:rsidRPr="00E407BF">
              <w:rPr>
                <w:rFonts w:ascii="Arial" w:eastAsia="Times New Roman" w:hAnsi="Arial" w:cs="Arial"/>
                <w:sz w:val="20"/>
                <w:szCs w:val="20"/>
              </w:rPr>
              <w:tab/>
              <w:t>Activities to assist homeownership of existing or dwelling units under construction not assisted with Federal funds:</w:t>
            </w:r>
          </w:p>
          <w:p w:rsidR="00E407BF" w:rsidRPr="00E407BF" w:rsidRDefault="00E407BF" w:rsidP="00E407BF">
            <w:pPr>
              <w:numPr>
                <w:ilvl w:val="0"/>
                <w:numId w:val="7"/>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Closing costs and down payment assistance to homebuyers</w:t>
            </w:r>
          </w:p>
          <w:p w:rsidR="00E407BF" w:rsidRPr="00E407BF" w:rsidRDefault="00E407BF" w:rsidP="00E407BF">
            <w:pPr>
              <w:numPr>
                <w:ilvl w:val="0"/>
                <w:numId w:val="7"/>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Interest buy downs or other actions resulting in transfer of title</w:t>
            </w:r>
          </w:p>
        </w:tc>
      </w:tr>
      <w:tr w:rsidR="00E407BF" w:rsidRPr="00E407BF" w:rsidTr="00DF6339">
        <w:trPr>
          <w:cantSplit/>
        </w:trPr>
        <w:tc>
          <w:tcPr>
            <w:tcW w:w="468" w:type="dxa"/>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Pr>
          <w:p w:rsidR="00E407BF" w:rsidRPr="00E407BF" w:rsidRDefault="00E407BF" w:rsidP="00E407BF">
            <w:pPr>
              <w:overflowPunct w:val="0"/>
              <w:autoSpaceDE w:val="0"/>
              <w:autoSpaceDN w:val="0"/>
              <w:adjustRightInd w:val="0"/>
              <w:spacing w:after="0" w:line="240" w:lineRule="auto"/>
              <w:ind w:left="432" w:hanging="360"/>
              <w:textAlignment w:val="baseline"/>
              <w:rPr>
                <w:rFonts w:ascii="Arial" w:eastAsia="Times New Roman" w:hAnsi="Arial" w:cs="Arial"/>
                <w:sz w:val="20"/>
                <w:szCs w:val="20"/>
              </w:rPr>
            </w:pPr>
            <w:r w:rsidRPr="00E407BF">
              <w:rPr>
                <w:rFonts w:ascii="Arial" w:eastAsia="Times New Roman" w:hAnsi="Arial" w:cs="Arial"/>
                <w:sz w:val="20"/>
                <w:szCs w:val="20"/>
              </w:rPr>
              <w:t>6.</w:t>
            </w:r>
            <w:r w:rsidRPr="00E407BF">
              <w:rPr>
                <w:rFonts w:ascii="Arial" w:eastAsia="Times New Roman" w:hAnsi="Arial" w:cs="Arial"/>
                <w:sz w:val="20"/>
                <w:szCs w:val="20"/>
              </w:rPr>
              <w:tab/>
              <w:t>Affordable housing pre-development costs</w:t>
            </w:r>
          </w:p>
          <w:p w:rsidR="00E407BF" w:rsidRPr="00E407BF" w:rsidRDefault="00E407BF" w:rsidP="00E407BF">
            <w:pPr>
              <w:numPr>
                <w:ilvl w:val="0"/>
                <w:numId w:val="8"/>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Legal consulting</w:t>
            </w:r>
          </w:p>
          <w:p w:rsidR="00E407BF" w:rsidRPr="00E407BF" w:rsidRDefault="00E407BF" w:rsidP="00E407BF">
            <w:pPr>
              <w:numPr>
                <w:ilvl w:val="0"/>
                <w:numId w:val="8"/>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Developer and other site-option costs</w:t>
            </w:r>
          </w:p>
          <w:p w:rsidR="00E407BF" w:rsidRPr="00E407BF" w:rsidRDefault="00E407BF" w:rsidP="00E407BF">
            <w:pPr>
              <w:numPr>
                <w:ilvl w:val="0"/>
                <w:numId w:val="8"/>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Project financing</w:t>
            </w:r>
          </w:p>
          <w:p w:rsidR="00E407BF" w:rsidRPr="00E407BF" w:rsidRDefault="00E407BF" w:rsidP="00E407BF">
            <w:pPr>
              <w:numPr>
                <w:ilvl w:val="0"/>
                <w:numId w:val="8"/>
              </w:numPr>
              <w:overflowPunct w:val="0"/>
              <w:autoSpaceDE w:val="0"/>
              <w:autoSpaceDN w:val="0"/>
              <w:adjustRightInd w:val="0"/>
              <w:spacing w:after="0" w:line="240" w:lineRule="auto"/>
              <w:ind w:left="792"/>
              <w:textAlignment w:val="baseline"/>
              <w:rPr>
                <w:rFonts w:ascii="Arial" w:eastAsia="Times New Roman" w:hAnsi="Arial" w:cs="Arial"/>
                <w:sz w:val="20"/>
                <w:szCs w:val="20"/>
              </w:rPr>
            </w:pPr>
            <w:r w:rsidRPr="00E407BF">
              <w:rPr>
                <w:rFonts w:ascii="Arial" w:eastAsia="Times New Roman" w:hAnsi="Arial" w:cs="Arial"/>
                <w:sz w:val="20"/>
                <w:szCs w:val="20"/>
              </w:rPr>
              <w:t>Administrative costs for loan commitments, zoning approvals, and other activities which don’t have a physical impact</w:t>
            </w:r>
          </w:p>
        </w:tc>
      </w:tr>
      <w:tr w:rsidR="00E407BF" w:rsidRPr="00E407BF" w:rsidTr="00DF6339">
        <w:trPr>
          <w:cantSplit/>
        </w:trPr>
        <w:tc>
          <w:tcPr>
            <w:tcW w:w="468" w:type="dxa"/>
          </w:tcPr>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540" w:type="dxa"/>
            <w:gridSpan w:val="3"/>
          </w:tcPr>
          <w:p w:rsidR="00E407BF" w:rsidRPr="00E407BF" w:rsidRDefault="00E407BF" w:rsidP="00E407BF">
            <w:pPr>
              <w:overflowPunct w:val="0"/>
              <w:autoSpaceDE w:val="0"/>
              <w:autoSpaceDN w:val="0"/>
              <w:adjustRightInd w:val="0"/>
              <w:spacing w:after="0" w:line="240" w:lineRule="auto"/>
              <w:ind w:left="432" w:hanging="360"/>
              <w:textAlignment w:val="baseline"/>
              <w:rPr>
                <w:rFonts w:ascii="Arial" w:eastAsia="Times New Roman" w:hAnsi="Arial" w:cs="Arial"/>
                <w:sz w:val="20"/>
                <w:szCs w:val="20"/>
              </w:rPr>
            </w:pPr>
            <w:r w:rsidRPr="00E407BF">
              <w:rPr>
                <w:rFonts w:ascii="Arial" w:eastAsia="Times New Roman" w:hAnsi="Arial" w:cs="Arial"/>
                <w:sz w:val="20"/>
                <w:szCs w:val="20"/>
              </w:rPr>
              <w:t>7.</w:t>
            </w:r>
            <w:r w:rsidRPr="00E407BF">
              <w:rPr>
                <w:rFonts w:ascii="Arial" w:eastAsia="Times New Roman" w:hAnsi="Arial" w:cs="Arial"/>
                <w:sz w:val="20"/>
                <w:szCs w:val="20"/>
              </w:rPr>
              <w:tab/>
              <w:t xml:space="preserve">Approval of supplemental assistance (including insurance or guarantee) to a project previously approved under Part 58, </w:t>
            </w:r>
            <w:proofErr w:type="gramStart"/>
            <w:r w:rsidRPr="00E407BF">
              <w:rPr>
                <w:rFonts w:ascii="Arial" w:eastAsia="Times New Roman" w:hAnsi="Arial" w:cs="Arial"/>
                <w:sz w:val="20"/>
                <w:szCs w:val="20"/>
              </w:rPr>
              <w:t>if :the</w:t>
            </w:r>
            <w:proofErr w:type="gramEnd"/>
            <w:r w:rsidRPr="00E407BF">
              <w:rPr>
                <w:rFonts w:ascii="Arial" w:eastAsia="Times New Roman" w:hAnsi="Arial" w:cs="Arial"/>
                <w:sz w:val="20"/>
                <w:szCs w:val="20"/>
              </w:rPr>
              <w:t xml:space="preserve"> same responsible entity conducted the environmental review on the original project and re-evaluation of the environmental findings is not required under Section 58.47</w:t>
            </w:r>
          </w:p>
        </w:tc>
      </w:tr>
    </w:tbl>
    <w:p w:rsidR="00E407BF" w:rsidRPr="00E407BF" w:rsidRDefault="00E407BF" w:rsidP="00E407BF">
      <w:pPr>
        <w:overflowPunct w:val="0"/>
        <w:autoSpaceDE w:val="0"/>
        <w:autoSpaceDN w:val="0"/>
        <w:adjustRightInd w:val="0"/>
        <w:spacing w:after="0" w:line="240" w:lineRule="auto"/>
        <w:textAlignment w:val="baseline"/>
        <w:rPr>
          <w:rFonts w:ascii="New York" w:eastAsia="Times New Roman" w:hAnsi="New York" w:cs="Times New Roman"/>
          <w:b/>
          <w:sz w:val="28"/>
          <w:szCs w:val="20"/>
        </w:rPr>
      </w:pPr>
    </w:p>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rPr>
      </w:pPr>
    </w:p>
    <w:p w:rsidR="00E407BF" w:rsidRPr="00E407BF" w:rsidRDefault="00E407BF" w:rsidP="00E407BF">
      <w:pPr>
        <w:overflowPunct w:val="0"/>
        <w:autoSpaceDE w:val="0"/>
        <w:autoSpaceDN w:val="0"/>
        <w:adjustRightInd w:val="0"/>
        <w:spacing w:after="0" w:line="240" w:lineRule="auto"/>
        <w:textAlignment w:val="baseline"/>
        <w:rPr>
          <w:rFonts w:ascii="Arial" w:eastAsia="Times New Roman" w:hAnsi="Arial" w:cs="Arial"/>
          <w:b/>
          <w:sz w:val="28"/>
          <w:szCs w:val="20"/>
        </w:rPr>
      </w:pPr>
      <w:r w:rsidRPr="00E407BF">
        <w:rPr>
          <w:rFonts w:ascii="Arial" w:eastAsia="Times New Roman" w:hAnsi="Arial" w:cs="Arial"/>
          <w:b/>
          <w:sz w:val="28"/>
          <w:szCs w:val="20"/>
        </w:rPr>
        <w:t xml:space="preserve">Compliance Checklist for the “Other Requirements” in 24 CFR 58.6 </w:t>
      </w:r>
    </w:p>
    <w:p w:rsidR="00E407BF" w:rsidRPr="00E407BF" w:rsidRDefault="00E407BF" w:rsidP="00E407B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E407BF" w:rsidRPr="00E407BF" w:rsidRDefault="00E407BF" w:rsidP="00E407BF">
      <w:pPr>
        <w:overflowPunct w:val="0"/>
        <w:autoSpaceDE w:val="0"/>
        <w:autoSpaceDN w:val="0"/>
        <w:adjustRightInd w:val="0"/>
        <w:spacing w:after="60" w:line="240" w:lineRule="auto"/>
        <w:textAlignment w:val="baseline"/>
        <w:rPr>
          <w:rFonts w:ascii="Arial" w:eastAsia="Times New Roman" w:hAnsi="Arial" w:cs="Arial"/>
          <w:szCs w:val="20"/>
        </w:rPr>
      </w:pPr>
      <w:r w:rsidRPr="00E407BF">
        <w:rPr>
          <w:rFonts w:ascii="Arial" w:eastAsia="Times New Roman" w:hAnsi="Arial" w:cs="Arial"/>
          <w:b/>
          <w:bCs/>
          <w:szCs w:val="20"/>
        </w:rPr>
        <w:t>Section 1.  Flood Disaster Protection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2"/>
        <w:gridCol w:w="1813"/>
        <w:gridCol w:w="2235"/>
      </w:tblGrid>
      <w:tr w:rsidR="00E407BF" w:rsidRPr="00E407BF" w:rsidTr="00DF6339">
        <w:trPr>
          <w:cantSplit/>
        </w:trPr>
        <w:tc>
          <w:tcPr>
            <w:tcW w:w="5688" w:type="dxa"/>
          </w:tcPr>
          <w:p w:rsidR="00E407BF" w:rsidRPr="00E407BF" w:rsidRDefault="00E407BF" w:rsidP="00E407BF">
            <w:pPr>
              <w:overflowPunct w:val="0"/>
              <w:autoSpaceDE w:val="0"/>
              <w:autoSpaceDN w:val="0"/>
              <w:adjustRightInd w:val="0"/>
              <w:spacing w:before="60" w:after="0" w:line="240" w:lineRule="auto"/>
              <w:textAlignment w:val="baseline"/>
              <w:rPr>
                <w:rFonts w:ascii="Arial" w:eastAsia="Times New Roman" w:hAnsi="Arial" w:cs="Arial"/>
                <w:sz w:val="21"/>
                <w:szCs w:val="21"/>
              </w:rPr>
            </w:pPr>
            <w:r w:rsidRPr="00E407BF">
              <w:rPr>
                <w:rFonts w:ascii="Arial" w:eastAsia="Times New Roman" w:hAnsi="Arial" w:cs="Arial"/>
                <w:sz w:val="21"/>
                <w:szCs w:val="21"/>
              </w:rPr>
              <w:t>Are funds for acquisition (including equipment) or construction (including repair and rehabilitation) purposes?</w:t>
            </w:r>
          </w:p>
        </w:tc>
        <w:tc>
          <w:tcPr>
            <w:tcW w:w="1980" w:type="dxa"/>
            <w:vAlign w:val="center"/>
          </w:tcPr>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Yes</w:t>
            </w:r>
          </w:p>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Continue</w:t>
            </w:r>
          </w:p>
        </w:tc>
        <w:tc>
          <w:tcPr>
            <w:tcW w:w="2520" w:type="dxa"/>
            <w:vAlign w:val="center"/>
          </w:tcPr>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No</w:t>
            </w:r>
          </w:p>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Proceed to Section 2-Act does not apply</w:t>
            </w:r>
          </w:p>
        </w:tc>
      </w:tr>
      <w:tr w:rsidR="00E407BF" w:rsidRPr="00E407BF" w:rsidTr="00DF6339">
        <w:trPr>
          <w:cantSplit/>
        </w:trPr>
        <w:tc>
          <w:tcPr>
            <w:tcW w:w="5688" w:type="dxa"/>
          </w:tcPr>
          <w:p w:rsidR="00E407BF" w:rsidRPr="00E407BF" w:rsidRDefault="00E407BF" w:rsidP="00E407BF">
            <w:pPr>
              <w:overflowPunct w:val="0"/>
              <w:autoSpaceDE w:val="0"/>
              <w:autoSpaceDN w:val="0"/>
              <w:adjustRightInd w:val="0"/>
              <w:spacing w:after="0" w:line="240" w:lineRule="auto"/>
              <w:textAlignment w:val="baseline"/>
              <w:rPr>
                <w:rFonts w:ascii="Arial" w:eastAsia="Times New Roman" w:hAnsi="Arial" w:cs="Arial"/>
                <w:b/>
                <w:sz w:val="21"/>
                <w:szCs w:val="21"/>
              </w:rPr>
            </w:pPr>
            <w:r w:rsidRPr="00E407BF">
              <w:rPr>
                <w:rFonts w:ascii="Arial" w:eastAsia="Times New Roman" w:hAnsi="Arial" w:cs="Arial"/>
                <w:b/>
                <w:sz w:val="21"/>
                <w:szCs w:val="21"/>
              </w:rPr>
              <w:t>Is the Activity in an area identified as having special flood hazards (</w:t>
            </w:r>
            <w:proofErr w:type="spellStart"/>
            <w:r w:rsidRPr="00E407BF">
              <w:rPr>
                <w:rFonts w:ascii="Arial" w:eastAsia="Times New Roman" w:hAnsi="Arial" w:cs="Arial"/>
                <w:b/>
                <w:sz w:val="21"/>
                <w:szCs w:val="21"/>
              </w:rPr>
              <w:t>SFHA</w:t>
            </w:r>
            <w:proofErr w:type="spellEnd"/>
            <w:r w:rsidRPr="00E407BF">
              <w:rPr>
                <w:rFonts w:ascii="Arial" w:eastAsia="Times New Roman" w:hAnsi="Arial" w:cs="Arial"/>
                <w:b/>
                <w:sz w:val="21"/>
                <w:szCs w:val="21"/>
              </w:rPr>
              <w:t>)?</w:t>
            </w:r>
          </w:p>
          <w:p w:rsidR="00E407BF" w:rsidRPr="00E407BF" w:rsidRDefault="00E407BF" w:rsidP="00E407BF">
            <w:pPr>
              <w:overflowPunct w:val="0"/>
              <w:autoSpaceDE w:val="0"/>
              <w:autoSpaceDN w:val="0"/>
              <w:adjustRightInd w:val="0"/>
              <w:spacing w:after="0" w:line="240" w:lineRule="auto"/>
              <w:textAlignment w:val="baseline"/>
              <w:rPr>
                <w:rFonts w:ascii="Arial" w:eastAsia="Times New Roman" w:hAnsi="Arial" w:cs="Arial"/>
                <w:sz w:val="21"/>
                <w:szCs w:val="21"/>
              </w:rPr>
            </w:pPr>
          </w:p>
          <w:p w:rsidR="00E407BF" w:rsidRPr="00E407BF" w:rsidRDefault="00E407BF" w:rsidP="00E407BF">
            <w:pPr>
              <w:overflowPunct w:val="0"/>
              <w:autoSpaceDE w:val="0"/>
              <w:autoSpaceDN w:val="0"/>
              <w:adjustRightInd w:val="0"/>
              <w:spacing w:after="0" w:line="240" w:lineRule="auto"/>
              <w:textAlignment w:val="baseline"/>
              <w:rPr>
                <w:rFonts w:ascii="Arial" w:eastAsia="Times New Roman" w:hAnsi="Arial" w:cs="Arial"/>
                <w:sz w:val="21"/>
                <w:szCs w:val="21"/>
              </w:rPr>
            </w:pPr>
            <w:r w:rsidRPr="00E407BF">
              <w:rPr>
                <w:rFonts w:ascii="Arial" w:eastAsia="Times New Roman" w:hAnsi="Arial" w:cs="Arial"/>
                <w:sz w:val="21"/>
                <w:szCs w:val="21"/>
              </w:rPr>
              <w:t>Identify FEMA flood map used to make this determination:</w:t>
            </w:r>
          </w:p>
          <w:p w:rsidR="00E407BF" w:rsidRPr="00E407BF" w:rsidRDefault="00E407BF" w:rsidP="00E407BF">
            <w:pPr>
              <w:overflowPunct w:val="0"/>
              <w:autoSpaceDE w:val="0"/>
              <w:autoSpaceDN w:val="0"/>
              <w:adjustRightInd w:val="0"/>
              <w:spacing w:after="0" w:line="240" w:lineRule="auto"/>
              <w:textAlignment w:val="baseline"/>
              <w:rPr>
                <w:rFonts w:ascii="Arial" w:eastAsia="Times New Roman" w:hAnsi="Arial" w:cs="Arial"/>
                <w:sz w:val="21"/>
                <w:szCs w:val="21"/>
              </w:rPr>
            </w:pPr>
            <w:r w:rsidRPr="00E407BF">
              <w:rPr>
                <w:rFonts w:ascii="Arial" w:eastAsia="Times New Roman" w:hAnsi="Arial" w:cs="Arial"/>
                <w:sz w:val="21"/>
                <w:szCs w:val="21"/>
              </w:rPr>
              <w:t>________________________________</w:t>
            </w:r>
          </w:p>
          <w:p w:rsidR="00E407BF" w:rsidRPr="00E407BF" w:rsidRDefault="00E407BF" w:rsidP="00E407BF">
            <w:pPr>
              <w:overflowPunct w:val="0"/>
              <w:autoSpaceDE w:val="0"/>
              <w:autoSpaceDN w:val="0"/>
              <w:adjustRightInd w:val="0"/>
              <w:spacing w:after="0" w:line="240" w:lineRule="auto"/>
              <w:textAlignment w:val="baseline"/>
              <w:rPr>
                <w:rFonts w:ascii="Arial" w:eastAsia="Times New Roman" w:hAnsi="Arial" w:cs="Arial"/>
                <w:sz w:val="21"/>
                <w:szCs w:val="21"/>
              </w:rPr>
            </w:pPr>
            <w:r w:rsidRPr="00E407BF">
              <w:rPr>
                <w:rFonts w:ascii="Arial" w:eastAsia="Times New Roman" w:hAnsi="Arial" w:cs="Arial"/>
                <w:sz w:val="21"/>
                <w:szCs w:val="21"/>
              </w:rPr>
              <w:t>Community Name and Number</w:t>
            </w:r>
          </w:p>
          <w:p w:rsidR="00E407BF" w:rsidRPr="00E407BF" w:rsidRDefault="00E407BF" w:rsidP="00E407BF">
            <w:pPr>
              <w:overflowPunct w:val="0"/>
              <w:autoSpaceDE w:val="0"/>
              <w:autoSpaceDN w:val="0"/>
              <w:adjustRightInd w:val="0"/>
              <w:spacing w:after="0" w:line="240" w:lineRule="auto"/>
              <w:textAlignment w:val="baseline"/>
              <w:rPr>
                <w:rFonts w:ascii="Arial" w:eastAsia="Times New Roman" w:hAnsi="Arial" w:cs="Arial"/>
                <w:sz w:val="21"/>
                <w:szCs w:val="21"/>
              </w:rPr>
            </w:pPr>
            <w:r w:rsidRPr="00E407BF">
              <w:rPr>
                <w:rFonts w:ascii="Arial" w:eastAsia="Times New Roman" w:hAnsi="Arial" w:cs="Arial"/>
                <w:sz w:val="21"/>
                <w:szCs w:val="21"/>
              </w:rPr>
              <w:t>_________________________________</w:t>
            </w:r>
          </w:p>
          <w:p w:rsidR="00E407BF" w:rsidRPr="00E407BF" w:rsidRDefault="00E407BF" w:rsidP="00E407BF">
            <w:pPr>
              <w:overflowPunct w:val="0"/>
              <w:autoSpaceDE w:val="0"/>
              <w:autoSpaceDN w:val="0"/>
              <w:adjustRightInd w:val="0"/>
              <w:spacing w:after="0" w:line="240" w:lineRule="auto"/>
              <w:textAlignment w:val="baseline"/>
              <w:rPr>
                <w:rFonts w:ascii="Arial" w:eastAsia="Times New Roman" w:hAnsi="Arial" w:cs="Arial"/>
                <w:sz w:val="21"/>
                <w:szCs w:val="21"/>
              </w:rPr>
            </w:pPr>
            <w:r w:rsidRPr="00E407BF">
              <w:rPr>
                <w:rFonts w:ascii="Arial" w:eastAsia="Times New Roman" w:hAnsi="Arial" w:cs="Arial"/>
                <w:sz w:val="21"/>
                <w:szCs w:val="21"/>
              </w:rPr>
              <w:t>Map panel number and date</w:t>
            </w:r>
          </w:p>
        </w:tc>
        <w:tc>
          <w:tcPr>
            <w:tcW w:w="1980" w:type="dxa"/>
            <w:vAlign w:val="center"/>
          </w:tcPr>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Yes</w:t>
            </w:r>
          </w:p>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Document and Continue</w:t>
            </w:r>
          </w:p>
        </w:tc>
        <w:tc>
          <w:tcPr>
            <w:tcW w:w="2520" w:type="dxa"/>
            <w:vAlign w:val="center"/>
          </w:tcPr>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No</w:t>
            </w:r>
          </w:p>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Document and Proceed to Section 2-Act does not apply</w:t>
            </w:r>
          </w:p>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p>
        </w:tc>
      </w:tr>
      <w:tr w:rsidR="00E407BF" w:rsidRPr="00E407BF" w:rsidTr="00DF6339">
        <w:trPr>
          <w:cantSplit/>
        </w:trPr>
        <w:tc>
          <w:tcPr>
            <w:tcW w:w="5688" w:type="dxa"/>
          </w:tcPr>
          <w:p w:rsidR="00E407BF" w:rsidRPr="00E407BF" w:rsidRDefault="00E407BF" w:rsidP="00E407BF">
            <w:pPr>
              <w:overflowPunct w:val="0"/>
              <w:autoSpaceDE w:val="0"/>
              <w:autoSpaceDN w:val="0"/>
              <w:adjustRightInd w:val="0"/>
              <w:spacing w:before="60" w:after="0" w:line="240" w:lineRule="auto"/>
              <w:textAlignment w:val="baseline"/>
              <w:rPr>
                <w:rFonts w:ascii="Arial" w:eastAsia="Times New Roman" w:hAnsi="Arial" w:cs="Arial"/>
                <w:sz w:val="21"/>
                <w:szCs w:val="21"/>
              </w:rPr>
            </w:pPr>
            <w:r w:rsidRPr="00E407BF">
              <w:rPr>
                <w:rFonts w:ascii="Arial" w:eastAsia="Times New Roman" w:hAnsi="Arial" w:cs="Arial"/>
                <w:sz w:val="21"/>
                <w:szCs w:val="21"/>
              </w:rPr>
              <w:t>Is the Community participating in the National Insurance Program (or has less than one year passed since FEMA notification of Special Flood Hazards)?</w:t>
            </w:r>
          </w:p>
        </w:tc>
        <w:tc>
          <w:tcPr>
            <w:tcW w:w="1980" w:type="dxa"/>
            <w:vAlign w:val="center"/>
          </w:tcPr>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Yes-Document and follow instructions below.</w:t>
            </w:r>
          </w:p>
        </w:tc>
        <w:tc>
          <w:tcPr>
            <w:tcW w:w="2520" w:type="dxa"/>
            <w:vAlign w:val="center"/>
          </w:tcPr>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No-</w:t>
            </w:r>
            <w:r w:rsidRPr="00E407BF">
              <w:rPr>
                <w:rFonts w:ascii="Arial" w:eastAsia="Times New Roman" w:hAnsi="Arial" w:cs="Arial"/>
                <w:b/>
                <w:bCs/>
                <w:sz w:val="21"/>
                <w:szCs w:val="21"/>
              </w:rPr>
              <w:t>Federal Assistance may not be used for this project.</w:t>
            </w:r>
          </w:p>
        </w:tc>
      </w:tr>
      <w:tr w:rsidR="00E407BF" w:rsidRPr="00E407BF" w:rsidTr="00DF6339">
        <w:trPr>
          <w:cantSplit/>
        </w:trPr>
        <w:tc>
          <w:tcPr>
            <w:tcW w:w="10188" w:type="dxa"/>
            <w:gridSpan w:val="3"/>
          </w:tcPr>
          <w:p w:rsidR="00E407BF" w:rsidRPr="00E407BF" w:rsidRDefault="00E407BF" w:rsidP="00E407BF">
            <w:pPr>
              <w:overflowPunct w:val="0"/>
              <w:autoSpaceDE w:val="0"/>
              <w:autoSpaceDN w:val="0"/>
              <w:adjustRightInd w:val="0"/>
              <w:spacing w:before="60" w:after="0" w:line="240" w:lineRule="auto"/>
              <w:textAlignment w:val="baseline"/>
              <w:rPr>
                <w:rFonts w:ascii="Arial" w:eastAsia="Times New Roman" w:hAnsi="Arial" w:cs="Arial"/>
                <w:sz w:val="21"/>
                <w:szCs w:val="21"/>
              </w:rPr>
            </w:pPr>
            <w:r w:rsidRPr="00E407BF">
              <w:rPr>
                <w:rFonts w:ascii="Arial" w:eastAsia="Times New Roman" w:hAnsi="Arial" w:cs="Arial"/>
                <w:sz w:val="21"/>
                <w:szCs w:val="21"/>
              </w:rPr>
              <w:t>Flood Insurance under the National Flood Insurance Program must be obtained and maintained for the economic life of the project, in the amount of the total project cost.  A copy of the flood insurance policy declaration must be kept on file.</w:t>
            </w:r>
          </w:p>
        </w:tc>
      </w:tr>
    </w:tbl>
    <w:p w:rsidR="00E407BF" w:rsidRPr="00E407BF" w:rsidRDefault="00E407BF" w:rsidP="00E407BF">
      <w:pPr>
        <w:overflowPunct w:val="0"/>
        <w:autoSpaceDE w:val="0"/>
        <w:autoSpaceDN w:val="0"/>
        <w:adjustRightInd w:val="0"/>
        <w:spacing w:after="0" w:line="240" w:lineRule="auto"/>
        <w:jc w:val="center"/>
        <w:textAlignment w:val="baseline"/>
        <w:rPr>
          <w:rFonts w:ascii="New York" w:eastAsia="Times New Roman" w:hAnsi="New York" w:cs="Times New Roman"/>
          <w:b/>
          <w:sz w:val="28"/>
          <w:szCs w:val="20"/>
        </w:rPr>
      </w:pPr>
    </w:p>
    <w:p w:rsidR="00E407BF" w:rsidRPr="00E407BF" w:rsidRDefault="00E407BF" w:rsidP="00E407BF">
      <w:pPr>
        <w:overflowPunct w:val="0"/>
        <w:autoSpaceDE w:val="0"/>
        <w:autoSpaceDN w:val="0"/>
        <w:adjustRightInd w:val="0"/>
        <w:spacing w:after="0" w:line="240" w:lineRule="auto"/>
        <w:jc w:val="center"/>
        <w:textAlignment w:val="baseline"/>
        <w:rPr>
          <w:rFonts w:ascii="New York" w:eastAsia="Times New Roman" w:hAnsi="New York" w:cs="Times New Roman"/>
          <w:b/>
          <w:sz w:val="28"/>
          <w:szCs w:val="20"/>
        </w:rPr>
      </w:pPr>
    </w:p>
    <w:p w:rsidR="00E407BF" w:rsidRPr="00E407BF" w:rsidRDefault="00E407BF" w:rsidP="00E407BF">
      <w:pPr>
        <w:overflowPunct w:val="0"/>
        <w:autoSpaceDE w:val="0"/>
        <w:autoSpaceDN w:val="0"/>
        <w:adjustRightInd w:val="0"/>
        <w:spacing w:after="0" w:line="240" w:lineRule="auto"/>
        <w:jc w:val="center"/>
        <w:textAlignment w:val="baseline"/>
        <w:rPr>
          <w:rFonts w:ascii="New York" w:eastAsia="Times New Roman" w:hAnsi="New York" w:cs="Times New Roman"/>
          <w:b/>
          <w:sz w:val="28"/>
          <w:szCs w:val="20"/>
        </w:rPr>
      </w:pPr>
    </w:p>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E407BF">
        <w:rPr>
          <w:rFonts w:ascii="Arial" w:eastAsia="Times New Roman" w:hAnsi="Arial" w:cs="Arial"/>
          <w:b/>
          <w:szCs w:val="24"/>
        </w:rPr>
        <w:lastRenderedPageBreak/>
        <w:t>Section 2.  Airport Runway Clear Zones (Civil) and Accident Potential Zones (Military)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800"/>
        <w:gridCol w:w="2398"/>
      </w:tblGrid>
      <w:tr w:rsidR="00E407BF" w:rsidRPr="00E407BF" w:rsidTr="00DF6339">
        <w:trPr>
          <w:cantSplit/>
        </w:trPr>
        <w:tc>
          <w:tcPr>
            <w:tcW w:w="5688" w:type="dxa"/>
          </w:tcPr>
          <w:p w:rsidR="00E407BF" w:rsidRPr="00E407BF" w:rsidRDefault="00E407BF" w:rsidP="00E407BF">
            <w:pPr>
              <w:overflowPunct w:val="0"/>
              <w:autoSpaceDE w:val="0"/>
              <w:autoSpaceDN w:val="0"/>
              <w:adjustRightInd w:val="0"/>
              <w:spacing w:before="60" w:after="0" w:line="240" w:lineRule="auto"/>
              <w:textAlignment w:val="baseline"/>
              <w:rPr>
                <w:rFonts w:ascii="Arial" w:eastAsia="Times New Roman" w:hAnsi="Arial" w:cs="Arial"/>
                <w:sz w:val="21"/>
                <w:szCs w:val="21"/>
              </w:rPr>
            </w:pPr>
            <w:r w:rsidRPr="00E407BF">
              <w:rPr>
                <w:rFonts w:ascii="Arial" w:eastAsia="Times New Roman" w:hAnsi="Arial" w:cs="Arial"/>
                <w:sz w:val="21"/>
                <w:szCs w:val="21"/>
              </w:rPr>
              <w:t>Does the project involve HUD assistance, subsidy or insurance for the purchase or sale of an existing property?</w:t>
            </w:r>
          </w:p>
        </w:tc>
        <w:tc>
          <w:tcPr>
            <w:tcW w:w="1800" w:type="dxa"/>
            <w:vAlign w:val="center"/>
          </w:tcPr>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Yes</w:t>
            </w:r>
          </w:p>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Continue</w:t>
            </w:r>
          </w:p>
        </w:tc>
        <w:tc>
          <w:tcPr>
            <w:tcW w:w="2700" w:type="dxa"/>
            <w:vAlign w:val="center"/>
          </w:tcPr>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No—Proceed to Section 3--Regulation does not apply.</w:t>
            </w:r>
          </w:p>
        </w:tc>
      </w:tr>
      <w:tr w:rsidR="00E407BF" w:rsidRPr="00E407BF" w:rsidTr="00DF6339">
        <w:trPr>
          <w:cantSplit/>
        </w:trPr>
        <w:tc>
          <w:tcPr>
            <w:tcW w:w="5688" w:type="dxa"/>
          </w:tcPr>
          <w:p w:rsidR="00E407BF" w:rsidRPr="00E407BF" w:rsidRDefault="00E407BF" w:rsidP="00E407BF">
            <w:pPr>
              <w:overflowPunct w:val="0"/>
              <w:autoSpaceDE w:val="0"/>
              <w:autoSpaceDN w:val="0"/>
              <w:adjustRightInd w:val="0"/>
              <w:spacing w:before="60" w:after="0" w:line="240" w:lineRule="auto"/>
              <w:textAlignment w:val="baseline"/>
              <w:rPr>
                <w:rFonts w:ascii="Arial" w:eastAsia="Times New Roman" w:hAnsi="Arial" w:cs="Arial"/>
                <w:sz w:val="21"/>
                <w:szCs w:val="21"/>
              </w:rPr>
            </w:pPr>
            <w:r w:rsidRPr="00E407BF">
              <w:rPr>
                <w:rFonts w:ascii="Arial" w:eastAsia="Times New Roman" w:hAnsi="Arial" w:cs="Arial"/>
                <w:sz w:val="21"/>
                <w:szCs w:val="21"/>
              </w:rPr>
              <w:t xml:space="preserve">Is the project located within 2,500 feet of a civil airport </w:t>
            </w:r>
            <w:proofErr w:type="gramStart"/>
            <w:r w:rsidRPr="00E407BF">
              <w:rPr>
                <w:rFonts w:ascii="Arial" w:eastAsia="Times New Roman" w:hAnsi="Arial" w:cs="Arial"/>
                <w:sz w:val="21"/>
                <w:szCs w:val="21"/>
              </w:rPr>
              <w:t>or</w:t>
            </w:r>
            <w:proofErr w:type="gramEnd"/>
            <w:r w:rsidRPr="00E407BF">
              <w:rPr>
                <w:rFonts w:ascii="Arial" w:eastAsia="Times New Roman" w:hAnsi="Arial" w:cs="Arial"/>
                <w:sz w:val="21"/>
                <w:szCs w:val="21"/>
              </w:rPr>
              <w:t xml:space="preserve"> </w:t>
            </w:r>
          </w:p>
          <w:p w:rsidR="00E407BF" w:rsidRPr="00E407BF" w:rsidRDefault="00E407BF" w:rsidP="00E407BF">
            <w:pPr>
              <w:overflowPunct w:val="0"/>
              <w:autoSpaceDE w:val="0"/>
              <w:autoSpaceDN w:val="0"/>
              <w:adjustRightInd w:val="0"/>
              <w:spacing w:after="0" w:line="240" w:lineRule="auto"/>
              <w:textAlignment w:val="baseline"/>
              <w:rPr>
                <w:rFonts w:ascii="Arial" w:eastAsia="Times New Roman" w:hAnsi="Arial" w:cs="Arial"/>
                <w:sz w:val="21"/>
                <w:szCs w:val="21"/>
              </w:rPr>
            </w:pPr>
            <w:r w:rsidRPr="00E407BF">
              <w:rPr>
                <w:rFonts w:ascii="Arial" w:eastAsia="Times New Roman" w:hAnsi="Arial" w:cs="Arial"/>
                <w:sz w:val="21"/>
                <w:szCs w:val="21"/>
              </w:rPr>
              <w:t>15,000 feet of a military airfield?</w:t>
            </w:r>
          </w:p>
        </w:tc>
        <w:tc>
          <w:tcPr>
            <w:tcW w:w="1800" w:type="dxa"/>
            <w:vAlign w:val="center"/>
          </w:tcPr>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Yes</w:t>
            </w:r>
          </w:p>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Continue</w:t>
            </w:r>
          </w:p>
        </w:tc>
        <w:tc>
          <w:tcPr>
            <w:tcW w:w="2700" w:type="dxa"/>
            <w:vAlign w:val="center"/>
          </w:tcPr>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No—Document and Proceed to Section 3--Regulation does not apply.</w:t>
            </w:r>
          </w:p>
        </w:tc>
      </w:tr>
      <w:tr w:rsidR="00E407BF" w:rsidRPr="00E407BF" w:rsidTr="00DF6339">
        <w:trPr>
          <w:cantSplit/>
        </w:trPr>
        <w:tc>
          <w:tcPr>
            <w:tcW w:w="5688" w:type="dxa"/>
          </w:tcPr>
          <w:p w:rsidR="00E407BF" w:rsidRPr="00E407BF" w:rsidRDefault="00E407BF" w:rsidP="00E407BF">
            <w:pPr>
              <w:overflowPunct w:val="0"/>
              <w:autoSpaceDE w:val="0"/>
              <w:autoSpaceDN w:val="0"/>
              <w:adjustRightInd w:val="0"/>
              <w:spacing w:before="60" w:after="0" w:line="240" w:lineRule="auto"/>
              <w:textAlignment w:val="baseline"/>
              <w:rPr>
                <w:rFonts w:ascii="Arial" w:eastAsia="Times New Roman" w:hAnsi="Arial" w:cs="Arial"/>
                <w:sz w:val="21"/>
                <w:szCs w:val="21"/>
              </w:rPr>
            </w:pPr>
            <w:r w:rsidRPr="00E407BF">
              <w:rPr>
                <w:rFonts w:ascii="Arial" w:eastAsia="Times New Roman" w:hAnsi="Arial" w:cs="Arial"/>
                <w:sz w:val="21"/>
                <w:szCs w:val="21"/>
              </w:rPr>
              <w:t>Is the project located within an FAA-designated civilian airport Runway Clear Zone (RCA) or Runway Protection Zone, or within the military Airfield Clear Zone (CZ) or Accident Potential Zone/Approach Protection Zone (</w:t>
            </w:r>
            <w:proofErr w:type="spellStart"/>
            <w:r w:rsidRPr="00E407BF">
              <w:rPr>
                <w:rFonts w:ascii="Arial" w:eastAsia="Times New Roman" w:hAnsi="Arial" w:cs="Arial"/>
                <w:sz w:val="21"/>
                <w:szCs w:val="21"/>
              </w:rPr>
              <w:t>APZ</w:t>
            </w:r>
            <w:proofErr w:type="spellEnd"/>
            <w:r w:rsidRPr="00E407BF">
              <w:rPr>
                <w:rFonts w:ascii="Arial" w:eastAsia="Times New Roman" w:hAnsi="Arial" w:cs="Arial"/>
                <w:sz w:val="21"/>
                <w:szCs w:val="21"/>
              </w:rPr>
              <w:t>), based upon information from the airport or military airfield administrator identifying the boundaries of such zones?</w:t>
            </w:r>
          </w:p>
        </w:tc>
        <w:tc>
          <w:tcPr>
            <w:tcW w:w="1800" w:type="dxa"/>
            <w:vAlign w:val="center"/>
          </w:tcPr>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Yes</w:t>
            </w:r>
          </w:p>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Continue</w:t>
            </w:r>
          </w:p>
        </w:tc>
        <w:tc>
          <w:tcPr>
            <w:tcW w:w="2700" w:type="dxa"/>
            <w:vAlign w:val="center"/>
          </w:tcPr>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E407BF">
              <w:rPr>
                <w:rFonts w:ascii="Arial" w:eastAsia="Times New Roman" w:hAnsi="Arial" w:cs="Arial"/>
                <w:sz w:val="21"/>
                <w:szCs w:val="21"/>
              </w:rPr>
              <w:t>No—Document and Proceed to Section 3—regulation does not apply.</w:t>
            </w:r>
          </w:p>
        </w:tc>
      </w:tr>
      <w:tr w:rsidR="00E407BF" w:rsidRPr="00E407BF" w:rsidTr="00DF6339">
        <w:trPr>
          <w:cantSplit/>
        </w:trPr>
        <w:tc>
          <w:tcPr>
            <w:tcW w:w="10188" w:type="dxa"/>
            <w:gridSpan w:val="3"/>
          </w:tcPr>
          <w:p w:rsidR="00E407BF" w:rsidRPr="00E407BF" w:rsidRDefault="00E407BF" w:rsidP="00E407BF">
            <w:pPr>
              <w:overflowPunct w:val="0"/>
              <w:autoSpaceDE w:val="0"/>
              <w:autoSpaceDN w:val="0"/>
              <w:adjustRightInd w:val="0"/>
              <w:spacing w:before="60" w:after="0" w:line="240" w:lineRule="auto"/>
              <w:textAlignment w:val="baseline"/>
              <w:rPr>
                <w:rFonts w:ascii="Arial" w:eastAsia="Times New Roman" w:hAnsi="Arial" w:cs="Arial"/>
                <w:sz w:val="21"/>
                <w:szCs w:val="21"/>
              </w:rPr>
            </w:pPr>
            <w:r w:rsidRPr="00E407BF">
              <w:rPr>
                <w:rFonts w:ascii="Arial" w:eastAsia="Times New Roman" w:hAnsi="Arial" w:cs="Arial"/>
                <w:sz w:val="21"/>
                <w:szCs w:val="21"/>
              </w:rPr>
              <w:t xml:space="preserve">Comply with 24 CFR Part 51, Subpart D. This may include providing a written notice to a prospective buyer or leaser of the potential hazards from airplane accidents and the potential that an airfield operator may wish to purchase the property. Maintain copies of the signed notice.   For properties located in a military clear zone, make and document a determination of whether the use of the property is consistent with DOD guidelines.  Notice Sample: </w:t>
            </w:r>
            <w:hyperlink r:id="rId5" w:history="1">
              <w:r w:rsidRPr="00E407BF">
                <w:rPr>
                  <w:rFonts w:ascii="Arial" w:eastAsia="Times New Roman" w:hAnsi="Arial" w:cs="Arial"/>
                  <w:color w:val="0000FF"/>
                  <w:sz w:val="21"/>
                  <w:szCs w:val="21"/>
                  <w:u w:val="single"/>
                </w:rPr>
                <w:t>http://www.hud.gov/offices/cpd/energyenviron/environment/compliance/qa/airporthazards.pdf</w:t>
              </w:r>
            </w:hyperlink>
            <w:r w:rsidRPr="00E407BF">
              <w:rPr>
                <w:rFonts w:ascii="Arial" w:eastAsia="Times New Roman" w:hAnsi="Arial" w:cs="Arial"/>
                <w:sz w:val="21"/>
                <w:szCs w:val="21"/>
              </w:rPr>
              <w:t>)</w:t>
            </w:r>
          </w:p>
        </w:tc>
      </w:tr>
    </w:tbl>
    <w:p w:rsidR="00E407BF" w:rsidRPr="00E407BF" w:rsidRDefault="00E407BF" w:rsidP="00E407BF">
      <w:pPr>
        <w:overflowPunct w:val="0"/>
        <w:autoSpaceDE w:val="0"/>
        <w:autoSpaceDN w:val="0"/>
        <w:adjustRightInd w:val="0"/>
        <w:spacing w:after="0" w:line="240" w:lineRule="auto"/>
        <w:textAlignment w:val="baseline"/>
        <w:rPr>
          <w:rFonts w:ascii="New York" w:eastAsia="Times New Roman" w:hAnsi="New York" w:cs="Times New Roman"/>
          <w:b/>
          <w:bCs/>
          <w:sz w:val="24"/>
          <w:szCs w:val="20"/>
        </w:rPr>
      </w:pPr>
    </w:p>
    <w:p w:rsidR="00E407BF" w:rsidRPr="00E407BF" w:rsidRDefault="00E407BF" w:rsidP="00E407BF">
      <w:pPr>
        <w:overflowPunct w:val="0"/>
        <w:autoSpaceDE w:val="0"/>
        <w:autoSpaceDN w:val="0"/>
        <w:adjustRightInd w:val="0"/>
        <w:spacing w:after="0" w:line="240" w:lineRule="auto"/>
        <w:textAlignment w:val="baseline"/>
        <w:rPr>
          <w:rFonts w:ascii="Arial" w:eastAsia="Times New Roman" w:hAnsi="Arial" w:cs="Arial"/>
          <w:b/>
          <w:bCs/>
          <w:szCs w:val="24"/>
        </w:rPr>
      </w:pPr>
      <w:r w:rsidRPr="00E407BF">
        <w:rPr>
          <w:rFonts w:ascii="Arial" w:eastAsia="Times New Roman" w:hAnsi="Arial" w:cs="Arial"/>
          <w:b/>
          <w:bCs/>
          <w:szCs w:val="24"/>
        </w:rPr>
        <w:t>Section 3.  Coastal Barrier Resources Act</w:t>
      </w:r>
    </w:p>
    <w:p w:rsidR="00E407BF" w:rsidRPr="00E407BF" w:rsidRDefault="00E407BF" w:rsidP="00E407B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0"/>
        </w:rPr>
      </w:pPr>
    </w:p>
    <w:tbl>
      <w:tblPr>
        <w:tblStyle w:val="TableGrid"/>
        <w:tblW w:w="0" w:type="auto"/>
        <w:tblLook w:val="04A0" w:firstRow="1" w:lastRow="0" w:firstColumn="1" w:lastColumn="0" w:noHBand="0" w:noVBand="1"/>
      </w:tblPr>
      <w:tblGrid>
        <w:gridCol w:w="9350"/>
      </w:tblGrid>
      <w:tr w:rsidR="00E407BF" w:rsidRPr="00E407BF" w:rsidTr="00DF6339">
        <w:tc>
          <w:tcPr>
            <w:tcW w:w="9576" w:type="dxa"/>
          </w:tcPr>
          <w:p w:rsidR="00E407BF" w:rsidRPr="00E407BF" w:rsidRDefault="00E407BF" w:rsidP="00E407BF">
            <w:pPr>
              <w:rPr>
                <w:rFonts w:ascii="Arial" w:hAnsi="Arial" w:cs="Arial"/>
                <w:b/>
                <w:bCs/>
                <w:sz w:val="21"/>
                <w:szCs w:val="21"/>
              </w:rPr>
            </w:pPr>
            <w:r w:rsidRPr="00E407BF">
              <w:rPr>
                <w:rFonts w:ascii="Arial" w:hAnsi="Arial" w:cs="Arial"/>
                <w:sz w:val="21"/>
                <w:szCs w:val="21"/>
              </w:rPr>
              <w:t xml:space="preserve">Section 58.6 also requires compliance with the Coastal Barrier Resources Act.  There are no Coastal Barrier Resource Areas in Washington, Oregon, Alaska, or Idaho.  Therefore, the Act does not apply.  </w:t>
            </w:r>
          </w:p>
        </w:tc>
      </w:tr>
    </w:tbl>
    <w:p w:rsidR="00E407BF" w:rsidRPr="00E407BF" w:rsidRDefault="00E407BF" w:rsidP="00E407BF">
      <w:pPr>
        <w:overflowPunct w:val="0"/>
        <w:autoSpaceDE w:val="0"/>
        <w:autoSpaceDN w:val="0"/>
        <w:adjustRightInd w:val="0"/>
        <w:spacing w:after="0" w:line="240" w:lineRule="auto"/>
        <w:textAlignment w:val="baseline"/>
        <w:rPr>
          <w:rFonts w:ascii="New York" w:eastAsia="Times New Roman" w:hAnsi="New York" w:cs="Times New Roman"/>
          <w:sz w:val="24"/>
          <w:szCs w:val="20"/>
        </w:rPr>
      </w:pPr>
    </w:p>
    <w:p w:rsidR="00E407BF" w:rsidRPr="00E407BF" w:rsidRDefault="00E407BF" w:rsidP="00E407BF">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E407BF">
        <w:rPr>
          <w:rFonts w:ascii="Arial" w:eastAsia="Times New Roman" w:hAnsi="Arial" w:cs="Arial"/>
          <w:b/>
          <w:szCs w:val="20"/>
        </w:rPr>
        <w:t>Certification</w:t>
      </w:r>
    </w:p>
    <w:p w:rsidR="00E407BF" w:rsidRPr="00E407BF" w:rsidRDefault="00E407BF" w:rsidP="00E407B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tbl>
      <w:tblPr>
        <w:tblStyle w:val="TableGrid"/>
        <w:tblW w:w="0" w:type="auto"/>
        <w:tblLook w:val="04A0" w:firstRow="1" w:lastRow="0" w:firstColumn="1" w:lastColumn="0" w:noHBand="0" w:noVBand="1"/>
      </w:tblPr>
      <w:tblGrid>
        <w:gridCol w:w="9350"/>
      </w:tblGrid>
      <w:tr w:rsidR="00E407BF" w:rsidRPr="00E407BF" w:rsidTr="00DF6339">
        <w:tc>
          <w:tcPr>
            <w:tcW w:w="9576" w:type="dxa"/>
          </w:tcPr>
          <w:p w:rsidR="00E407BF" w:rsidRPr="00E407BF" w:rsidRDefault="00E407BF" w:rsidP="00E407BF">
            <w:pPr>
              <w:rPr>
                <w:rFonts w:ascii="Arial" w:hAnsi="Arial" w:cs="Arial"/>
                <w:sz w:val="21"/>
                <w:szCs w:val="21"/>
              </w:rPr>
            </w:pPr>
            <w:r w:rsidRPr="00E407BF">
              <w:rPr>
                <w:rFonts w:ascii="Arial" w:hAnsi="Arial" w:cs="Arial"/>
                <w:sz w:val="21"/>
                <w:szCs w:val="21"/>
              </w:rPr>
              <w:t>A Request for Release of Funds (</w:t>
            </w:r>
            <w:proofErr w:type="spellStart"/>
            <w:r w:rsidRPr="00E407BF">
              <w:rPr>
                <w:rFonts w:ascii="Arial" w:hAnsi="Arial" w:cs="Arial"/>
                <w:sz w:val="21"/>
                <w:szCs w:val="21"/>
              </w:rPr>
              <w:t>RROF</w:t>
            </w:r>
            <w:proofErr w:type="spellEnd"/>
            <w:r w:rsidRPr="00E407BF">
              <w:rPr>
                <w:rFonts w:ascii="Arial" w:hAnsi="Arial" w:cs="Arial"/>
                <w:sz w:val="21"/>
                <w:szCs w:val="21"/>
              </w:rPr>
              <w:t>) is not required for this project.  The activity may be initiated without further environmental review beyond 24 CFR Part 58.6.</w:t>
            </w:r>
          </w:p>
          <w:p w:rsidR="00E407BF" w:rsidRPr="00E407BF" w:rsidRDefault="00E407BF" w:rsidP="00E407BF">
            <w:pPr>
              <w:rPr>
                <w:rFonts w:ascii="Arial" w:hAnsi="Arial" w:cs="Arial"/>
                <w:sz w:val="21"/>
                <w:szCs w:val="21"/>
              </w:rPr>
            </w:pPr>
          </w:p>
          <w:p w:rsidR="00E407BF" w:rsidRPr="00E407BF" w:rsidRDefault="00E407BF" w:rsidP="00E407BF">
            <w:pPr>
              <w:tabs>
                <w:tab w:val="left" w:pos="3612"/>
                <w:tab w:val="left" w:pos="8988"/>
              </w:tabs>
              <w:rPr>
                <w:rFonts w:ascii="Arial" w:hAnsi="Arial" w:cs="Arial"/>
                <w:b/>
                <w:sz w:val="21"/>
                <w:szCs w:val="21"/>
              </w:rPr>
            </w:pPr>
            <w:r w:rsidRPr="00E407BF">
              <w:rPr>
                <w:rFonts w:ascii="Arial" w:hAnsi="Arial" w:cs="Arial"/>
                <w:b/>
                <w:sz w:val="21"/>
                <w:szCs w:val="21"/>
              </w:rPr>
              <w:t>Name of Project</w:t>
            </w:r>
            <w:r w:rsidRPr="00E407BF">
              <w:rPr>
                <w:rFonts w:ascii="Arial" w:hAnsi="Arial" w:cs="Arial"/>
                <w:b/>
                <w:sz w:val="21"/>
                <w:szCs w:val="21"/>
              </w:rPr>
              <w:tab/>
            </w:r>
            <w:r w:rsidRPr="00E407BF">
              <w:rPr>
                <w:rFonts w:ascii="Arial" w:hAnsi="Arial" w:cs="Arial"/>
                <w:b/>
                <w:sz w:val="21"/>
                <w:szCs w:val="21"/>
                <w:u w:val="single"/>
              </w:rPr>
              <w:tab/>
            </w:r>
          </w:p>
          <w:p w:rsidR="00E407BF" w:rsidRPr="00E407BF" w:rsidRDefault="00E407BF" w:rsidP="00E407BF">
            <w:pPr>
              <w:tabs>
                <w:tab w:val="left" w:pos="3612"/>
                <w:tab w:val="left" w:pos="8988"/>
              </w:tabs>
              <w:rPr>
                <w:rFonts w:ascii="Arial" w:hAnsi="Arial" w:cs="Arial"/>
                <w:b/>
                <w:sz w:val="21"/>
                <w:szCs w:val="21"/>
              </w:rPr>
            </w:pPr>
          </w:p>
          <w:p w:rsidR="00E407BF" w:rsidRPr="00E407BF" w:rsidRDefault="00E407BF" w:rsidP="00E407BF">
            <w:pPr>
              <w:tabs>
                <w:tab w:val="left" w:pos="3612"/>
                <w:tab w:val="left" w:pos="8988"/>
              </w:tabs>
              <w:rPr>
                <w:rFonts w:ascii="Arial" w:hAnsi="Arial" w:cs="Arial"/>
                <w:b/>
                <w:sz w:val="21"/>
                <w:szCs w:val="21"/>
              </w:rPr>
            </w:pPr>
            <w:r w:rsidRPr="00E407BF">
              <w:rPr>
                <w:rFonts w:ascii="Arial" w:hAnsi="Arial" w:cs="Arial"/>
                <w:b/>
                <w:sz w:val="21"/>
                <w:szCs w:val="21"/>
              </w:rPr>
              <w:t>Responsible Entity Signature</w:t>
            </w:r>
            <w:r w:rsidRPr="00E407BF">
              <w:rPr>
                <w:rFonts w:ascii="Arial" w:hAnsi="Arial" w:cs="Arial"/>
                <w:b/>
                <w:sz w:val="21"/>
                <w:szCs w:val="21"/>
              </w:rPr>
              <w:tab/>
            </w:r>
            <w:r w:rsidRPr="00E407BF">
              <w:rPr>
                <w:rFonts w:ascii="Arial" w:hAnsi="Arial" w:cs="Arial"/>
                <w:b/>
                <w:sz w:val="21"/>
                <w:szCs w:val="21"/>
                <w:u w:val="single"/>
              </w:rPr>
              <w:tab/>
            </w:r>
          </w:p>
          <w:p w:rsidR="00E407BF" w:rsidRPr="00E407BF" w:rsidRDefault="00E407BF" w:rsidP="00E407BF">
            <w:pPr>
              <w:tabs>
                <w:tab w:val="left" w:pos="3612"/>
                <w:tab w:val="left" w:pos="8988"/>
              </w:tabs>
              <w:rPr>
                <w:rFonts w:ascii="Arial" w:hAnsi="Arial" w:cs="Arial"/>
                <w:b/>
                <w:sz w:val="21"/>
                <w:szCs w:val="21"/>
              </w:rPr>
            </w:pPr>
          </w:p>
          <w:p w:rsidR="00E407BF" w:rsidRPr="00E407BF" w:rsidRDefault="00E407BF" w:rsidP="00E407BF">
            <w:pPr>
              <w:tabs>
                <w:tab w:val="left" w:pos="3612"/>
                <w:tab w:val="left" w:pos="8988"/>
              </w:tabs>
              <w:rPr>
                <w:rFonts w:ascii="Arial" w:hAnsi="Arial" w:cs="Arial"/>
                <w:b/>
                <w:sz w:val="21"/>
                <w:szCs w:val="21"/>
              </w:rPr>
            </w:pPr>
            <w:r w:rsidRPr="00E407BF">
              <w:rPr>
                <w:rFonts w:ascii="Arial" w:hAnsi="Arial" w:cs="Arial"/>
                <w:b/>
                <w:sz w:val="21"/>
                <w:szCs w:val="21"/>
              </w:rPr>
              <w:t>Name and Title (print)</w:t>
            </w:r>
            <w:r w:rsidRPr="00E407BF">
              <w:rPr>
                <w:rFonts w:ascii="Arial" w:hAnsi="Arial" w:cs="Arial"/>
                <w:b/>
                <w:sz w:val="21"/>
                <w:szCs w:val="21"/>
              </w:rPr>
              <w:tab/>
            </w:r>
            <w:r w:rsidRPr="00E407BF">
              <w:rPr>
                <w:rFonts w:ascii="Arial" w:hAnsi="Arial" w:cs="Arial"/>
                <w:b/>
                <w:sz w:val="21"/>
                <w:szCs w:val="21"/>
                <w:u w:val="single"/>
              </w:rPr>
              <w:tab/>
            </w:r>
          </w:p>
          <w:p w:rsidR="00E407BF" w:rsidRPr="00E407BF" w:rsidRDefault="00E407BF" w:rsidP="00E407BF">
            <w:pPr>
              <w:tabs>
                <w:tab w:val="left" w:pos="3612"/>
                <w:tab w:val="left" w:pos="8988"/>
              </w:tabs>
              <w:rPr>
                <w:rFonts w:ascii="Arial" w:hAnsi="Arial" w:cs="Arial"/>
                <w:b/>
                <w:sz w:val="21"/>
                <w:szCs w:val="21"/>
              </w:rPr>
            </w:pPr>
          </w:p>
          <w:p w:rsidR="00E407BF" w:rsidRPr="00E407BF" w:rsidRDefault="00E407BF" w:rsidP="00E407BF">
            <w:pPr>
              <w:tabs>
                <w:tab w:val="left" w:pos="3612"/>
                <w:tab w:val="left" w:pos="8988"/>
              </w:tabs>
              <w:rPr>
                <w:rFonts w:ascii="Arial" w:hAnsi="Arial" w:cs="Arial"/>
                <w:b/>
                <w:sz w:val="21"/>
                <w:szCs w:val="21"/>
              </w:rPr>
            </w:pPr>
            <w:r w:rsidRPr="00E407BF">
              <w:rPr>
                <w:rFonts w:ascii="Arial" w:hAnsi="Arial" w:cs="Arial"/>
                <w:b/>
                <w:sz w:val="21"/>
                <w:szCs w:val="21"/>
              </w:rPr>
              <w:t>Date</w:t>
            </w:r>
            <w:r w:rsidRPr="00E407BF">
              <w:rPr>
                <w:rFonts w:ascii="Arial" w:hAnsi="Arial" w:cs="Arial"/>
                <w:b/>
                <w:sz w:val="21"/>
                <w:szCs w:val="21"/>
              </w:rPr>
              <w:tab/>
            </w:r>
            <w:r w:rsidRPr="00E407BF">
              <w:rPr>
                <w:rFonts w:ascii="Arial" w:hAnsi="Arial" w:cs="Arial"/>
                <w:b/>
                <w:sz w:val="21"/>
                <w:szCs w:val="21"/>
                <w:u w:val="single"/>
              </w:rPr>
              <w:tab/>
            </w:r>
          </w:p>
          <w:p w:rsidR="00E407BF" w:rsidRPr="00E407BF" w:rsidRDefault="00E407BF" w:rsidP="00E407BF">
            <w:pPr>
              <w:tabs>
                <w:tab w:val="left" w:pos="3612"/>
                <w:tab w:val="left" w:pos="8988"/>
              </w:tabs>
              <w:rPr>
                <w:rFonts w:ascii="Arial" w:hAnsi="Arial" w:cs="Arial"/>
                <w:b/>
              </w:rPr>
            </w:pPr>
          </w:p>
        </w:tc>
      </w:tr>
    </w:tbl>
    <w:p w:rsidR="00E407BF" w:rsidRPr="00E407BF" w:rsidRDefault="00E407BF" w:rsidP="00E407BF">
      <w:pPr>
        <w:overflowPunct w:val="0"/>
        <w:autoSpaceDE w:val="0"/>
        <w:autoSpaceDN w:val="0"/>
        <w:adjustRightInd w:val="0"/>
        <w:spacing w:after="0" w:line="240" w:lineRule="auto"/>
        <w:textAlignment w:val="baseline"/>
        <w:rPr>
          <w:rFonts w:ascii="New York" w:eastAsia="Times New Roman" w:hAnsi="New York" w:cs="Times New Roman"/>
          <w:sz w:val="24"/>
          <w:szCs w:val="20"/>
        </w:rPr>
      </w:pPr>
    </w:p>
    <w:p w:rsidR="004218B1" w:rsidRPr="00E407BF" w:rsidRDefault="00E407BF" w:rsidP="00E407BF">
      <w:pPr>
        <w:spacing w:after="0" w:line="240" w:lineRule="auto"/>
        <w:rPr>
          <w:rFonts w:ascii="Times New Roman" w:eastAsia="Times New Roman" w:hAnsi="Times New Roman" w:cs="Times New Roman"/>
          <w:b/>
          <w:sz w:val="24"/>
          <w:szCs w:val="24"/>
        </w:rPr>
      </w:pPr>
      <w:r w:rsidRPr="00E407BF">
        <w:rPr>
          <w:rFonts w:ascii="Times New Roman" w:eastAsia="Times New Roman" w:hAnsi="Times New Roman" w:cs="Times New Roman"/>
          <w:b/>
          <w:sz w:val="24"/>
          <w:szCs w:val="24"/>
        </w:rPr>
        <w:br w:type="page"/>
      </w:r>
      <w:bookmarkStart w:id="0" w:name="_GoBack"/>
      <w:bookmarkEnd w:id="0"/>
    </w:p>
    <w:sectPr w:rsidR="004218B1" w:rsidRPr="00E40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7B1"/>
    <w:multiLevelType w:val="hybridMultilevel"/>
    <w:tmpl w:val="E81E8D3C"/>
    <w:lvl w:ilvl="0" w:tplc="04090005">
      <w:start w:val="1"/>
      <w:numFmt w:val="bullet"/>
      <w:lvlText w:val=""/>
      <w:lvlJc w:val="left"/>
      <w:pPr>
        <w:tabs>
          <w:tab w:val="num" w:pos="720"/>
        </w:tabs>
        <w:ind w:left="720" w:hanging="360"/>
      </w:pPr>
      <w:rPr>
        <w:rFonts w:ascii="Wingdings" w:hAnsi="Wingdings" w:hint="default"/>
      </w:rPr>
    </w:lvl>
    <w:lvl w:ilvl="1" w:tplc="25D2530C">
      <w:start w:val="1"/>
      <w:numFmt w:val="bullet"/>
      <w:lvlText w:val="i"/>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D23F1"/>
    <w:multiLevelType w:val="hybridMultilevel"/>
    <w:tmpl w:val="229877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246DC2"/>
    <w:multiLevelType w:val="hybridMultilevel"/>
    <w:tmpl w:val="EE9ED0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EC3C7E"/>
    <w:multiLevelType w:val="hybridMultilevel"/>
    <w:tmpl w:val="D9A0621E"/>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6D25E9"/>
    <w:multiLevelType w:val="hybridMultilevel"/>
    <w:tmpl w:val="06DC686C"/>
    <w:lvl w:ilvl="0" w:tplc="E0FCA21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0412CD"/>
    <w:multiLevelType w:val="hybridMultilevel"/>
    <w:tmpl w:val="E884C8EA"/>
    <w:lvl w:ilvl="0" w:tplc="D606646E">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E427FB"/>
    <w:multiLevelType w:val="hybridMultilevel"/>
    <w:tmpl w:val="F0128E42"/>
    <w:lvl w:ilvl="0" w:tplc="218C5E72">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DF0F4F"/>
    <w:multiLevelType w:val="hybridMultilevel"/>
    <w:tmpl w:val="E7A42BAA"/>
    <w:lvl w:ilvl="0" w:tplc="0409000B">
      <w:start w:val="1"/>
      <w:numFmt w:val="decimal"/>
      <w:lvlText w:val="%1."/>
      <w:lvlJc w:val="left"/>
      <w:pPr>
        <w:tabs>
          <w:tab w:val="num" w:pos="792"/>
        </w:tabs>
        <w:ind w:left="792" w:hanging="360"/>
      </w:pPr>
    </w:lvl>
    <w:lvl w:ilvl="1" w:tplc="04090003" w:tentative="1">
      <w:start w:val="1"/>
      <w:numFmt w:val="lowerLetter"/>
      <w:lvlText w:val="%2."/>
      <w:lvlJc w:val="left"/>
      <w:pPr>
        <w:tabs>
          <w:tab w:val="num" w:pos="1512"/>
        </w:tabs>
        <w:ind w:left="1512" w:hanging="360"/>
      </w:pPr>
    </w:lvl>
    <w:lvl w:ilvl="2" w:tplc="04090005" w:tentative="1">
      <w:start w:val="1"/>
      <w:numFmt w:val="lowerRoman"/>
      <w:lvlText w:val="%3."/>
      <w:lvlJc w:val="right"/>
      <w:pPr>
        <w:tabs>
          <w:tab w:val="num" w:pos="2232"/>
        </w:tabs>
        <w:ind w:left="2232" w:hanging="180"/>
      </w:pPr>
    </w:lvl>
    <w:lvl w:ilvl="3" w:tplc="04090001" w:tentative="1">
      <w:start w:val="1"/>
      <w:numFmt w:val="decimal"/>
      <w:lvlText w:val="%4."/>
      <w:lvlJc w:val="left"/>
      <w:pPr>
        <w:tabs>
          <w:tab w:val="num" w:pos="2952"/>
        </w:tabs>
        <w:ind w:left="2952" w:hanging="360"/>
      </w:pPr>
    </w:lvl>
    <w:lvl w:ilvl="4" w:tplc="04090003" w:tentative="1">
      <w:start w:val="1"/>
      <w:numFmt w:val="lowerLetter"/>
      <w:lvlText w:val="%5."/>
      <w:lvlJc w:val="left"/>
      <w:pPr>
        <w:tabs>
          <w:tab w:val="num" w:pos="3672"/>
        </w:tabs>
        <w:ind w:left="3672" w:hanging="360"/>
      </w:pPr>
    </w:lvl>
    <w:lvl w:ilvl="5" w:tplc="04090005" w:tentative="1">
      <w:start w:val="1"/>
      <w:numFmt w:val="lowerRoman"/>
      <w:lvlText w:val="%6."/>
      <w:lvlJc w:val="right"/>
      <w:pPr>
        <w:tabs>
          <w:tab w:val="num" w:pos="4392"/>
        </w:tabs>
        <w:ind w:left="4392" w:hanging="180"/>
      </w:pPr>
    </w:lvl>
    <w:lvl w:ilvl="6" w:tplc="04090001" w:tentative="1">
      <w:start w:val="1"/>
      <w:numFmt w:val="decimal"/>
      <w:lvlText w:val="%7."/>
      <w:lvlJc w:val="left"/>
      <w:pPr>
        <w:tabs>
          <w:tab w:val="num" w:pos="5112"/>
        </w:tabs>
        <w:ind w:left="5112" w:hanging="360"/>
      </w:pPr>
    </w:lvl>
    <w:lvl w:ilvl="7" w:tplc="04090003" w:tentative="1">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num w:numId="1">
    <w:abstractNumId w:val="5"/>
  </w:num>
  <w:num w:numId="2">
    <w:abstractNumId w:val="3"/>
  </w:num>
  <w:num w:numId="3">
    <w:abstractNumId w:val="4"/>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BF"/>
    <w:rsid w:val="004218B1"/>
    <w:rsid w:val="00E4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21BB"/>
  <w15:chartTrackingRefBased/>
  <w15:docId w15:val="{249C07C1-DB23-44C6-B2DF-1C721EE0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7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d.gov/offices/cpd/energyenviron/environment/compliance/qa/airporthazard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Varner</dc:creator>
  <cp:keywords/>
  <dc:description/>
  <cp:lastModifiedBy>James Varner</cp:lastModifiedBy>
  <cp:revision>1</cp:revision>
  <dcterms:created xsi:type="dcterms:W3CDTF">2020-01-31T18:40:00Z</dcterms:created>
  <dcterms:modified xsi:type="dcterms:W3CDTF">2020-01-31T18:44:00Z</dcterms:modified>
</cp:coreProperties>
</file>