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24509" w14:textId="77777777" w:rsidR="00011E82" w:rsidRDefault="00011E82" w:rsidP="001D4277">
      <w:pPr>
        <w:contextualSpacing/>
        <w:jc w:val="center"/>
        <w:rPr>
          <w:b/>
          <w:bCs/>
          <w:sz w:val="26"/>
          <w:szCs w:val="26"/>
        </w:rPr>
      </w:pPr>
      <w:r>
        <w:rPr>
          <w:b/>
          <w:bCs/>
          <w:sz w:val="26"/>
          <w:szCs w:val="26"/>
        </w:rPr>
        <w:t xml:space="preserve">Governor’s Trade </w:t>
      </w:r>
      <w:r w:rsidR="00BD3944">
        <w:rPr>
          <w:b/>
          <w:bCs/>
          <w:sz w:val="26"/>
          <w:szCs w:val="26"/>
        </w:rPr>
        <w:t>Mission</w:t>
      </w:r>
      <w:r>
        <w:rPr>
          <w:b/>
          <w:bCs/>
          <w:sz w:val="26"/>
          <w:szCs w:val="26"/>
        </w:rPr>
        <w:t xml:space="preserve"> to Canada</w:t>
      </w:r>
      <w:r w:rsidR="00BB2AAE">
        <w:rPr>
          <w:b/>
          <w:bCs/>
          <w:sz w:val="26"/>
          <w:szCs w:val="26"/>
        </w:rPr>
        <w:t xml:space="preserve"> </w:t>
      </w:r>
    </w:p>
    <w:p w14:paraId="234DD4F7" w14:textId="740BFCC3" w:rsidR="001D4277" w:rsidRDefault="00137B7C" w:rsidP="001D4277">
      <w:pPr>
        <w:contextualSpacing/>
        <w:jc w:val="center"/>
        <w:rPr>
          <w:b/>
          <w:bCs/>
          <w:sz w:val="26"/>
          <w:szCs w:val="26"/>
        </w:rPr>
      </w:pPr>
      <w:r>
        <w:rPr>
          <w:b/>
          <w:bCs/>
          <w:sz w:val="26"/>
          <w:szCs w:val="26"/>
        </w:rPr>
        <w:t xml:space="preserve">Program </w:t>
      </w:r>
      <w:r w:rsidR="00011E82">
        <w:rPr>
          <w:b/>
          <w:bCs/>
          <w:sz w:val="26"/>
          <w:szCs w:val="26"/>
        </w:rPr>
        <w:t xml:space="preserve">Participation </w:t>
      </w:r>
      <w:r w:rsidRPr="007142BD">
        <w:rPr>
          <w:b/>
          <w:bCs/>
          <w:sz w:val="26"/>
          <w:szCs w:val="26"/>
        </w:rPr>
        <w:t>Guidelines</w:t>
      </w:r>
      <w:r>
        <w:rPr>
          <w:b/>
          <w:bCs/>
          <w:sz w:val="26"/>
          <w:szCs w:val="26"/>
        </w:rPr>
        <w:t xml:space="preserve"> and </w:t>
      </w:r>
      <w:r w:rsidR="001D4277" w:rsidRPr="000E5B51">
        <w:rPr>
          <w:b/>
          <w:bCs/>
          <w:sz w:val="26"/>
          <w:szCs w:val="26"/>
        </w:rPr>
        <w:t>Application Instructions</w:t>
      </w:r>
    </w:p>
    <w:p w14:paraId="7BEFC23F" w14:textId="77777777" w:rsidR="001D4277" w:rsidRDefault="001D4277" w:rsidP="001D4277">
      <w:pPr>
        <w:contextualSpacing/>
        <w:rPr>
          <w:b/>
          <w:bCs/>
        </w:rPr>
      </w:pPr>
    </w:p>
    <w:p w14:paraId="2DA5D23F" w14:textId="77777777" w:rsidR="00990229" w:rsidRDefault="00990229" w:rsidP="001D4277">
      <w:pPr>
        <w:contextualSpacing/>
        <w:rPr>
          <w:b/>
          <w:bCs/>
        </w:rPr>
      </w:pPr>
    </w:p>
    <w:p w14:paraId="4D7F9673" w14:textId="77777777" w:rsidR="00990229" w:rsidRPr="00990229" w:rsidRDefault="00990229" w:rsidP="001D4277">
      <w:pPr>
        <w:contextualSpacing/>
        <w:rPr>
          <w:b/>
          <w:bCs/>
        </w:rPr>
      </w:pPr>
    </w:p>
    <w:p w14:paraId="531EBDAE" w14:textId="77777777" w:rsidR="001D4277" w:rsidRPr="00213BAD" w:rsidRDefault="001D4277" w:rsidP="001D4277">
      <w:pPr>
        <w:pStyle w:val="ListParagraph"/>
        <w:numPr>
          <w:ilvl w:val="0"/>
          <w:numId w:val="3"/>
        </w:numPr>
        <w:tabs>
          <w:tab w:val="left" w:pos="360"/>
        </w:tabs>
        <w:spacing w:after="0"/>
        <w:ind w:left="360"/>
        <w:rPr>
          <w:b/>
          <w:bCs/>
          <w:sz w:val="16"/>
          <w:szCs w:val="16"/>
        </w:rPr>
      </w:pPr>
      <w:r w:rsidRPr="00453C1C">
        <w:rPr>
          <w:b/>
          <w:bCs/>
        </w:rPr>
        <w:t xml:space="preserve">Introduction </w:t>
      </w:r>
    </w:p>
    <w:p w14:paraId="5D5FAD6D" w14:textId="77777777" w:rsidR="001D4277" w:rsidRPr="00213BAD" w:rsidRDefault="001D4277" w:rsidP="001D4277">
      <w:pPr>
        <w:tabs>
          <w:tab w:val="left" w:pos="360"/>
        </w:tabs>
        <w:spacing w:after="0"/>
        <w:rPr>
          <w:b/>
          <w:bCs/>
          <w:sz w:val="16"/>
          <w:szCs w:val="16"/>
        </w:rPr>
      </w:pPr>
    </w:p>
    <w:p w14:paraId="3A8D1A0C" w14:textId="34BC9D57" w:rsidR="001D4277" w:rsidRDefault="001D4277" w:rsidP="001D4277">
      <w:pPr>
        <w:tabs>
          <w:tab w:val="left" w:pos="360"/>
        </w:tabs>
        <w:ind w:left="360"/>
      </w:pPr>
      <w:r>
        <w:t>The Idaho Department of Commerce (IDC) and the Idaho State Department of Agriculture (ISDA) are pleased to announce the competitive solicitation process to award</w:t>
      </w:r>
      <w:r w:rsidR="000D14E9">
        <w:t xml:space="preserve"> </w:t>
      </w:r>
      <w:r w:rsidR="004A180B">
        <w:t>assistance to par</w:t>
      </w:r>
      <w:r w:rsidR="005A349D">
        <w:t xml:space="preserve">ticipate in IDC/ISDA led Trade Mission </w:t>
      </w:r>
      <w:r>
        <w:t xml:space="preserve">to support export efforts by small businesses in Idaho. </w:t>
      </w:r>
    </w:p>
    <w:p w14:paraId="522D03F8" w14:textId="634F33AF" w:rsidR="00043818" w:rsidRDefault="001D4277" w:rsidP="00043818">
      <w:pPr>
        <w:tabs>
          <w:tab w:val="left" w:pos="360"/>
        </w:tabs>
        <w:ind w:left="360"/>
      </w:pPr>
      <w:r>
        <w:t xml:space="preserve">The U.S. Small Business Administration’s (SBA) Office of International Trade (OIT) has allocated funds to Idaho through the State Trade </w:t>
      </w:r>
      <w:r w:rsidR="00EE58DE">
        <w:t>Expansion Program</w:t>
      </w:r>
      <w:r>
        <w:t xml:space="preserve"> (STEP)</w:t>
      </w:r>
      <w:r w:rsidR="00735FB3">
        <w:t xml:space="preserve"> Grant</w:t>
      </w:r>
      <w:r>
        <w:t xml:space="preserve"> program. IDC and ISDA will be</w:t>
      </w:r>
      <w:r w:rsidR="00981E46">
        <w:t xml:space="preserve"> awarding export promotion award</w:t>
      </w:r>
      <w:r>
        <w:t xml:space="preserve">s to Idaho companies on a competitive basis.  </w:t>
      </w:r>
      <w:r w:rsidR="00043818">
        <w:t>If an applicant has limited English proficiency and needs access to resources for assistance, the IDC maintains services standards to help.</w:t>
      </w:r>
    </w:p>
    <w:p w14:paraId="23FE111F" w14:textId="77777777" w:rsidR="001D4277" w:rsidRPr="00F735CE" w:rsidRDefault="001D4277" w:rsidP="00043818">
      <w:pPr>
        <w:tabs>
          <w:tab w:val="left" w:pos="360"/>
        </w:tabs>
        <w:spacing w:after="0"/>
        <w:ind w:left="360"/>
        <w:rPr>
          <w:b/>
          <w:bCs/>
          <w:sz w:val="16"/>
          <w:szCs w:val="16"/>
        </w:rPr>
      </w:pPr>
      <w:r w:rsidRPr="00F735CE">
        <w:rPr>
          <w:b/>
          <w:bCs/>
        </w:rPr>
        <w:t>Program Purpose</w:t>
      </w:r>
    </w:p>
    <w:p w14:paraId="64E38570" w14:textId="77777777" w:rsidR="001D4277" w:rsidRPr="00F735CE" w:rsidRDefault="001D4277" w:rsidP="001D4277">
      <w:pPr>
        <w:tabs>
          <w:tab w:val="left" w:pos="360"/>
        </w:tabs>
        <w:spacing w:after="0"/>
        <w:rPr>
          <w:b/>
          <w:bCs/>
          <w:sz w:val="16"/>
          <w:szCs w:val="16"/>
        </w:rPr>
      </w:pPr>
    </w:p>
    <w:p w14:paraId="6C4525DF" w14:textId="2349B65C" w:rsidR="0080307A" w:rsidRPr="00F735CE" w:rsidRDefault="00BB2AAE" w:rsidP="0080307A">
      <w:pPr>
        <w:spacing w:after="0"/>
        <w:ind w:left="360"/>
        <w:contextualSpacing/>
        <w:rPr>
          <w:rFonts w:asciiTheme="minorHAnsi" w:hAnsiTheme="minorHAnsi" w:cs="Arial"/>
          <w:color w:val="212123"/>
        </w:rPr>
      </w:pPr>
      <w:r w:rsidRPr="00F735CE">
        <w:rPr>
          <w:rFonts w:asciiTheme="minorHAnsi" w:hAnsiTheme="minorHAnsi" w:cs="Arial"/>
        </w:rPr>
        <w:t xml:space="preserve">These initiatives are aimed at achieving two goals: 1) increase the number of small businesses exporting in Idaho and 2) increase the value of exports for small businesses that currently export. Awards can offset a portion of eligible expenses associated with international marketing initiatives.  </w:t>
      </w:r>
      <w:r w:rsidRPr="00F735CE">
        <w:rPr>
          <w:rFonts w:asciiTheme="minorHAnsi" w:hAnsiTheme="minorHAnsi" w:cs="Arial"/>
          <w:color w:val="212123"/>
          <w:shd w:val="clear" w:color="auto" w:fill="FFFFFF"/>
        </w:rPr>
        <w:t xml:space="preserve">IDC and ISDA have chosen </w:t>
      </w:r>
      <w:r w:rsidR="00011E82">
        <w:rPr>
          <w:rFonts w:asciiTheme="minorHAnsi" w:hAnsiTheme="minorHAnsi" w:cs="Arial"/>
          <w:color w:val="212123"/>
          <w:shd w:val="clear" w:color="auto" w:fill="FFFFFF"/>
        </w:rPr>
        <w:t>to lead a Governor’s Trade Mission to Canada</w:t>
      </w:r>
      <w:r w:rsidRPr="00F735CE">
        <w:rPr>
          <w:rFonts w:asciiTheme="minorHAnsi" w:hAnsiTheme="minorHAnsi" w:cs="Arial"/>
          <w:color w:val="212123"/>
          <w:shd w:val="clear" w:color="auto" w:fill="FFFFFF"/>
        </w:rPr>
        <w:t>.</w:t>
      </w:r>
      <w:r w:rsidR="0080307A" w:rsidRPr="00F735CE">
        <w:rPr>
          <w:rFonts w:asciiTheme="minorHAnsi" w:hAnsiTheme="minorHAnsi" w:cs="Arial"/>
          <w:color w:val="212123"/>
          <w:shd w:val="clear" w:color="auto" w:fill="FFFFFF"/>
        </w:rPr>
        <w:t xml:space="preserve"> </w:t>
      </w:r>
      <w:r w:rsidR="0080307A" w:rsidRPr="00F735CE">
        <w:rPr>
          <w:rFonts w:asciiTheme="minorHAnsi" w:hAnsiTheme="minorHAnsi" w:cs="Arial"/>
          <w:color w:val="212123"/>
        </w:rPr>
        <w:t>Companies will submit competitive applications to be selecte</w:t>
      </w:r>
      <w:r w:rsidR="00BC7DF1">
        <w:rPr>
          <w:rFonts w:asciiTheme="minorHAnsi" w:hAnsiTheme="minorHAnsi" w:cs="Arial"/>
          <w:color w:val="212123"/>
        </w:rPr>
        <w:t xml:space="preserve">d for participation </w:t>
      </w:r>
      <w:r w:rsidR="00011E82">
        <w:rPr>
          <w:rFonts w:asciiTheme="minorHAnsi" w:hAnsiTheme="minorHAnsi" w:cs="Arial"/>
          <w:color w:val="212123"/>
        </w:rPr>
        <w:t>in</w:t>
      </w:r>
      <w:r w:rsidR="00BC7DF1">
        <w:rPr>
          <w:rFonts w:asciiTheme="minorHAnsi" w:hAnsiTheme="minorHAnsi" w:cs="Arial"/>
          <w:color w:val="212123"/>
        </w:rPr>
        <w:t xml:space="preserve"> the mission</w:t>
      </w:r>
      <w:r w:rsidR="0080307A" w:rsidRPr="00F735CE">
        <w:rPr>
          <w:rFonts w:asciiTheme="minorHAnsi" w:hAnsiTheme="minorHAnsi" w:cs="Arial"/>
          <w:color w:val="212123"/>
        </w:rPr>
        <w:t>. </w:t>
      </w:r>
    </w:p>
    <w:p w14:paraId="6DA2846E" w14:textId="77777777" w:rsidR="0080307A" w:rsidRPr="00F735CE" w:rsidRDefault="0080307A" w:rsidP="0080307A">
      <w:pPr>
        <w:spacing w:after="0"/>
        <w:ind w:left="360"/>
        <w:contextualSpacing/>
        <w:rPr>
          <w:rFonts w:asciiTheme="minorHAnsi" w:hAnsiTheme="minorHAnsi" w:cs="Arial"/>
          <w:color w:val="212123"/>
          <w:shd w:val="clear" w:color="auto" w:fill="FFFFFF"/>
        </w:rPr>
      </w:pPr>
    </w:p>
    <w:p w14:paraId="35E55691" w14:textId="51D4AC35" w:rsidR="00BB2AAE" w:rsidRPr="00F735CE" w:rsidRDefault="000A6360" w:rsidP="00F735CE">
      <w:pPr>
        <w:spacing w:after="0"/>
        <w:ind w:firstLine="360"/>
        <w:rPr>
          <w:rFonts w:asciiTheme="minorHAnsi" w:hAnsiTheme="minorHAnsi" w:cs="Arial"/>
          <w:b/>
        </w:rPr>
      </w:pPr>
      <w:r>
        <w:rPr>
          <w:rFonts w:asciiTheme="minorHAnsi" w:hAnsiTheme="minorHAnsi" w:cs="Arial"/>
          <w:b/>
        </w:rPr>
        <w:t>IDC and ISDA</w:t>
      </w:r>
      <w:r w:rsidR="00BB2AAE" w:rsidRPr="00F735CE">
        <w:rPr>
          <w:rFonts w:asciiTheme="minorHAnsi" w:hAnsiTheme="minorHAnsi" w:cs="Arial"/>
          <w:b/>
        </w:rPr>
        <w:t xml:space="preserve"> will</w:t>
      </w:r>
      <w:r w:rsidR="0080307A" w:rsidRPr="00F735CE">
        <w:rPr>
          <w:rFonts w:asciiTheme="minorHAnsi" w:hAnsiTheme="minorHAnsi" w:cs="Arial"/>
          <w:b/>
        </w:rPr>
        <w:t xml:space="preserve"> provide the following</w:t>
      </w:r>
      <w:r w:rsidR="00BB2AAE" w:rsidRPr="00F735CE">
        <w:rPr>
          <w:rFonts w:asciiTheme="minorHAnsi" w:hAnsiTheme="minorHAnsi" w:cs="Arial"/>
          <w:b/>
        </w:rPr>
        <w:t>:</w:t>
      </w:r>
    </w:p>
    <w:p w14:paraId="3A36CE9F" w14:textId="7E393BFD" w:rsidR="00BB2AAE" w:rsidRPr="00F735CE" w:rsidRDefault="00BB2AAE" w:rsidP="00BB2AAE">
      <w:pPr>
        <w:pStyle w:val="ListParagraph"/>
        <w:numPr>
          <w:ilvl w:val="0"/>
          <w:numId w:val="24"/>
        </w:numPr>
        <w:spacing w:after="0" w:line="259" w:lineRule="auto"/>
        <w:contextualSpacing/>
        <w:rPr>
          <w:rFonts w:asciiTheme="minorHAnsi" w:hAnsiTheme="minorHAnsi" w:cs="Arial"/>
        </w:rPr>
      </w:pPr>
      <w:r w:rsidRPr="00F735CE">
        <w:rPr>
          <w:rFonts w:asciiTheme="minorHAnsi" w:hAnsiTheme="minorHAnsi" w:cs="Arial"/>
        </w:rPr>
        <w:t xml:space="preserve">Organize logistics, payments, and terms and conditions with </w:t>
      </w:r>
      <w:r w:rsidR="00011E82">
        <w:rPr>
          <w:rFonts w:asciiTheme="minorHAnsi" w:hAnsiTheme="minorHAnsi" w:cs="Arial"/>
        </w:rPr>
        <w:t>contracto</w:t>
      </w:r>
      <w:r w:rsidRPr="00F735CE">
        <w:rPr>
          <w:rFonts w:asciiTheme="minorHAnsi" w:hAnsiTheme="minorHAnsi" w:cs="Arial"/>
        </w:rPr>
        <w:t>rs</w:t>
      </w:r>
    </w:p>
    <w:p w14:paraId="63A16A59" w14:textId="2613FE02" w:rsidR="00BB2AAE" w:rsidRPr="00F735CE" w:rsidRDefault="0083455D" w:rsidP="00BB2AAE">
      <w:pPr>
        <w:pStyle w:val="ListParagraph"/>
        <w:numPr>
          <w:ilvl w:val="0"/>
          <w:numId w:val="24"/>
        </w:numPr>
        <w:spacing w:after="0" w:line="259" w:lineRule="auto"/>
        <w:contextualSpacing/>
        <w:rPr>
          <w:rFonts w:asciiTheme="minorHAnsi" w:hAnsiTheme="minorHAnsi" w:cs="Arial"/>
        </w:rPr>
      </w:pPr>
      <w:r>
        <w:rPr>
          <w:rFonts w:asciiTheme="minorHAnsi" w:hAnsiTheme="minorHAnsi" w:cs="Arial"/>
        </w:rPr>
        <w:t>Logistical arrangements including air travel, hotels, and ground transportation</w:t>
      </w:r>
    </w:p>
    <w:p w14:paraId="4279C833" w14:textId="2804FB94" w:rsidR="00BB2AAE" w:rsidRPr="00F735CE" w:rsidRDefault="00BB2AAE" w:rsidP="00BB2AAE">
      <w:pPr>
        <w:pStyle w:val="ListParagraph"/>
        <w:numPr>
          <w:ilvl w:val="0"/>
          <w:numId w:val="24"/>
        </w:numPr>
        <w:spacing w:after="0" w:line="259" w:lineRule="auto"/>
        <w:contextualSpacing/>
        <w:rPr>
          <w:rFonts w:asciiTheme="minorHAnsi" w:hAnsiTheme="minorHAnsi" w:cs="Arial"/>
        </w:rPr>
      </w:pPr>
      <w:r w:rsidRPr="00F735CE">
        <w:rPr>
          <w:rFonts w:asciiTheme="minorHAnsi" w:hAnsiTheme="minorHAnsi" w:cs="Arial"/>
        </w:rPr>
        <w:t xml:space="preserve">Coordinate </w:t>
      </w:r>
      <w:r w:rsidR="00011E82">
        <w:rPr>
          <w:rFonts w:asciiTheme="minorHAnsi" w:hAnsiTheme="minorHAnsi" w:cs="Arial"/>
        </w:rPr>
        <w:t>with U.S. Commercial service &amp; contractor</w:t>
      </w:r>
      <w:r w:rsidRPr="00F735CE">
        <w:rPr>
          <w:rFonts w:asciiTheme="minorHAnsi" w:hAnsiTheme="minorHAnsi" w:cs="Arial"/>
        </w:rPr>
        <w:t>s</w:t>
      </w:r>
    </w:p>
    <w:p w14:paraId="4F9D8946" w14:textId="4DE2A7AB" w:rsidR="00BB2AAE" w:rsidRPr="00F735CE" w:rsidRDefault="005A349D" w:rsidP="00BB2AAE">
      <w:pPr>
        <w:pStyle w:val="ListParagraph"/>
        <w:numPr>
          <w:ilvl w:val="0"/>
          <w:numId w:val="24"/>
        </w:numPr>
        <w:spacing w:after="0" w:line="259" w:lineRule="auto"/>
        <w:contextualSpacing/>
        <w:rPr>
          <w:rFonts w:asciiTheme="minorHAnsi" w:hAnsiTheme="minorHAnsi" w:cs="Arial"/>
        </w:rPr>
      </w:pPr>
      <w:r>
        <w:rPr>
          <w:rFonts w:asciiTheme="minorHAnsi" w:hAnsiTheme="minorHAnsi" w:cs="Arial"/>
        </w:rPr>
        <w:t>Organize pre-mission</w:t>
      </w:r>
      <w:r w:rsidR="00BB2AAE" w:rsidRPr="00F735CE">
        <w:rPr>
          <w:rFonts w:asciiTheme="minorHAnsi" w:hAnsiTheme="minorHAnsi" w:cs="Arial"/>
        </w:rPr>
        <w:t xml:space="preserve"> meetings/conference calls </w:t>
      </w:r>
    </w:p>
    <w:p w14:paraId="69A83212" w14:textId="77777777" w:rsidR="00BB2AAE" w:rsidRPr="00F735CE" w:rsidRDefault="00BB2AAE" w:rsidP="00BB2AAE">
      <w:pPr>
        <w:pStyle w:val="ListParagraph"/>
        <w:numPr>
          <w:ilvl w:val="0"/>
          <w:numId w:val="24"/>
        </w:numPr>
        <w:spacing w:after="0" w:line="259" w:lineRule="auto"/>
        <w:contextualSpacing/>
        <w:rPr>
          <w:rFonts w:asciiTheme="minorHAnsi" w:hAnsiTheme="minorHAnsi" w:cs="Arial"/>
        </w:rPr>
      </w:pPr>
      <w:r w:rsidRPr="00F735CE">
        <w:rPr>
          <w:rFonts w:asciiTheme="minorHAnsi" w:hAnsiTheme="minorHAnsi" w:cs="Arial"/>
        </w:rPr>
        <w:t>Help facilitate follow up action items with each company</w:t>
      </w:r>
    </w:p>
    <w:p w14:paraId="60ACF0B3" w14:textId="77777777" w:rsidR="00F735CE" w:rsidRPr="00F735CE" w:rsidRDefault="00F735CE" w:rsidP="00F735CE">
      <w:pPr>
        <w:spacing w:after="0"/>
        <w:ind w:firstLine="360"/>
        <w:rPr>
          <w:rFonts w:asciiTheme="minorHAnsi" w:hAnsiTheme="minorHAnsi" w:cs="Arial"/>
          <w:b/>
        </w:rPr>
      </w:pPr>
    </w:p>
    <w:p w14:paraId="2AE4DAA9" w14:textId="77777777" w:rsidR="00BB2AAE" w:rsidRPr="00F735CE" w:rsidRDefault="00BB2AAE" w:rsidP="00F735CE">
      <w:pPr>
        <w:spacing w:after="0"/>
        <w:ind w:firstLine="360"/>
        <w:rPr>
          <w:rFonts w:asciiTheme="minorHAnsi" w:hAnsiTheme="minorHAnsi" w:cs="Arial"/>
          <w:b/>
        </w:rPr>
      </w:pPr>
      <w:r w:rsidRPr="00F735CE">
        <w:rPr>
          <w:rFonts w:asciiTheme="minorHAnsi" w:hAnsiTheme="minorHAnsi" w:cs="Arial"/>
          <w:b/>
        </w:rPr>
        <w:t>You agree to:</w:t>
      </w:r>
    </w:p>
    <w:p w14:paraId="38175449" w14:textId="2468B6DD" w:rsidR="00823026" w:rsidRDefault="00823026" w:rsidP="00BB2AAE">
      <w:pPr>
        <w:pStyle w:val="ListParagraph"/>
        <w:numPr>
          <w:ilvl w:val="0"/>
          <w:numId w:val="25"/>
        </w:numPr>
        <w:spacing w:after="0" w:line="259" w:lineRule="auto"/>
        <w:contextualSpacing/>
        <w:rPr>
          <w:rFonts w:asciiTheme="minorHAnsi" w:hAnsiTheme="minorHAnsi" w:cs="Arial"/>
        </w:rPr>
      </w:pPr>
      <w:r>
        <w:rPr>
          <w:rFonts w:asciiTheme="minorHAnsi" w:hAnsiTheme="minorHAnsi" w:cs="Arial"/>
        </w:rPr>
        <w:t xml:space="preserve">Participate in full </w:t>
      </w:r>
      <w:r w:rsidR="005A349D">
        <w:rPr>
          <w:rFonts w:asciiTheme="minorHAnsi" w:hAnsiTheme="minorHAnsi" w:cs="Arial"/>
        </w:rPr>
        <w:t xml:space="preserve">mission </w:t>
      </w:r>
      <w:r>
        <w:rPr>
          <w:rFonts w:asciiTheme="minorHAnsi" w:hAnsiTheme="minorHAnsi" w:cs="Arial"/>
        </w:rPr>
        <w:t>itinerary times and dates with the IDC/ISDA and other recipients</w:t>
      </w:r>
    </w:p>
    <w:p w14:paraId="28A547EF" w14:textId="66DF57F3" w:rsidR="00BB2AAE" w:rsidRPr="00F735CE" w:rsidRDefault="00BB2AAE" w:rsidP="00BB2AAE">
      <w:pPr>
        <w:pStyle w:val="ListParagraph"/>
        <w:numPr>
          <w:ilvl w:val="0"/>
          <w:numId w:val="25"/>
        </w:numPr>
        <w:spacing w:after="0" w:line="259" w:lineRule="auto"/>
        <w:contextualSpacing/>
        <w:rPr>
          <w:rFonts w:asciiTheme="minorHAnsi" w:hAnsiTheme="minorHAnsi" w:cs="Arial"/>
        </w:rPr>
      </w:pPr>
      <w:r w:rsidRPr="00F735CE">
        <w:rPr>
          <w:rFonts w:asciiTheme="minorHAnsi" w:hAnsiTheme="minorHAnsi" w:cs="Arial"/>
        </w:rPr>
        <w:t>Provide company literature, summaries, and logos for marketing brochure</w:t>
      </w:r>
      <w:r w:rsidR="00823026">
        <w:rPr>
          <w:rFonts w:asciiTheme="minorHAnsi" w:hAnsiTheme="minorHAnsi" w:cs="Arial"/>
        </w:rPr>
        <w:t xml:space="preserve"> upon request and in a timely manner</w:t>
      </w:r>
    </w:p>
    <w:p w14:paraId="67C55AB0" w14:textId="6C22188B" w:rsidR="00BB2AAE" w:rsidRPr="00F735CE" w:rsidRDefault="00BB2AAE" w:rsidP="00BB2AAE">
      <w:pPr>
        <w:pStyle w:val="ListParagraph"/>
        <w:numPr>
          <w:ilvl w:val="0"/>
          <w:numId w:val="25"/>
        </w:numPr>
        <w:spacing w:after="0" w:line="259" w:lineRule="auto"/>
        <w:contextualSpacing/>
        <w:rPr>
          <w:rFonts w:asciiTheme="minorHAnsi" w:hAnsiTheme="minorHAnsi" w:cs="Arial"/>
        </w:rPr>
      </w:pPr>
      <w:r w:rsidRPr="00F735CE">
        <w:rPr>
          <w:rFonts w:asciiTheme="minorHAnsi" w:hAnsiTheme="minorHAnsi" w:cs="Arial"/>
        </w:rPr>
        <w:t xml:space="preserve">Attend all conference calls and meetings that pertain </w:t>
      </w:r>
      <w:r w:rsidR="00531DEA">
        <w:rPr>
          <w:rFonts w:asciiTheme="minorHAnsi" w:hAnsiTheme="minorHAnsi" w:cs="Arial"/>
        </w:rPr>
        <w:t>to the trade mission</w:t>
      </w:r>
    </w:p>
    <w:p w14:paraId="1934FAFD" w14:textId="74D37B03" w:rsidR="00BB2AAE" w:rsidRDefault="00BB2AAE" w:rsidP="00BB2AAE">
      <w:pPr>
        <w:pStyle w:val="ListParagraph"/>
        <w:numPr>
          <w:ilvl w:val="0"/>
          <w:numId w:val="25"/>
        </w:numPr>
        <w:spacing w:after="0" w:line="259" w:lineRule="auto"/>
        <w:contextualSpacing/>
        <w:rPr>
          <w:rFonts w:asciiTheme="minorHAnsi" w:hAnsiTheme="minorHAnsi" w:cs="Arial"/>
        </w:rPr>
      </w:pPr>
      <w:r w:rsidRPr="00F735CE">
        <w:rPr>
          <w:rFonts w:asciiTheme="minorHAnsi" w:hAnsiTheme="minorHAnsi" w:cs="Arial"/>
        </w:rPr>
        <w:t>Clearly communicate product/servi</w:t>
      </w:r>
      <w:r w:rsidR="005A349D">
        <w:rPr>
          <w:rFonts w:asciiTheme="minorHAnsi" w:hAnsiTheme="minorHAnsi" w:cs="Arial"/>
        </w:rPr>
        <w:t>ce intricacies to IDC/ISDA</w:t>
      </w:r>
      <w:r w:rsidRPr="00F735CE">
        <w:rPr>
          <w:rFonts w:asciiTheme="minorHAnsi" w:hAnsiTheme="minorHAnsi" w:cs="Arial"/>
        </w:rPr>
        <w:t xml:space="preserve"> &amp; USCS</w:t>
      </w:r>
    </w:p>
    <w:p w14:paraId="2457B120" w14:textId="302C4085" w:rsidR="00823026" w:rsidRPr="00F735CE" w:rsidRDefault="00823026" w:rsidP="00BB2AAE">
      <w:pPr>
        <w:pStyle w:val="ListParagraph"/>
        <w:numPr>
          <w:ilvl w:val="0"/>
          <w:numId w:val="25"/>
        </w:numPr>
        <w:spacing w:after="0" w:line="259" w:lineRule="auto"/>
        <w:contextualSpacing/>
        <w:rPr>
          <w:rFonts w:asciiTheme="minorHAnsi" w:hAnsiTheme="minorHAnsi" w:cs="Arial"/>
        </w:rPr>
      </w:pPr>
      <w:r>
        <w:rPr>
          <w:rFonts w:asciiTheme="minorHAnsi" w:hAnsiTheme="minorHAnsi" w:cs="Arial"/>
        </w:rPr>
        <w:t xml:space="preserve">Facilitate flight and hotel reservations and provide IDC/ISDA with copies </w:t>
      </w:r>
    </w:p>
    <w:p w14:paraId="70C28EEC" w14:textId="55EA9C16" w:rsidR="00BB2AAE" w:rsidRPr="00823026" w:rsidRDefault="00823026" w:rsidP="00820AAB">
      <w:pPr>
        <w:pStyle w:val="ListParagraph"/>
        <w:numPr>
          <w:ilvl w:val="0"/>
          <w:numId w:val="25"/>
        </w:numPr>
        <w:spacing w:after="0" w:line="259" w:lineRule="auto"/>
        <w:contextualSpacing/>
        <w:jc w:val="both"/>
        <w:rPr>
          <w:rFonts w:asciiTheme="minorHAnsi" w:hAnsiTheme="minorHAnsi" w:cs="Arial"/>
        </w:rPr>
      </w:pPr>
      <w:r w:rsidRPr="00823026">
        <w:rPr>
          <w:rFonts w:asciiTheme="minorHAnsi" w:hAnsiTheme="minorHAnsi" w:cs="Arial"/>
        </w:rPr>
        <w:t xml:space="preserve">Responsible for costs outside of the project including, but not limited to:  </w:t>
      </w:r>
      <w:r w:rsidR="00BB2AAE" w:rsidRPr="00823026">
        <w:rPr>
          <w:rFonts w:asciiTheme="minorHAnsi" w:hAnsiTheme="minorHAnsi" w:cs="Arial"/>
        </w:rPr>
        <w:t>food, ground</w:t>
      </w:r>
      <w:r w:rsidR="000C31D1" w:rsidRPr="00823026">
        <w:rPr>
          <w:rFonts w:asciiTheme="minorHAnsi" w:hAnsiTheme="minorHAnsi" w:cs="Arial"/>
        </w:rPr>
        <w:t xml:space="preserve"> transportation</w:t>
      </w:r>
      <w:r w:rsidR="00BB2AAE" w:rsidRPr="00823026">
        <w:rPr>
          <w:rFonts w:asciiTheme="minorHAnsi" w:hAnsiTheme="minorHAnsi" w:cs="Arial"/>
        </w:rPr>
        <w:t>, traveler</w:t>
      </w:r>
      <w:r w:rsidR="0014461B">
        <w:rPr>
          <w:rFonts w:asciiTheme="minorHAnsi" w:hAnsiTheme="minorHAnsi" w:cs="Arial"/>
        </w:rPr>
        <w:t xml:space="preserve"> costs</w:t>
      </w:r>
      <w:r w:rsidR="00BB2AAE" w:rsidRPr="00823026">
        <w:rPr>
          <w:rFonts w:asciiTheme="minorHAnsi" w:hAnsiTheme="minorHAnsi" w:cs="Arial"/>
        </w:rPr>
        <w:t>, change fees</w:t>
      </w:r>
      <w:r w:rsidRPr="00823026">
        <w:rPr>
          <w:rFonts w:asciiTheme="minorHAnsi" w:hAnsiTheme="minorHAnsi" w:cs="Arial"/>
        </w:rPr>
        <w:t>, additional shipping costs, and any</w:t>
      </w:r>
      <w:r>
        <w:rPr>
          <w:rFonts w:asciiTheme="minorHAnsi" w:hAnsiTheme="minorHAnsi" w:cs="Arial"/>
        </w:rPr>
        <w:t xml:space="preserve"> change/cancellations fees </w:t>
      </w:r>
    </w:p>
    <w:p w14:paraId="1C12855B" w14:textId="4778DD73" w:rsidR="001D4277" w:rsidRPr="00F735CE" w:rsidRDefault="001D4277" w:rsidP="00F735CE">
      <w:pPr>
        <w:pStyle w:val="ListParagraph"/>
        <w:numPr>
          <w:ilvl w:val="0"/>
          <w:numId w:val="3"/>
        </w:numPr>
        <w:tabs>
          <w:tab w:val="left" w:pos="360"/>
        </w:tabs>
        <w:spacing w:before="240" w:after="0"/>
        <w:ind w:hanging="1440"/>
        <w:rPr>
          <w:b/>
          <w:bCs/>
          <w:sz w:val="16"/>
          <w:szCs w:val="16"/>
        </w:rPr>
      </w:pPr>
      <w:r w:rsidRPr="00F735CE">
        <w:rPr>
          <w:b/>
          <w:bCs/>
        </w:rPr>
        <w:t>Program Uses</w:t>
      </w:r>
      <w:r w:rsidR="00BB2AAE" w:rsidRPr="00F735CE">
        <w:rPr>
          <w:b/>
          <w:bCs/>
        </w:rPr>
        <w:t xml:space="preserve"> </w:t>
      </w:r>
    </w:p>
    <w:p w14:paraId="0D92A717" w14:textId="77777777" w:rsidR="001D4277" w:rsidRPr="00F735CE" w:rsidRDefault="001D4277" w:rsidP="001D4277">
      <w:pPr>
        <w:tabs>
          <w:tab w:val="left" w:pos="360"/>
        </w:tabs>
        <w:spacing w:after="0"/>
        <w:rPr>
          <w:b/>
          <w:bCs/>
          <w:sz w:val="16"/>
          <w:szCs w:val="16"/>
        </w:rPr>
      </w:pPr>
    </w:p>
    <w:p w14:paraId="4E20C537" w14:textId="048EF654" w:rsidR="001D4277" w:rsidRPr="00F735CE" w:rsidRDefault="00043818" w:rsidP="001D4277">
      <w:pPr>
        <w:pStyle w:val="ListParagraph"/>
        <w:tabs>
          <w:tab w:val="left" w:pos="360"/>
        </w:tabs>
        <w:spacing w:after="0"/>
        <w:ind w:left="360"/>
      </w:pPr>
      <w:r w:rsidRPr="00F735CE">
        <w:t>The p</w:t>
      </w:r>
      <w:r w:rsidR="001D4277" w:rsidRPr="00F735CE">
        <w:t>rogram was designed with flexibility to meet the specific international marketing needs of Idaho compan</w:t>
      </w:r>
      <w:r w:rsidR="000D14E9" w:rsidRPr="00F735CE">
        <w:t>ies</w:t>
      </w:r>
      <w:r w:rsidR="00735FB3" w:rsidRPr="00F735CE">
        <w:t xml:space="preserve">.  Approved </w:t>
      </w:r>
      <w:r w:rsidR="00BB2AAE" w:rsidRPr="00F735CE">
        <w:t xml:space="preserve">IDC/ISDA Trade </w:t>
      </w:r>
      <w:r w:rsidR="005A349D">
        <w:t>Missions</w:t>
      </w:r>
      <w:r w:rsidR="001D4277" w:rsidRPr="00F735CE">
        <w:t xml:space="preserve"> </w:t>
      </w:r>
      <w:r w:rsidR="00531DEA">
        <w:t xml:space="preserve">for 2018 </w:t>
      </w:r>
      <w:r w:rsidR="001D4277" w:rsidRPr="00F735CE">
        <w:t>include the following:</w:t>
      </w:r>
    </w:p>
    <w:p w14:paraId="1032EE14" w14:textId="126320C0" w:rsidR="00F95B6A" w:rsidRPr="00167F68" w:rsidRDefault="005A349D" w:rsidP="00F95B6A">
      <w:pPr>
        <w:numPr>
          <w:ilvl w:val="0"/>
          <w:numId w:val="23"/>
        </w:numPr>
        <w:shd w:val="clear" w:color="auto" w:fill="FFFFFF"/>
        <w:spacing w:before="100" w:beforeAutospacing="1" w:after="100" w:afterAutospacing="1" w:line="300" w:lineRule="atLeast"/>
        <w:rPr>
          <w:rFonts w:cs="Arial"/>
          <w:color w:val="212123"/>
        </w:rPr>
      </w:pPr>
      <w:r>
        <w:rPr>
          <w:rFonts w:cs="Arial"/>
          <w:color w:val="212123"/>
        </w:rPr>
        <w:lastRenderedPageBreak/>
        <w:t>Governor</w:t>
      </w:r>
      <w:r w:rsidR="00823026">
        <w:rPr>
          <w:rFonts w:cs="Arial"/>
          <w:color w:val="212123"/>
        </w:rPr>
        <w:t xml:space="preserve"> Led Trade Mission to Canada </w:t>
      </w:r>
      <w:r w:rsidR="00AD0851">
        <w:rPr>
          <w:rFonts w:cs="Arial"/>
          <w:color w:val="212123"/>
        </w:rPr>
        <w:t>–</w:t>
      </w:r>
      <w:r>
        <w:rPr>
          <w:rFonts w:cs="Arial"/>
          <w:color w:val="212123"/>
        </w:rPr>
        <w:t xml:space="preserve"> </w:t>
      </w:r>
      <w:r w:rsidR="00AD0851">
        <w:rPr>
          <w:rFonts w:cs="Arial"/>
          <w:color w:val="212123"/>
        </w:rPr>
        <w:t xml:space="preserve">October 1-4, </w:t>
      </w:r>
      <w:r w:rsidR="00F95B6A" w:rsidRPr="00167F68">
        <w:rPr>
          <w:rFonts w:cs="Arial"/>
          <w:color w:val="212123"/>
        </w:rPr>
        <w:t>2018</w:t>
      </w:r>
    </w:p>
    <w:p w14:paraId="4C28A589" w14:textId="77777777" w:rsidR="001D4277" w:rsidRPr="00213BAD" w:rsidRDefault="001D4277" w:rsidP="001D4277">
      <w:pPr>
        <w:pStyle w:val="ListParagraph"/>
        <w:numPr>
          <w:ilvl w:val="0"/>
          <w:numId w:val="3"/>
        </w:numPr>
        <w:tabs>
          <w:tab w:val="left" w:pos="360"/>
        </w:tabs>
        <w:spacing w:after="0"/>
        <w:ind w:hanging="1440"/>
        <w:rPr>
          <w:b/>
          <w:bCs/>
          <w:sz w:val="16"/>
          <w:szCs w:val="16"/>
        </w:rPr>
      </w:pPr>
      <w:r w:rsidRPr="00BD6E33">
        <w:rPr>
          <w:b/>
          <w:bCs/>
        </w:rPr>
        <w:t>Qualificatio</w:t>
      </w:r>
      <w:r>
        <w:rPr>
          <w:b/>
          <w:bCs/>
        </w:rPr>
        <w:t>n</w:t>
      </w:r>
    </w:p>
    <w:p w14:paraId="4E6352FC" w14:textId="77777777" w:rsidR="001D4277" w:rsidRPr="00213BAD" w:rsidRDefault="001D4277" w:rsidP="001D4277">
      <w:pPr>
        <w:tabs>
          <w:tab w:val="left" w:pos="360"/>
        </w:tabs>
        <w:spacing w:after="0"/>
        <w:rPr>
          <w:b/>
          <w:bCs/>
          <w:sz w:val="16"/>
          <w:szCs w:val="16"/>
        </w:rPr>
      </w:pPr>
    </w:p>
    <w:p w14:paraId="3CAAB4D7" w14:textId="77777777" w:rsidR="00A114A1" w:rsidRDefault="00A114A1" w:rsidP="00A114A1">
      <w:pPr>
        <w:pStyle w:val="ListParagraph"/>
        <w:tabs>
          <w:tab w:val="left" w:pos="360"/>
        </w:tabs>
        <w:spacing w:after="0"/>
        <w:ind w:left="360"/>
        <w:rPr>
          <w:rFonts w:asciiTheme="minorHAnsi" w:hAnsiTheme="minorHAnsi"/>
        </w:rPr>
      </w:pPr>
      <w:r w:rsidRPr="008F7D8B">
        <w:rPr>
          <w:rFonts w:asciiTheme="minorHAnsi" w:hAnsiTheme="minorHAnsi"/>
        </w:rPr>
        <w:t xml:space="preserve">The </w:t>
      </w:r>
      <w:r>
        <w:rPr>
          <w:rFonts w:asciiTheme="minorHAnsi" w:hAnsiTheme="minorHAnsi"/>
        </w:rPr>
        <w:t>Trade Facilitation and Trade Enforcement Act of 2015</w:t>
      </w:r>
      <w:r w:rsidRPr="008F7D8B">
        <w:rPr>
          <w:rFonts w:asciiTheme="minorHAnsi" w:hAnsiTheme="minorHAnsi"/>
        </w:rPr>
        <w:t>, which authorized the State Trade Expansion Program, limits provision of services to ‘eligible small business concerns’.  For purposes of implementing the STEP Program, the U.S. Small Business Administration (SBA) operationally defines the term ‘eligible small business concern’ as an entity that meets the specifications below and completes the subsequent certification.</w:t>
      </w:r>
    </w:p>
    <w:p w14:paraId="7BE87FAF" w14:textId="77777777" w:rsidR="00A114A1" w:rsidRDefault="00A114A1" w:rsidP="00A114A1">
      <w:pPr>
        <w:pStyle w:val="ListParagraph"/>
        <w:tabs>
          <w:tab w:val="left" w:pos="360"/>
        </w:tabs>
        <w:spacing w:after="0"/>
        <w:ind w:left="360"/>
        <w:rPr>
          <w:rFonts w:asciiTheme="minorHAnsi" w:hAnsiTheme="minorHAnsi"/>
        </w:rPr>
      </w:pPr>
    </w:p>
    <w:p w14:paraId="3F6CBAE7" w14:textId="77777777" w:rsidR="00EF09D6" w:rsidRPr="008F7D8B" w:rsidRDefault="00EF09D6" w:rsidP="00EF09D6">
      <w:pPr>
        <w:spacing w:after="0" w:line="259" w:lineRule="auto"/>
        <w:ind w:left="360"/>
        <w:contextualSpacing/>
        <w:rPr>
          <w:rFonts w:asciiTheme="minorHAnsi" w:hAnsiTheme="minorHAnsi" w:cs="Times New Roman"/>
        </w:rPr>
      </w:pPr>
      <w:r w:rsidRPr="008F7D8B">
        <w:rPr>
          <w:rFonts w:asciiTheme="minorHAnsi" w:hAnsiTheme="minorHAnsi"/>
        </w:rPr>
        <w:t>Complies with SBA requirements for self-representation as an eligible small business concern:</w:t>
      </w:r>
    </w:p>
    <w:p w14:paraId="494B014A" w14:textId="77777777" w:rsidR="00EF09D6" w:rsidRPr="008F7D8B" w:rsidRDefault="00EF09D6" w:rsidP="00EF09D6">
      <w:pPr>
        <w:pStyle w:val="ListParagraph"/>
        <w:numPr>
          <w:ilvl w:val="0"/>
          <w:numId w:val="2"/>
        </w:numPr>
        <w:autoSpaceDE w:val="0"/>
        <w:autoSpaceDN w:val="0"/>
        <w:adjustRightInd w:val="0"/>
        <w:spacing w:after="27"/>
        <w:ind w:left="108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Is organized or incorporated in the United States; </w:t>
      </w:r>
    </w:p>
    <w:p w14:paraId="5D7D57C3" w14:textId="77777777" w:rsidR="00EF09D6" w:rsidRPr="008F7D8B" w:rsidRDefault="00EF09D6" w:rsidP="00EF09D6">
      <w:pPr>
        <w:pStyle w:val="ListParagraph"/>
        <w:numPr>
          <w:ilvl w:val="0"/>
          <w:numId w:val="2"/>
        </w:numPr>
        <w:autoSpaceDE w:val="0"/>
        <w:autoSpaceDN w:val="0"/>
        <w:adjustRightInd w:val="0"/>
        <w:spacing w:after="27"/>
        <w:ind w:left="108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Is operating in the United States; </w:t>
      </w:r>
    </w:p>
    <w:p w14:paraId="2C9CB28D" w14:textId="77777777" w:rsidR="00EF09D6" w:rsidRPr="008F7D8B" w:rsidRDefault="00EF09D6" w:rsidP="00EF09D6">
      <w:pPr>
        <w:pStyle w:val="ListParagraph"/>
        <w:numPr>
          <w:ilvl w:val="0"/>
          <w:numId w:val="2"/>
        </w:numPr>
        <w:autoSpaceDE w:val="0"/>
        <w:autoSpaceDN w:val="0"/>
        <w:adjustRightInd w:val="0"/>
        <w:spacing w:after="0"/>
        <w:ind w:left="108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Meets </w:t>
      </w:r>
    </w:p>
    <w:p w14:paraId="127A957B" w14:textId="77777777" w:rsidR="00EF09D6" w:rsidRPr="008F7D8B" w:rsidRDefault="00EF09D6" w:rsidP="00EF09D6">
      <w:pPr>
        <w:pStyle w:val="ListParagraph"/>
        <w:numPr>
          <w:ilvl w:val="1"/>
          <w:numId w:val="2"/>
        </w:numPr>
        <w:autoSpaceDE w:val="0"/>
        <w:autoSpaceDN w:val="0"/>
        <w:adjustRightInd w:val="0"/>
        <w:spacing w:after="27"/>
        <w:ind w:left="180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The applicable industry-based small business size standard established under section 3 of the Small Business Act; or </w:t>
      </w:r>
    </w:p>
    <w:p w14:paraId="03C54363" w14:textId="77777777" w:rsidR="00EF09D6" w:rsidRPr="008F7D8B" w:rsidRDefault="00EF09D6" w:rsidP="00EF09D6">
      <w:pPr>
        <w:pStyle w:val="ListParagraph"/>
        <w:numPr>
          <w:ilvl w:val="1"/>
          <w:numId w:val="2"/>
        </w:numPr>
        <w:autoSpaceDE w:val="0"/>
        <w:autoSpaceDN w:val="0"/>
        <w:adjustRightInd w:val="0"/>
        <w:spacing w:after="0"/>
        <w:ind w:left="180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The alternate size standard applicable to the program under section 7(a) of the Small Business Act and the loan programs under title V of the Small Business Investment Act of 1958 (15 U.S.C. 695 et seq.); </w:t>
      </w:r>
    </w:p>
    <w:p w14:paraId="41B6ED2E" w14:textId="77777777" w:rsidR="00EF09D6" w:rsidRPr="008F7D8B" w:rsidRDefault="00EF09D6" w:rsidP="00EF09D6">
      <w:pPr>
        <w:autoSpaceDE w:val="0"/>
        <w:autoSpaceDN w:val="0"/>
        <w:adjustRightInd w:val="0"/>
        <w:spacing w:after="0"/>
        <w:ind w:left="1080"/>
        <w:rPr>
          <w:rFonts w:asciiTheme="minorHAnsi" w:eastAsiaTheme="minorHAnsi" w:hAnsiTheme="minorHAnsi" w:cs="Times New Roman"/>
          <w:color w:val="000000"/>
        </w:rPr>
      </w:pPr>
      <w:r w:rsidRPr="008F7D8B">
        <w:rPr>
          <w:rFonts w:asciiTheme="minorHAnsi" w:eastAsiaTheme="minorHAnsi" w:hAnsiTheme="minorHAnsi" w:cs="Times New Roman"/>
          <w:color w:val="000000"/>
        </w:rPr>
        <w:t>The U.S. Small Business Administration (SBA) size standards are found at 13 C.F.R. Part 121. Use the following sba.gov link for information on size standards for your business (</w:t>
      </w:r>
      <w:hyperlink r:id="rId8" w:history="1">
        <w:r w:rsidRPr="008F7D8B">
          <w:rPr>
            <w:rStyle w:val="Hyperlink"/>
            <w:rFonts w:asciiTheme="minorHAnsi" w:eastAsiaTheme="minorHAnsi" w:hAnsiTheme="minorHAnsi"/>
          </w:rPr>
          <w:t>https://www.sba.gov/category/navigation-structure/contracting/contracting-officials//small-business-size-standards</w:t>
        </w:r>
      </w:hyperlink>
      <w:r w:rsidRPr="008F7D8B">
        <w:rPr>
          <w:rFonts w:asciiTheme="minorHAnsi" w:eastAsiaTheme="minorHAnsi" w:hAnsiTheme="minorHAnsi" w:cs="Times New Roman"/>
          <w:color w:val="000000"/>
        </w:rPr>
        <w:t xml:space="preserve"> ) Click </w:t>
      </w:r>
      <w:hyperlink r:id="rId9" w:anchor="se13.1.121_1201" w:history="1">
        <w:r>
          <w:rPr>
            <w:rStyle w:val="Hyperlink"/>
            <w:rFonts w:asciiTheme="minorHAnsi" w:eastAsiaTheme="minorHAnsi" w:hAnsiTheme="minorHAnsi"/>
          </w:rPr>
          <w:t>HERE</w:t>
        </w:r>
      </w:hyperlink>
      <w:r w:rsidRPr="008F7D8B">
        <w:rPr>
          <w:rFonts w:asciiTheme="minorHAnsi" w:eastAsiaTheme="minorHAnsi" w:hAnsiTheme="minorHAnsi" w:cs="Times New Roman"/>
          <w:color w:val="000000"/>
        </w:rPr>
        <w:t xml:space="preserve"> to link directly to the complete list of SBA size standards used to define small business concerns based on NAICS codes.; </w:t>
      </w:r>
    </w:p>
    <w:p w14:paraId="21B5CABD" w14:textId="77777777" w:rsidR="00EF09D6" w:rsidRPr="008F7D8B" w:rsidRDefault="00EF09D6" w:rsidP="00EF09D6">
      <w:pPr>
        <w:pStyle w:val="ListParagraph"/>
        <w:numPr>
          <w:ilvl w:val="0"/>
          <w:numId w:val="2"/>
        </w:numPr>
        <w:autoSpaceDE w:val="0"/>
        <w:autoSpaceDN w:val="0"/>
        <w:adjustRightInd w:val="0"/>
        <w:spacing w:after="28"/>
        <w:ind w:left="108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Has been in business for not less than 1 year, as of the date on which assistance using a grant under this subsection commences; and </w:t>
      </w:r>
    </w:p>
    <w:p w14:paraId="562F8402" w14:textId="77777777" w:rsidR="00EF09D6" w:rsidRPr="008F7D8B" w:rsidRDefault="00EF09D6" w:rsidP="00EF09D6">
      <w:pPr>
        <w:pStyle w:val="ListParagraph"/>
        <w:numPr>
          <w:ilvl w:val="0"/>
          <w:numId w:val="2"/>
        </w:numPr>
        <w:autoSpaceDE w:val="0"/>
        <w:autoSpaceDN w:val="0"/>
        <w:adjustRightInd w:val="0"/>
        <w:spacing w:after="0"/>
        <w:ind w:left="1080"/>
        <w:rPr>
          <w:rFonts w:asciiTheme="minorHAnsi" w:eastAsiaTheme="minorHAnsi" w:hAnsiTheme="minorHAnsi" w:cs="Times New Roman"/>
          <w:color w:val="000000"/>
        </w:rPr>
      </w:pPr>
      <w:r w:rsidRPr="008F7D8B">
        <w:rPr>
          <w:rFonts w:asciiTheme="minorHAnsi" w:eastAsiaTheme="minorHAnsi" w:hAnsiTheme="minorHAnsi" w:cs="Times New Roman"/>
          <w:color w:val="000000"/>
        </w:rPr>
        <w:t xml:space="preserve">Has access to sufficient resources to bear the costs associated with trade, including the costs of packing, shipping, freight forwarding, and customs brokers. </w:t>
      </w:r>
    </w:p>
    <w:p w14:paraId="77E82846" w14:textId="77777777" w:rsidR="00EF09D6" w:rsidRPr="00253902" w:rsidRDefault="00EF09D6" w:rsidP="00EF09D6">
      <w:pPr>
        <w:tabs>
          <w:tab w:val="left" w:pos="360"/>
        </w:tabs>
        <w:spacing w:after="0" w:line="240" w:lineRule="exact"/>
        <w:ind w:left="360"/>
        <w:rPr>
          <w:rFonts w:asciiTheme="minorHAnsi" w:hAnsiTheme="minorHAnsi"/>
          <w:sz w:val="16"/>
          <w:szCs w:val="16"/>
        </w:rPr>
      </w:pPr>
    </w:p>
    <w:p w14:paraId="205E06AF" w14:textId="77777777" w:rsidR="00EF09D6" w:rsidRPr="00A06C3E" w:rsidRDefault="00EF09D6" w:rsidP="00EF09D6">
      <w:pPr>
        <w:tabs>
          <w:tab w:val="left" w:pos="360"/>
        </w:tabs>
        <w:spacing w:after="0" w:line="276" w:lineRule="auto"/>
        <w:ind w:left="360"/>
        <w:rPr>
          <w:rFonts w:asciiTheme="minorHAnsi" w:hAnsiTheme="minorHAnsi"/>
        </w:rPr>
      </w:pPr>
      <w:r w:rsidRPr="00A06C3E">
        <w:rPr>
          <w:rFonts w:asciiTheme="minorHAnsi" w:hAnsiTheme="minorHAnsi"/>
        </w:rPr>
        <w:t>Eligible small business must meet the following additional criteria to be considered for this program:</w:t>
      </w:r>
    </w:p>
    <w:p w14:paraId="523327C9"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Operates a business in Idaho to process, assemble, and/or distribute a product or provide an exportable service. The company does not need to be headquartered in Idaho, but must have operations located within the state to qualify.</w:t>
      </w:r>
    </w:p>
    <w:p w14:paraId="0F8A3D6A" w14:textId="77777777" w:rsidR="00EF09D6" w:rsidRPr="008F7D8B" w:rsidRDefault="00EF09D6" w:rsidP="00EF09D6">
      <w:pPr>
        <w:pStyle w:val="ListParagraph"/>
        <w:numPr>
          <w:ilvl w:val="0"/>
          <w:numId w:val="6"/>
        </w:numPr>
        <w:spacing w:after="100" w:afterAutospacing="1"/>
        <w:ind w:left="1080"/>
        <w:rPr>
          <w:rFonts w:asciiTheme="minorHAnsi" w:hAnsiTheme="minorHAnsi"/>
        </w:rPr>
      </w:pPr>
      <w:r w:rsidRPr="008F7D8B">
        <w:rPr>
          <w:rFonts w:asciiTheme="minorHAnsi" w:hAnsiTheme="minorHAnsi"/>
        </w:rPr>
        <w:t>Must not be debarred, suspended, proposed for disbarment, declared ineligible, or voluntarily excluded from participation in this transaction by any Federal department or agency.</w:t>
      </w:r>
    </w:p>
    <w:p w14:paraId="4562B47E" w14:textId="77777777" w:rsidR="00EF09D6" w:rsidRPr="008F7D8B" w:rsidRDefault="00EF09D6" w:rsidP="00EF09D6">
      <w:pPr>
        <w:pStyle w:val="ListParagraph"/>
        <w:numPr>
          <w:ilvl w:val="0"/>
          <w:numId w:val="6"/>
        </w:numPr>
        <w:spacing w:after="100" w:afterAutospacing="1"/>
        <w:ind w:left="1080"/>
        <w:rPr>
          <w:rFonts w:asciiTheme="minorHAnsi" w:hAnsiTheme="minorHAnsi"/>
        </w:rPr>
      </w:pPr>
      <w:r w:rsidRPr="008F7D8B">
        <w:rPr>
          <w:rFonts w:asciiTheme="minorHAnsi" w:hAnsiTheme="minorHAnsi"/>
        </w:rPr>
        <w:t>Company is for-profit</w:t>
      </w:r>
    </w:p>
    <w:p w14:paraId="76B32D52" w14:textId="77777777" w:rsidR="00EF09D6" w:rsidRPr="008F7D8B" w:rsidRDefault="00EF09D6" w:rsidP="00EF09D6">
      <w:pPr>
        <w:pStyle w:val="ListParagraph"/>
        <w:numPr>
          <w:ilvl w:val="0"/>
          <w:numId w:val="6"/>
        </w:numPr>
        <w:spacing w:after="0"/>
        <w:ind w:left="1080"/>
        <w:rPr>
          <w:rFonts w:asciiTheme="minorHAnsi" w:hAnsiTheme="minorHAnsi"/>
        </w:rPr>
      </w:pPr>
      <w:r w:rsidRPr="008F7D8B">
        <w:rPr>
          <w:rFonts w:asciiTheme="minorHAnsi" w:hAnsiTheme="minorHAnsi"/>
        </w:rPr>
        <w:t xml:space="preserve">Recipients must adhere </w:t>
      </w:r>
      <w:r>
        <w:rPr>
          <w:rFonts w:asciiTheme="minorHAnsi" w:hAnsiTheme="minorHAnsi"/>
        </w:rPr>
        <w:t xml:space="preserve">to the Civil Rights Act of 1964, click </w:t>
      </w:r>
      <w:hyperlink r:id="rId10" w:history="1">
        <w:r w:rsidRPr="00664D0A">
          <w:rPr>
            <w:rStyle w:val="Hyperlink"/>
            <w:rFonts w:asciiTheme="minorHAnsi" w:hAnsiTheme="minorHAnsi" w:cs="Calibri"/>
          </w:rPr>
          <w:t>HERE</w:t>
        </w:r>
      </w:hyperlink>
      <w:r>
        <w:rPr>
          <w:rFonts w:asciiTheme="minorHAnsi" w:hAnsiTheme="minorHAnsi"/>
        </w:rPr>
        <w:t xml:space="preserve"> for information.</w:t>
      </w:r>
      <w:r w:rsidRPr="008F7D8B">
        <w:rPr>
          <w:rFonts w:asciiTheme="minorHAnsi" w:hAnsiTheme="minorHAnsi"/>
        </w:rPr>
        <w:t xml:space="preserve">  </w:t>
      </w:r>
    </w:p>
    <w:p w14:paraId="52DEA40A" w14:textId="77777777" w:rsidR="00EF09D6" w:rsidRPr="00253902" w:rsidRDefault="00EF09D6" w:rsidP="00EF09D6">
      <w:pPr>
        <w:spacing w:after="0"/>
        <w:ind w:left="756"/>
        <w:rPr>
          <w:rFonts w:asciiTheme="minorHAnsi" w:hAnsiTheme="minorHAnsi"/>
          <w:sz w:val="16"/>
          <w:szCs w:val="16"/>
        </w:rPr>
      </w:pPr>
    </w:p>
    <w:p w14:paraId="4247FA36" w14:textId="77777777" w:rsidR="00EF09D6" w:rsidRPr="00A06C3E" w:rsidRDefault="00EF09D6" w:rsidP="00EF09D6">
      <w:pPr>
        <w:tabs>
          <w:tab w:val="left" w:pos="360"/>
        </w:tabs>
        <w:spacing w:after="0" w:line="240" w:lineRule="exact"/>
        <w:ind w:left="360"/>
        <w:rPr>
          <w:rFonts w:asciiTheme="minorHAnsi" w:hAnsiTheme="minorHAnsi"/>
        </w:rPr>
      </w:pPr>
      <w:r w:rsidRPr="00A06C3E">
        <w:rPr>
          <w:rFonts w:asciiTheme="minorHAnsi" w:hAnsiTheme="minorHAnsi"/>
        </w:rPr>
        <w:t xml:space="preserve">The following small businesses are not eligible for STEP funding: </w:t>
      </w:r>
    </w:p>
    <w:p w14:paraId="5E56B6A4"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Consulting agencies</w:t>
      </w:r>
    </w:p>
    <w:p w14:paraId="3FA9A74A"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Companies, organizations or individuals recruiting foreign direct investment</w:t>
      </w:r>
    </w:p>
    <w:p w14:paraId="6A83A96E"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Companies engaged in any activity that is illegal under Federal or state law</w:t>
      </w:r>
    </w:p>
    <w:p w14:paraId="5807E236"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Derives more than one-third of its gross annual revenue from legal gambling activities</w:t>
      </w:r>
    </w:p>
    <w:p w14:paraId="417E181F"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Distributors representing clients</w:t>
      </w:r>
    </w:p>
    <w:p w14:paraId="1D702352"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Educational institutions or for-profit schools recruiting students</w:t>
      </w:r>
    </w:p>
    <w:p w14:paraId="7207D442"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Foreign based companies</w:t>
      </w:r>
      <w:r>
        <w:rPr>
          <w:rFonts w:asciiTheme="minorHAnsi" w:hAnsiTheme="minorHAnsi"/>
        </w:rPr>
        <w:t xml:space="preserve"> or more than 49% foreign owned</w:t>
      </w:r>
    </w:p>
    <w:p w14:paraId="3166CF27"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Hospitality or tourism operators</w:t>
      </w:r>
    </w:p>
    <w:p w14:paraId="5025E9A7"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Law Firms</w:t>
      </w:r>
    </w:p>
    <w:p w14:paraId="59818761"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Multi-level marketing (MLM), direct sales or network marketing companies</w:t>
      </w:r>
    </w:p>
    <w:p w14:paraId="59337AAA"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lastRenderedPageBreak/>
        <w:t>Non-Profit organizations, unless a significant portion of activities are to assist entrepreneurs</w:t>
      </w:r>
    </w:p>
    <w:p w14:paraId="26F5B136"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Presents live performances of a sexual nature or derives more than a minor amount of revenue from the sale of products or services of a sexual nature</w:t>
      </w:r>
    </w:p>
    <w:p w14:paraId="3A9C3C36" w14:textId="77777777"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Real estate developers</w:t>
      </w:r>
    </w:p>
    <w:p w14:paraId="16BEA40F" w14:textId="77777777" w:rsidR="00EF09D6" w:rsidRDefault="00EF09D6" w:rsidP="00EF09D6">
      <w:pPr>
        <w:pStyle w:val="ListParagraph"/>
        <w:numPr>
          <w:ilvl w:val="0"/>
          <w:numId w:val="6"/>
        </w:numPr>
        <w:tabs>
          <w:tab w:val="left" w:pos="360"/>
        </w:tabs>
        <w:spacing w:after="0" w:line="240" w:lineRule="exact"/>
        <w:ind w:left="1080"/>
        <w:rPr>
          <w:rFonts w:asciiTheme="minorHAnsi" w:hAnsiTheme="minorHAnsi"/>
        </w:rPr>
      </w:pPr>
      <w:r w:rsidRPr="008F7D8B">
        <w:rPr>
          <w:rFonts w:asciiTheme="minorHAnsi" w:hAnsiTheme="minorHAnsi"/>
        </w:rPr>
        <w:t>Retail businesses</w:t>
      </w:r>
    </w:p>
    <w:p w14:paraId="2AA88F05" w14:textId="45E28012" w:rsidR="00EF09D6" w:rsidRPr="008F7D8B" w:rsidRDefault="00EF09D6" w:rsidP="00EF09D6">
      <w:pPr>
        <w:pStyle w:val="ListParagraph"/>
        <w:numPr>
          <w:ilvl w:val="0"/>
          <w:numId w:val="6"/>
        </w:numPr>
        <w:tabs>
          <w:tab w:val="left" w:pos="360"/>
        </w:tabs>
        <w:spacing w:after="0" w:line="240" w:lineRule="exact"/>
        <w:ind w:left="1080"/>
        <w:rPr>
          <w:rFonts w:asciiTheme="minorHAnsi" w:hAnsiTheme="minorHAnsi"/>
        </w:rPr>
      </w:pPr>
      <w:r>
        <w:rPr>
          <w:rFonts w:asciiTheme="minorHAnsi" w:hAnsiTheme="minorHAnsi"/>
        </w:rPr>
        <w:t>Companies assessed a risk rating from previous year(s) STEP awards may be deemed ineligible</w:t>
      </w:r>
    </w:p>
    <w:p w14:paraId="68EEA3CA" w14:textId="77777777" w:rsidR="003F0875" w:rsidRDefault="003F0875" w:rsidP="003F0875">
      <w:pPr>
        <w:tabs>
          <w:tab w:val="left" w:pos="360"/>
        </w:tabs>
        <w:spacing w:after="0" w:line="240" w:lineRule="exact"/>
        <w:ind w:left="720"/>
      </w:pPr>
    </w:p>
    <w:p w14:paraId="260E5F84" w14:textId="77777777" w:rsidR="001D4277" w:rsidRPr="00825761" w:rsidRDefault="001D4277" w:rsidP="00F95B6A">
      <w:pPr>
        <w:pStyle w:val="ListParagraph"/>
        <w:numPr>
          <w:ilvl w:val="0"/>
          <w:numId w:val="3"/>
        </w:numPr>
        <w:tabs>
          <w:tab w:val="left" w:pos="360"/>
        </w:tabs>
        <w:spacing w:before="240"/>
        <w:ind w:left="360"/>
        <w:rPr>
          <w:b/>
          <w:bCs/>
        </w:rPr>
      </w:pPr>
      <w:r w:rsidRPr="00825761">
        <w:rPr>
          <w:b/>
          <w:bCs/>
        </w:rPr>
        <w:t>Application Process</w:t>
      </w:r>
    </w:p>
    <w:p w14:paraId="5EF1D6F7" w14:textId="77777777" w:rsidR="00F668DD" w:rsidRDefault="00F668DD" w:rsidP="00F668DD">
      <w:pPr>
        <w:pStyle w:val="ListParagraph"/>
        <w:tabs>
          <w:tab w:val="left" w:pos="360"/>
        </w:tabs>
        <w:spacing w:before="240"/>
        <w:ind w:left="360"/>
        <w:rPr>
          <w:b/>
        </w:rPr>
      </w:pPr>
      <w:r>
        <w:rPr>
          <w:b/>
        </w:rPr>
        <w:t>Register &amp; Apply:</w:t>
      </w:r>
    </w:p>
    <w:p w14:paraId="7ED0998B" w14:textId="1B39589F" w:rsidR="00F668DD" w:rsidRDefault="00F668DD" w:rsidP="00F668DD">
      <w:pPr>
        <w:pStyle w:val="NormalWeb"/>
        <w:spacing w:after="0" w:afterAutospacing="0"/>
        <w:ind w:left="360"/>
        <w:rPr>
          <w:rFonts w:asciiTheme="minorHAnsi" w:hAnsiTheme="minorHAnsi" w:cs="Arial"/>
          <w:sz w:val="22"/>
          <w:szCs w:val="22"/>
        </w:rPr>
      </w:pPr>
      <w:r w:rsidRPr="004E2287">
        <w:rPr>
          <w:rFonts w:asciiTheme="minorHAnsi" w:hAnsiTheme="minorHAnsi" w:cs="Arial"/>
          <w:sz w:val="22"/>
          <w:szCs w:val="22"/>
        </w:rPr>
        <w:t>All applications are accepted online at</w:t>
      </w:r>
      <w:r>
        <w:rPr>
          <w:rFonts w:asciiTheme="minorHAnsi" w:hAnsiTheme="minorHAnsi" w:cs="Arial"/>
          <w:sz w:val="22"/>
          <w:szCs w:val="22"/>
        </w:rPr>
        <w:t xml:space="preserve"> </w:t>
      </w:r>
      <w:hyperlink r:id="rId11" w:history="1">
        <w:r w:rsidRPr="00F95B6A">
          <w:rPr>
            <w:rStyle w:val="Hyperlink"/>
            <w:rFonts w:asciiTheme="minorHAnsi" w:hAnsiTheme="minorHAnsi" w:cs="Arial"/>
            <w:sz w:val="22"/>
            <w:szCs w:val="22"/>
          </w:rPr>
          <w:t xml:space="preserve">Idaho Commerce’s </w:t>
        </w:r>
        <w:r w:rsidR="00695348" w:rsidRPr="00F95B6A">
          <w:rPr>
            <w:rStyle w:val="Hyperlink"/>
            <w:rFonts w:asciiTheme="minorHAnsi" w:hAnsiTheme="minorHAnsi" w:cs="Arial"/>
            <w:sz w:val="22"/>
            <w:szCs w:val="22"/>
          </w:rPr>
          <w:t xml:space="preserve">Grants </w:t>
        </w:r>
        <w:r w:rsidRPr="00F95B6A">
          <w:rPr>
            <w:rStyle w:val="Hyperlink"/>
            <w:rFonts w:asciiTheme="minorHAnsi" w:hAnsiTheme="minorHAnsi" w:cs="Arial"/>
            <w:sz w:val="22"/>
            <w:szCs w:val="22"/>
          </w:rPr>
          <w:t>Portal</w:t>
        </w:r>
      </w:hyperlink>
      <w:r w:rsidRPr="004E2287">
        <w:rPr>
          <w:rFonts w:asciiTheme="minorHAnsi" w:hAnsiTheme="minorHAnsi" w:cs="Arial"/>
          <w:sz w:val="22"/>
          <w:szCs w:val="22"/>
        </w:rPr>
        <w:t>. To register for an account and apply for a STEP</w:t>
      </w:r>
      <w:r>
        <w:rPr>
          <w:rFonts w:asciiTheme="minorHAnsi" w:hAnsiTheme="minorHAnsi" w:cs="Arial"/>
          <w:sz w:val="22"/>
          <w:szCs w:val="22"/>
        </w:rPr>
        <w:t xml:space="preserve"> </w:t>
      </w:r>
      <w:r w:rsidR="004A180B">
        <w:rPr>
          <w:rFonts w:asciiTheme="minorHAnsi" w:hAnsiTheme="minorHAnsi" w:cs="Arial"/>
          <w:sz w:val="22"/>
          <w:szCs w:val="22"/>
        </w:rPr>
        <w:t>Trade</w:t>
      </w:r>
      <w:r w:rsidR="00531DEA">
        <w:rPr>
          <w:rFonts w:asciiTheme="minorHAnsi" w:hAnsiTheme="minorHAnsi" w:cs="Arial"/>
          <w:sz w:val="22"/>
          <w:szCs w:val="22"/>
        </w:rPr>
        <w:t xml:space="preserve"> Mission</w:t>
      </w:r>
      <w:r w:rsidRPr="004E2287">
        <w:rPr>
          <w:rFonts w:asciiTheme="minorHAnsi" w:hAnsiTheme="minorHAnsi" w:cs="Arial"/>
          <w:sz w:val="22"/>
          <w:szCs w:val="22"/>
        </w:rPr>
        <w:t xml:space="preserve">, contact Tina Salisbury at </w:t>
      </w:r>
      <w:r>
        <w:rPr>
          <w:rFonts w:asciiTheme="minorHAnsi" w:hAnsiTheme="minorHAnsi" w:cs="Arial"/>
          <w:sz w:val="22"/>
          <w:szCs w:val="22"/>
        </w:rPr>
        <w:t xml:space="preserve">208-287-3164 or by email: </w:t>
      </w:r>
      <w:r>
        <w:rPr>
          <w:rFonts w:ascii="ZWAdobeF" w:hAnsi="ZWAdobeF" w:cs="ZWAdobeF"/>
          <w:sz w:val="2"/>
          <w:szCs w:val="2"/>
        </w:rPr>
        <w:t>33T</w:t>
      </w:r>
      <w:hyperlink r:id="rId12" w:history="1">
        <w:r>
          <w:rPr>
            <w:rFonts w:ascii="ZWAdobeF" w:hAnsi="ZWAdobeF" w:cs="ZWAdobeF"/>
            <w:sz w:val="2"/>
            <w:szCs w:val="2"/>
          </w:rPr>
          <w:t>33T</w:t>
        </w:r>
        <w:r w:rsidRPr="004E2287">
          <w:rPr>
            <w:rStyle w:val="Hyperlink"/>
            <w:rFonts w:asciiTheme="minorHAnsi" w:hAnsiTheme="minorHAnsi" w:cs="Arial"/>
            <w:sz w:val="22"/>
            <w:szCs w:val="22"/>
          </w:rPr>
          <w:t>tina.salisbury@commerce.idaho.gov</w:t>
        </w:r>
      </w:hyperlink>
      <w:r w:rsidRPr="0095117E">
        <w:rPr>
          <w:rStyle w:val="Hyperlink"/>
          <w:rFonts w:ascii="ZWAdobeF" w:hAnsi="ZWAdobeF" w:cs="ZWAdobeF"/>
          <w:sz w:val="2"/>
          <w:szCs w:val="2"/>
        </w:rPr>
        <w:t>33T</w:t>
      </w:r>
      <w:r>
        <w:rPr>
          <w:rStyle w:val="Hyperlink"/>
          <w:rFonts w:ascii="ZWAdobeF" w:hAnsi="ZWAdobeF" w:cs="ZWAdobeF"/>
          <w:sz w:val="2"/>
          <w:szCs w:val="2"/>
        </w:rPr>
        <w:t>33T</w:t>
      </w:r>
      <w:r>
        <w:rPr>
          <w:rFonts w:asciiTheme="minorHAnsi" w:hAnsiTheme="minorHAnsi" w:cs="Arial"/>
          <w:sz w:val="22"/>
          <w:szCs w:val="22"/>
        </w:rPr>
        <w:t>. Once registered you will receive instructions via email for using the portal.</w:t>
      </w:r>
    </w:p>
    <w:p w14:paraId="239F6534" w14:textId="77777777" w:rsidR="001D4277" w:rsidRPr="00213BAD" w:rsidRDefault="00F668DD" w:rsidP="00F668DD">
      <w:pPr>
        <w:tabs>
          <w:tab w:val="left" w:pos="360"/>
        </w:tabs>
        <w:spacing w:before="240"/>
        <w:rPr>
          <w:b/>
          <w:bCs/>
        </w:rPr>
      </w:pPr>
      <w:r>
        <w:rPr>
          <w:b/>
          <w:bCs/>
        </w:rPr>
        <w:t xml:space="preserve">      </w:t>
      </w:r>
      <w:r w:rsidR="00D64648">
        <w:rPr>
          <w:b/>
          <w:bCs/>
        </w:rPr>
        <w:t xml:space="preserve"> </w:t>
      </w:r>
      <w:r w:rsidR="001D4277" w:rsidRPr="00213BAD">
        <w:rPr>
          <w:b/>
          <w:bCs/>
        </w:rPr>
        <w:t>Submission Procedures</w:t>
      </w:r>
    </w:p>
    <w:p w14:paraId="4C7A7806" w14:textId="5A5223D3" w:rsidR="00113CA7" w:rsidRPr="00113CA7" w:rsidRDefault="00AD0851" w:rsidP="00113CA7">
      <w:pPr>
        <w:pStyle w:val="ListParagraph"/>
        <w:numPr>
          <w:ilvl w:val="0"/>
          <w:numId w:val="26"/>
        </w:numPr>
        <w:spacing w:after="0"/>
        <w:contextualSpacing/>
        <w:rPr>
          <w:bCs/>
        </w:rPr>
      </w:pPr>
      <w:bookmarkStart w:id="0" w:name="_Hlk516058826"/>
      <w:bookmarkStart w:id="1" w:name="_GoBack"/>
      <w:r>
        <w:t>Registration form must be submitted</w:t>
      </w:r>
      <w:r w:rsidR="00113CA7">
        <w:t xml:space="preserve"> to IDC/ISDA</w:t>
      </w:r>
      <w:r>
        <w:t xml:space="preserve"> by </w:t>
      </w:r>
      <w:r w:rsidR="00113CA7">
        <w:t xml:space="preserve">the </w:t>
      </w:r>
      <w:r w:rsidRPr="00113CA7">
        <w:rPr>
          <w:b/>
          <w:u w:val="single"/>
        </w:rPr>
        <w:t>June 29</w:t>
      </w:r>
      <w:r w:rsidRPr="00113CA7">
        <w:rPr>
          <w:b/>
          <w:u w:val="single"/>
          <w:vertAlign w:val="superscript"/>
        </w:rPr>
        <w:t>th</w:t>
      </w:r>
      <w:r>
        <w:t xml:space="preserve"> deadline.  </w:t>
      </w:r>
    </w:p>
    <w:p w14:paraId="3AC0D85C" w14:textId="2DE669D9" w:rsidR="00A62389" w:rsidRPr="00113CA7" w:rsidRDefault="00AD0851" w:rsidP="00113CA7">
      <w:pPr>
        <w:pStyle w:val="ListParagraph"/>
        <w:numPr>
          <w:ilvl w:val="0"/>
          <w:numId w:val="26"/>
        </w:numPr>
        <w:spacing w:after="0"/>
        <w:contextualSpacing/>
        <w:rPr>
          <w:bCs/>
        </w:rPr>
      </w:pPr>
      <w:r>
        <w:t>STEP a</w:t>
      </w:r>
      <w:r w:rsidR="001D4277">
        <w:t xml:space="preserve">pplication </w:t>
      </w:r>
      <w:r>
        <w:t xml:space="preserve">and </w:t>
      </w:r>
      <w:r w:rsidR="001D4277">
        <w:t xml:space="preserve">documents must be completed and uploaded </w:t>
      </w:r>
      <w:r w:rsidR="001D4277" w:rsidRPr="005E5B04">
        <w:t>to IDC</w:t>
      </w:r>
      <w:r w:rsidR="000E01D6">
        <w:t xml:space="preserve"> portal </w:t>
      </w:r>
      <w:bookmarkStart w:id="2" w:name="_Hlk516051366"/>
      <w:r>
        <w:t xml:space="preserve">by </w:t>
      </w:r>
      <w:r w:rsidRPr="00113CA7">
        <w:rPr>
          <w:b/>
          <w:u w:val="single"/>
        </w:rPr>
        <w:t>July 13</w:t>
      </w:r>
      <w:r w:rsidRPr="00113CA7">
        <w:rPr>
          <w:b/>
          <w:u w:val="single"/>
          <w:vertAlign w:val="superscript"/>
        </w:rPr>
        <w:t>th</w:t>
      </w:r>
      <w:r w:rsidRPr="00113CA7">
        <w:rPr>
          <w:b/>
          <w:u w:val="single"/>
        </w:rPr>
        <w:t xml:space="preserve"> at 3:00pm</w:t>
      </w:r>
      <w:bookmarkEnd w:id="2"/>
      <w:r w:rsidR="0020692F">
        <w:rPr>
          <w:b/>
          <w:u w:val="single"/>
        </w:rPr>
        <w:t xml:space="preserve"> MTN</w:t>
      </w:r>
      <w:r w:rsidR="001D4277" w:rsidRPr="004A180B">
        <w:t xml:space="preserve">. </w:t>
      </w:r>
      <w:r w:rsidR="000E01D6" w:rsidRPr="004A180B">
        <w:t xml:space="preserve"> </w:t>
      </w:r>
      <w:bookmarkEnd w:id="0"/>
      <w:bookmarkEnd w:id="1"/>
      <w:r w:rsidR="00A62389" w:rsidRPr="00113CA7">
        <w:rPr>
          <w:bCs/>
        </w:rPr>
        <w:t>The d</w:t>
      </w:r>
      <w:r w:rsidR="00403B00" w:rsidRPr="00113CA7">
        <w:rPr>
          <w:bCs/>
        </w:rPr>
        <w:t xml:space="preserve">epartment strives for a </w:t>
      </w:r>
      <w:r w:rsidRPr="00113CA7">
        <w:rPr>
          <w:bCs/>
        </w:rPr>
        <w:t>two-week</w:t>
      </w:r>
      <w:r w:rsidR="00403B00" w:rsidRPr="00113CA7">
        <w:rPr>
          <w:bCs/>
        </w:rPr>
        <w:t xml:space="preserve"> turnaround from application</w:t>
      </w:r>
      <w:r w:rsidR="00113CA7">
        <w:rPr>
          <w:bCs/>
        </w:rPr>
        <w:t xml:space="preserve"> deadline</w:t>
      </w:r>
      <w:r w:rsidR="00403B00" w:rsidRPr="00113CA7">
        <w:rPr>
          <w:bCs/>
        </w:rPr>
        <w:t xml:space="preserve"> to award.  </w:t>
      </w:r>
    </w:p>
    <w:p w14:paraId="0216BFDA" w14:textId="77777777" w:rsidR="001D4277" w:rsidRPr="004A180B" w:rsidRDefault="001D4277" w:rsidP="001D4277">
      <w:pPr>
        <w:pStyle w:val="ListParagraph"/>
        <w:tabs>
          <w:tab w:val="left" w:pos="360"/>
        </w:tabs>
        <w:spacing w:after="0"/>
        <w:ind w:left="360"/>
        <w:rPr>
          <w:b/>
        </w:rPr>
      </w:pPr>
    </w:p>
    <w:p w14:paraId="2D407CAA" w14:textId="684E850D" w:rsidR="001D4277" w:rsidRPr="004A180B" w:rsidRDefault="001D4277" w:rsidP="001D4277">
      <w:pPr>
        <w:tabs>
          <w:tab w:val="left" w:pos="360"/>
        </w:tabs>
        <w:contextualSpacing/>
        <w:rPr>
          <w:b/>
          <w:bCs/>
        </w:rPr>
      </w:pPr>
      <w:r w:rsidRPr="004A180B">
        <w:rPr>
          <w:b/>
          <w:bCs/>
        </w:rPr>
        <w:tab/>
        <w:t>Selection and Scoring Criteria</w:t>
      </w:r>
    </w:p>
    <w:p w14:paraId="7AE3FC60" w14:textId="77777777" w:rsidR="003A6664" w:rsidRPr="004A180B" w:rsidRDefault="003A6664" w:rsidP="001D4277">
      <w:pPr>
        <w:tabs>
          <w:tab w:val="left" w:pos="360"/>
        </w:tabs>
        <w:contextualSpacing/>
        <w:rPr>
          <w:b/>
          <w:bCs/>
        </w:rPr>
      </w:pPr>
    </w:p>
    <w:p w14:paraId="1DFB4B4B" w14:textId="77777777" w:rsidR="002F1097" w:rsidRPr="004A180B" w:rsidRDefault="002F1097" w:rsidP="002F1097">
      <w:pPr>
        <w:tabs>
          <w:tab w:val="left" w:pos="360"/>
        </w:tabs>
        <w:spacing w:after="0"/>
        <w:ind w:left="360"/>
      </w:pPr>
      <w:r w:rsidRPr="004A180B">
        <w:t>Applications for funding are evaluated using the following criteria and process:</w:t>
      </w:r>
    </w:p>
    <w:p w14:paraId="4C84454D" w14:textId="77777777" w:rsidR="002F1097" w:rsidRPr="004A180B" w:rsidRDefault="002F1097" w:rsidP="002F1097">
      <w:pPr>
        <w:pStyle w:val="ListParagraph"/>
        <w:numPr>
          <w:ilvl w:val="0"/>
          <w:numId w:val="5"/>
        </w:numPr>
        <w:tabs>
          <w:tab w:val="left" w:pos="360"/>
        </w:tabs>
        <w:spacing w:after="0" w:line="240" w:lineRule="exact"/>
      </w:pPr>
      <w:r w:rsidRPr="004A180B">
        <w:t>Applicant’s export capabilities, product/service potential, commitment and resources</w:t>
      </w:r>
    </w:p>
    <w:p w14:paraId="096378A3" w14:textId="77777777" w:rsidR="002F1097" w:rsidRDefault="002F1097" w:rsidP="002F1097">
      <w:pPr>
        <w:pStyle w:val="ListParagraph"/>
        <w:numPr>
          <w:ilvl w:val="0"/>
          <w:numId w:val="5"/>
        </w:numPr>
        <w:tabs>
          <w:tab w:val="left" w:pos="360"/>
        </w:tabs>
        <w:spacing w:after="0" w:line="240" w:lineRule="exact"/>
      </w:pPr>
      <w:r w:rsidRPr="004A180B">
        <w:t>Proposal completeness, reaso</w:t>
      </w:r>
      <w:r>
        <w:t>ning and potential impact on the Idaho company and the greater state economy</w:t>
      </w:r>
    </w:p>
    <w:p w14:paraId="4817BAA3" w14:textId="77777777" w:rsidR="000A4E77" w:rsidRDefault="000A4E77" w:rsidP="007D63F5">
      <w:pPr>
        <w:pStyle w:val="ListParagraph"/>
        <w:tabs>
          <w:tab w:val="left" w:pos="360"/>
        </w:tabs>
        <w:spacing w:after="0" w:line="240" w:lineRule="exact"/>
        <w:ind w:left="1080"/>
      </w:pPr>
    </w:p>
    <w:p w14:paraId="6A0B5FE7" w14:textId="213B7C9A" w:rsidR="00123A43" w:rsidRPr="008F7D8B" w:rsidRDefault="00123A43" w:rsidP="00123A43">
      <w:pPr>
        <w:ind w:left="360"/>
        <w:rPr>
          <w:rFonts w:asciiTheme="minorHAnsi" w:hAnsiTheme="minorHAnsi"/>
        </w:rPr>
      </w:pPr>
      <w:r>
        <w:rPr>
          <w:rFonts w:asciiTheme="minorHAnsi" w:hAnsiTheme="minorHAnsi"/>
        </w:rPr>
        <w:t>Once applications have been received and evaluated,</w:t>
      </w:r>
      <w:r w:rsidRPr="008F7D8B">
        <w:rPr>
          <w:rFonts w:asciiTheme="minorHAnsi" w:hAnsiTheme="minorHAnsi"/>
        </w:rPr>
        <w:t xml:space="preserve"> IDC and ISDA will </w:t>
      </w:r>
      <w:r>
        <w:rPr>
          <w:rFonts w:asciiTheme="minorHAnsi" w:hAnsiTheme="minorHAnsi"/>
        </w:rPr>
        <w:t xml:space="preserve">set a competitive range for applications and set a threshold score, below which application will not be </w:t>
      </w:r>
      <w:r w:rsidR="00531DEA">
        <w:rPr>
          <w:rFonts w:asciiTheme="minorHAnsi" w:hAnsiTheme="minorHAnsi"/>
        </w:rPr>
        <w:t>award</w:t>
      </w:r>
      <w:r>
        <w:rPr>
          <w:rFonts w:asciiTheme="minorHAnsi" w:hAnsiTheme="minorHAnsi"/>
        </w:rPr>
        <w:t>ed</w:t>
      </w:r>
      <w:r w:rsidRPr="008F7D8B">
        <w:rPr>
          <w:rFonts w:asciiTheme="minorHAnsi" w:hAnsiTheme="minorHAnsi"/>
        </w:rPr>
        <w:t>. The ratings will be a tool used in the fi</w:t>
      </w:r>
      <w:r>
        <w:rPr>
          <w:rFonts w:asciiTheme="minorHAnsi" w:hAnsiTheme="minorHAnsi"/>
        </w:rPr>
        <w:t>nal determination of the awards.</w:t>
      </w:r>
    </w:p>
    <w:p w14:paraId="6804FE00" w14:textId="77777777" w:rsidR="001D4277" w:rsidRDefault="00D618F7" w:rsidP="001D4277">
      <w:pPr>
        <w:ind w:left="360"/>
      </w:pPr>
      <w:r>
        <w:t xml:space="preserve">Additionally, up to </w:t>
      </w:r>
      <w:r w:rsidR="001D4277">
        <w:t>15-point bonus will be given to companies that are Woman Owned; Veteran or Service-Disabled Veteran Owned; located in rural communities (</w:t>
      </w:r>
      <w:r w:rsidR="001D4277" w:rsidRPr="00CB75A6">
        <w:t xml:space="preserve">defined as counties in which the largest town or city has </w:t>
      </w:r>
      <w:r w:rsidR="001D4277">
        <w:t>a population of less than 20,000</w:t>
      </w:r>
      <w:r w:rsidR="001D4277" w:rsidRPr="00CB75A6">
        <w:t>). </w:t>
      </w:r>
      <w:r w:rsidR="001D4277">
        <w:t xml:space="preserve"> </w:t>
      </w:r>
    </w:p>
    <w:p w14:paraId="22914455" w14:textId="77777777" w:rsidR="001D4277" w:rsidRDefault="001D4277" w:rsidP="001D4277">
      <w:pPr>
        <w:ind w:left="360"/>
      </w:pPr>
      <w:r>
        <w:t xml:space="preserve">A Risk Assessment Rating will apply only to previous </w:t>
      </w:r>
      <w:r w:rsidR="00981E46">
        <w:t>award</w:t>
      </w:r>
      <w:r>
        <w:t xml:space="preserve"> recipients for a possible -15 points.</w:t>
      </w:r>
    </w:p>
    <w:p w14:paraId="543F13F0" w14:textId="21AB90B6" w:rsidR="005940DD" w:rsidRDefault="005940DD" w:rsidP="001D4277">
      <w:pPr>
        <w:ind w:left="360"/>
      </w:pPr>
      <w:r>
        <w:rPr>
          <w:noProof/>
        </w:rPr>
        <w:lastRenderedPageBreak/>
        <w:drawing>
          <wp:inline distT="0" distB="0" distL="0" distR="0" wp14:anchorId="4DDB4BFD" wp14:editId="7E155777">
            <wp:extent cx="5943600" cy="2101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01215"/>
                    </a:xfrm>
                    <a:prstGeom prst="rect">
                      <a:avLst/>
                    </a:prstGeom>
                  </pic:spPr>
                </pic:pic>
              </a:graphicData>
            </a:graphic>
          </wp:inline>
        </w:drawing>
      </w:r>
    </w:p>
    <w:p w14:paraId="0B5A3A6E" w14:textId="55FB995C" w:rsidR="00493979" w:rsidRDefault="00493979" w:rsidP="00493979">
      <w:pPr>
        <w:spacing w:after="0"/>
        <w:ind w:left="360"/>
        <w:jc w:val="center"/>
        <w:rPr>
          <w:rFonts w:asciiTheme="minorHAnsi" w:hAnsiTheme="minorHAnsi"/>
        </w:rPr>
      </w:pPr>
      <w:r>
        <w:rPr>
          <w:noProof/>
        </w:rPr>
        <w:drawing>
          <wp:inline distT="0" distB="0" distL="0" distR="0" wp14:anchorId="4CA95A22" wp14:editId="30374AD8">
            <wp:extent cx="5943600"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2640"/>
                    </a:xfrm>
                    <a:prstGeom prst="rect">
                      <a:avLst/>
                    </a:prstGeom>
                  </pic:spPr>
                </pic:pic>
              </a:graphicData>
            </a:graphic>
          </wp:inline>
        </w:drawing>
      </w:r>
    </w:p>
    <w:p w14:paraId="1F8045F0" w14:textId="0227D719" w:rsidR="00493979" w:rsidRDefault="00493979" w:rsidP="00493979">
      <w:pPr>
        <w:spacing w:after="0"/>
        <w:ind w:left="360"/>
        <w:jc w:val="center"/>
        <w:rPr>
          <w:rFonts w:asciiTheme="minorHAnsi" w:hAnsiTheme="minorHAnsi"/>
        </w:rPr>
      </w:pPr>
      <w:r>
        <w:rPr>
          <w:noProof/>
        </w:rPr>
        <w:drawing>
          <wp:inline distT="0" distB="0" distL="0" distR="0" wp14:anchorId="7BB62D80" wp14:editId="16FC7439">
            <wp:extent cx="5943600" cy="24498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49830"/>
                    </a:xfrm>
                    <a:prstGeom prst="rect">
                      <a:avLst/>
                    </a:prstGeom>
                  </pic:spPr>
                </pic:pic>
              </a:graphicData>
            </a:graphic>
          </wp:inline>
        </w:drawing>
      </w:r>
    </w:p>
    <w:p w14:paraId="4D738192" w14:textId="77777777" w:rsidR="00531DEA" w:rsidRDefault="00531DEA" w:rsidP="00493979">
      <w:pPr>
        <w:spacing w:after="0"/>
        <w:ind w:left="360"/>
        <w:jc w:val="center"/>
        <w:rPr>
          <w:rFonts w:asciiTheme="minorHAnsi" w:hAnsiTheme="minorHAnsi"/>
        </w:rPr>
      </w:pPr>
    </w:p>
    <w:p w14:paraId="1BC5B2ED" w14:textId="29D201BC" w:rsidR="00123A43" w:rsidRPr="008F7D8B" w:rsidRDefault="00123A43" w:rsidP="00123A43">
      <w:pPr>
        <w:tabs>
          <w:tab w:val="left" w:pos="1080"/>
          <w:tab w:val="left" w:pos="1350"/>
        </w:tabs>
        <w:spacing w:before="240" w:after="0"/>
        <w:rPr>
          <w:rFonts w:asciiTheme="minorHAnsi" w:hAnsiTheme="minorHAnsi"/>
          <w:b/>
          <w:bCs/>
        </w:rPr>
      </w:pPr>
      <w:r w:rsidRPr="008F7D8B">
        <w:rPr>
          <w:rFonts w:asciiTheme="minorHAnsi" w:hAnsiTheme="minorHAnsi"/>
          <w:b/>
          <w:bCs/>
        </w:rPr>
        <w:lastRenderedPageBreak/>
        <w:t xml:space="preserve"> </w:t>
      </w:r>
      <w:r>
        <w:rPr>
          <w:rFonts w:asciiTheme="minorHAnsi" w:hAnsiTheme="minorHAnsi"/>
          <w:b/>
          <w:bCs/>
        </w:rPr>
        <w:t xml:space="preserve">F.         </w:t>
      </w:r>
      <w:r w:rsidRPr="008F7D8B">
        <w:rPr>
          <w:rFonts w:asciiTheme="minorHAnsi" w:hAnsiTheme="minorHAnsi"/>
          <w:b/>
          <w:bCs/>
        </w:rPr>
        <w:t xml:space="preserve"> Financial Reporting </w:t>
      </w:r>
    </w:p>
    <w:p w14:paraId="0A6DE613" w14:textId="77777777" w:rsidR="00123A43" w:rsidRPr="005667E2" w:rsidRDefault="00123A43" w:rsidP="00123A43">
      <w:pPr>
        <w:tabs>
          <w:tab w:val="left" w:pos="1080"/>
          <w:tab w:val="left" w:pos="1350"/>
        </w:tabs>
        <w:spacing w:after="0"/>
        <w:rPr>
          <w:rFonts w:asciiTheme="minorHAnsi" w:hAnsiTheme="minorHAnsi"/>
          <w:b/>
          <w:bCs/>
          <w:sz w:val="8"/>
          <w:szCs w:val="8"/>
        </w:rPr>
      </w:pPr>
    </w:p>
    <w:p w14:paraId="35200E51" w14:textId="13B7AFBF" w:rsidR="00123A43" w:rsidRPr="008F7D8B" w:rsidRDefault="00123A43" w:rsidP="00123A43">
      <w:pPr>
        <w:tabs>
          <w:tab w:val="left" w:pos="1080"/>
          <w:tab w:val="left" w:pos="1350"/>
        </w:tabs>
        <w:spacing w:after="0"/>
        <w:ind w:left="720"/>
        <w:rPr>
          <w:rFonts w:asciiTheme="minorHAnsi" w:hAnsiTheme="minorHAnsi"/>
          <w:b/>
          <w:bCs/>
        </w:rPr>
      </w:pPr>
      <w:r w:rsidRPr="008F7D8B">
        <w:rPr>
          <w:rFonts w:asciiTheme="minorHAnsi" w:hAnsiTheme="minorHAnsi"/>
          <w:bCs/>
        </w:rPr>
        <w:t xml:space="preserve">Awardees will </w:t>
      </w:r>
      <w:r w:rsidR="005A349D">
        <w:rPr>
          <w:rFonts w:asciiTheme="minorHAnsi" w:hAnsiTheme="minorHAnsi"/>
          <w:bCs/>
        </w:rPr>
        <w:t>not receive any reimbursement</w:t>
      </w:r>
      <w:r w:rsidR="00531DEA">
        <w:rPr>
          <w:rFonts w:asciiTheme="minorHAnsi" w:hAnsiTheme="minorHAnsi"/>
          <w:bCs/>
        </w:rPr>
        <w:t>s</w:t>
      </w:r>
      <w:r w:rsidR="005A349D">
        <w:rPr>
          <w:rFonts w:asciiTheme="minorHAnsi" w:hAnsiTheme="minorHAnsi"/>
          <w:bCs/>
        </w:rPr>
        <w:t xml:space="preserve">.  The value of this award is the participation fee </w:t>
      </w:r>
      <w:r w:rsidR="00531DEA">
        <w:rPr>
          <w:rFonts w:asciiTheme="minorHAnsi" w:hAnsiTheme="minorHAnsi"/>
          <w:bCs/>
        </w:rPr>
        <w:t xml:space="preserve">only which </w:t>
      </w:r>
      <w:r w:rsidR="005A349D">
        <w:rPr>
          <w:rFonts w:asciiTheme="minorHAnsi" w:hAnsiTheme="minorHAnsi"/>
          <w:bCs/>
        </w:rPr>
        <w:t>will be waived for awardees.</w:t>
      </w:r>
    </w:p>
    <w:p w14:paraId="35CA1D3B" w14:textId="2B5E16DA" w:rsidR="001D4277" w:rsidRPr="00213BAD" w:rsidRDefault="00123A43" w:rsidP="00BB2AAE">
      <w:pPr>
        <w:tabs>
          <w:tab w:val="left" w:pos="1080"/>
          <w:tab w:val="left" w:pos="1350"/>
        </w:tabs>
        <w:spacing w:before="240" w:after="0"/>
        <w:rPr>
          <w:b/>
          <w:bCs/>
        </w:rPr>
      </w:pPr>
      <w:r>
        <w:rPr>
          <w:b/>
          <w:bCs/>
        </w:rPr>
        <w:t>G</w:t>
      </w:r>
      <w:r w:rsidR="00A457A6">
        <w:rPr>
          <w:b/>
          <w:bCs/>
        </w:rPr>
        <w:t xml:space="preserve">.           </w:t>
      </w:r>
      <w:r w:rsidR="001D4277" w:rsidRPr="00213BAD">
        <w:rPr>
          <w:b/>
          <w:bCs/>
        </w:rPr>
        <w:t>Quarterly Reporting Requirements</w:t>
      </w:r>
    </w:p>
    <w:p w14:paraId="25D032EE" w14:textId="77777777" w:rsidR="001D4277" w:rsidRDefault="001D4277" w:rsidP="001D4277">
      <w:pPr>
        <w:tabs>
          <w:tab w:val="left" w:pos="1080"/>
          <w:tab w:val="left" w:pos="1350"/>
        </w:tabs>
        <w:spacing w:after="0"/>
        <w:ind w:left="720"/>
        <w:rPr>
          <w:b/>
          <w:bCs/>
        </w:rPr>
      </w:pPr>
    </w:p>
    <w:p w14:paraId="3F3EADC7" w14:textId="77777777" w:rsidR="001D4277" w:rsidRPr="003D02E9" w:rsidRDefault="001D4277" w:rsidP="001D4277">
      <w:pPr>
        <w:tabs>
          <w:tab w:val="left" w:pos="1080"/>
          <w:tab w:val="left" w:pos="1350"/>
        </w:tabs>
        <w:spacing w:after="0"/>
        <w:ind w:left="720"/>
        <w:rPr>
          <w:bCs/>
        </w:rPr>
      </w:pPr>
      <w:r>
        <w:rPr>
          <w:b/>
          <w:bCs/>
        </w:rPr>
        <w:t>Progress Performance</w:t>
      </w:r>
      <w:r w:rsidRPr="00750B8E">
        <w:rPr>
          <w:b/>
          <w:bCs/>
        </w:rPr>
        <w:t xml:space="preserve"> Reporting</w:t>
      </w:r>
      <w:r>
        <w:rPr>
          <w:b/>
          <w:bCs/>
        </w:rPr>
        <w:t xml:space="preserve"> (PPR)</w:t>
      </w:r>
    </w:p>
    <w:p w14:paraId="629D728C" w14:textId="77777777" w:rsidR="001D4277" w:rsidRDefault="001D4277" w:rsidP="001D4277">
      <w:pPr>
        <w:pStyle w:val="ListParagraph"/>
        <w:tabs>
          <w:tab w:val="left" w:pos="1080"/>
          <w:tab w:val="left" w:pos="1350"/>
        </w:tabs>
        <w:rPr>
          <w:bCs/>
        </w:rPr>
      </w:pPr>
      <w:r>
        <w:rPr>
          <w:bCs/>
        </w:rPr>
        <w:t xml:space="preserve">Companies will be required to complete progress performance reports indicating projected and actual sales, activities performed, including success stories and/or trade barriers. A reminder email will be sent to recipients with instructions and reporting template as deadlines approach. </w:t>
      </w:r>
    </w:p>
    <w:p w14:paraId="4D405B19" w14:textId="77777777" w:rsidR="001D4277" w:rsidRPr="00B3290F" w:rsidRDefault="001D4277" w:rsidP="001D4277">
      <w:pPr>
        <w:tabs>
          <w:tab w:val="left" w:pos="1080"/>
          <w:tab w:val="left" w:pos="1350"/>
        </w:tabs>
        <w:spacing w:after="0"/>
        <w:ind w:left="720"/>
        <w:rPr>
          <w:b/>
          <w:bCs/>
        </w:rPr>
      </w:pPr>
      <w:r>
        <w:rPr>
          <w:bCs/>
        </w:rPr>
        <w:tab/>
      </w:r>
      <w:r>
        <w:rPr>
          <w:b/>
          <w:bCs/>
        </w:rPr>
        <w:t>Reporting S</w:t>
      </w:r>
      <w:r w:rsidRPr="00B3290F">
        <w:rPr>
          <w:b/>
          <w:bCs/>
        </w:rPr>
        <w:t>chedule:</w:t>
      </w:r>
    </w:p>
    <w:p w14:paraId="38F399AF" w14:textId="766D1221" w:rsidR="001D4277" w:rsidRPr="003F3098" w:rsidRDefault="003560D0" w:rsidP="003F3098">
      <w:pPr>
        <w:pStyle w:val="ListParagraph"/>
        <w:numPr>
          <w:ilvl w:val="0"/>
          <w:numId w:val="22"/>
        </w:numPr>
        <w:tabs>
          <w:tab w:val="left" w:pos="1080"/>
          <w:tab w:val="left" w:pos="1350"/>
        </w:tabs>
        <w:spacing w:after="0"/>
        <w:rPr>
          <w:bCs/>
        </w:rPr>
      </w:pPr>
      <w:r w:rsidRPr="003F3098">
        <w:rPr>
          <w:bCs/>
        </w:rPr>
        <w:t>30 days after project completion</w:t>
      </w:r>
    </w:p>
    <w:p w14:paraId="470B5C07" w14:textId="1E269478" w:rsidR="001D4277" w:rsidRPr="00123A43" w:rsidRDefault="00123A43" w:rsidP="00123A43">
      <w:pPr>
        <w:pStyle w:val="ListParagraph"/>
        <w:numPr>
          <w:ilvl w:val="0"/>
          <w:numId w:val="22"/>
        </w:numPr>
        <w:tabs>
          <w:tab w:val="left" w:pos="360"/>
          <w:tab w:val="left" w:pos="1080"/>
          <w:tab w:val="left" w:pos="1350"/>
        </w:tabs>
        <w:rPr>
          <w:rFonts w:asciiTheme="minorHAnsi" w:hAnsiTheme="minorHAnsi"/>
          <w:bCs/>
          <w:sz w:val="16"/>
          <w:szCs w:val="16"/>
        </w:rPr>
      </w:pPr>
      <w:r w:rsidRPr="00B7731E">
        <w:rPr>
          <w:rFonts w:asciiTheme="minorHAnsi" w:hAnsiTheme="minorHAnsi"/>
          <w:bCs/>
        </w:rPr>
        <w:t>March 1</w:t>
      </w:r>
      <w:r w:rsidR="00823026">
        <w:rPr>
          <w:rFonts w:asciiTheme="minorHAnsi" w:hAnsiTheme="minorHAnsi"/>
          <w:bCs/>
        </w:rPr>
        <w:t>, 2019</w:t>
      </w:r>
    </w:p>
    <w:p w14:paraId="19D64B0B" w14:textId="66353F8B" w:rsidR="001D4277" w:rsidRPr="00123A43" w:rsidRDefault="00123A43" w:rsidP="00123A43">
      <w:pPr>
        <w:tabs>
          <w:tab w:val="left" w:pos="360"/>
        </w:tabs>
        <w:rPr>
          <w:b/>
          <w:bCs/>
        </w:rPr>
      </w:pPr>
      <w:r>
        <w:rPr>
          <w:b/>
          <w:bCs/>
        </w:rPr>
        <w:t>H.</w:t>
      </w:r>
      <w:r w:rsidR="001D4277" w:rsidRPr="00123A43">
        <w:rPr>
          <w:b/>
          <w:bCs/>
        </w:rPr>
        <w:t xml:space="preserve">       Contacts</w:t>
      </w:r>
    </w:p>
    <w:p w14:paraId="4D0997F2" w14:textId="77777777" w:rsidR="001D4277" w:rsidRDefault="001D4277" w:rsidP="001D4277">
      <w:pPr>
        <w:tabs>
          <w:tab w:val="left" w:pos="360"/>
        </w:tabs>
        <w:contextualSpacing/>
      </w:pPr>
      <w:r>
        <w:rPr>
          <w:b/>
          <w:bCs/>
        </w:rPr>
        <w:tab/>
      </w:r>
      <w:r>
        <w:rPr>
          <w:b/>
          <w:bCs/>
        </w:rPr>
        <w:tab/>
      </w:r>
      <w:r>
        <w:t>For more information or questions, please contact:</w:t>
      </w:r>
    </w:p>
    <w:p w14:paraId="04170C8A" w14:textId="77777777" w:rsidR="001D4277" w:rsidRDefault="001D4277" w:rsidP="001D4277">
      <w:pPr>
        <w:tabs>
          <w:tab w:val="left" w:pos="360"/>
        </w:tabs>
        <w:contextualSpacing/>
      </w:pPr>
    </w:p>
    <w:p w14:paraId="0348B3A6" w14:textId="77777777" w:rsidR="001D4277" w:rsidRPr="00345635" w:rsidRDefault="001D4277" w:rsidP="001D4277">
      <w:pPr>
        <w:tabs>
          <w:tab w:val="left" w:pos="360"/>
        </w:tabs>
        <w:contextualSpacing/>
        <w:rPr>
          <w:b/>
          <w:bCs/>
        </w:rPr>
      </w:pPr>
      <w:r>
        <w:tab/>
      </w:r>
      <w:r>
        <w:tab/>
      </w:r>
      <w:r>
        <w:rPr>
          <w:b/>
          <w:bCs/>
        </w:rPr>
        <w:t>Tina Salisbury</w:t>
      </w:r>
      <w:r w:rsidRPr="00345635">
        <w:rPr>
          <w:b/>
          <w:bCs/>
        </w:rPr>
        <w:t>, Idaho Department of Commerce</w:t>
      </w:r>
    </w:p>
    <w:p w14:paraId="17208C8C" w14:textId="77777777" w:rsidR="001D4277" w:rsidRDefault="001D4277" w:rsidP="001D4277">
      <w:pPr>
        <w:tabs>
          <w:tab w:val="left" w:pos="360"/>
        </w:tabs>
        <w:contextualSpacing/>
      </w:pPr>
      <w:r>
        <w:tab/>
      </w:r>
      <w:r>
        <w:tab/>
        <w:t>Phone: (208) 287-3164</w:t>
      </w:r>
    </w:p>
    <w:p w14:paraId="56BC94E7" w14:textId="77777777" w:rsidR="001D4277" w:rsidRDefault="001D4277" w:rsidP="001D4277">
      <w:pPr>
        <w:tabs>
          <w:tab w:val="left" w:pos="360"/>
        </w:tabs>
        <w:contextualSpacing/>
        <w:rPr>
          <w:rFonts w:cs="Times New Roman"/>
        </w:rPr>
      </w:pPr>
      <w:r>
        <w:tab/>
      </w:r>
      <w:r>
        <w:tab/>
        <w:t xml:space="preserve">Email: </w:t>
      </w:r>
      <w:r>
        <w:rPr>
          <w:rFonts w:ascii="ZWAdobeF" w:hAnsi="ZWAdobeF" w:cs="ZWAdobeF"/>
          <w:sz w:val="2"/>
          <w:szCs w:val="2"/>
        </w:rPr>
        <w:t>33T</w:t>
      </w:r>
      <w:hyperlink r:id="rId16" w:history="1">
        <w:r>
          <w:rPr>
            <w:rFonts w:ascii="ZWAdobeF" w:hAnsi="ZWAdobeF" w:cs="ZWAdobeF"/>
            <w:sz w:val="2"/>
            <w:szCs w:val="2"/>
          </w:rPr>
          <w:t>33T</w:t>
        </w:r>
        <w:r w:rsidRPr="00630CBE">
          <w:rPr>
            <w:rStyle w:val="Hyperlink"/>
          </w:rPr>
          <w:t>tina.salisbury@commerce.idaho.gov</w:t>
        </w:r>
      </w:hyperlink>
      <w:r w:rsidRPr="0095117E">
        <w:rPr>
          <w:rStyle w:val="Hyperlink"/>
          <w:rFonts w:ascii="ZWAdobeF" w:hAnsi="ZWAdobeF" w:cs="ZWAdobeF"/>
          <w:sz w:val="2"/>
          <w:szCs w:val="2"/>
        </w:rPr>
        <w:t>33T</w:t>
      </w:r>
    </w:p>
    <w:p w14:paraId="1BA93BAF" w14:textId="77777777" w:rsidR="001D4277" w:rsidRDefault="001D4277" w:rsidP="001D4277">
      <w:pPr>
        <w:tabs>
          <w:tab w:val="left" w:pos="360"/>
        </w:tabs>
        <w:contextualSpacing/>
        <w:rPr>
          <w:rFonts w:cs="Times New Roman"/>
        </w:rPr>
      </w:pPr>
    </w:p>
    <w:p w14:paraId="46637347" w14:textId="4100A8A3" w:rsidR="001D4277" w:rsidRPr="00345635" w:rsidRDefault="001D4277" w:rsidP="001D4277">
      <w:pPr>
        <w:tabs>
          <w:tab w:val="left" w:pos="360"/>
        </w:tabs>
        <w:contextualSpacing/>
        <w:rPr>
          <w:b/>
          <w:bCs/>
        </w:rPr>
      </w:pPr>
      <w:r>
        <w:rPr>
          <w:b/>
          <w:bCs/>
        </w:rPr>
        <w:tab/>
      </w:r>
      <w:r>
        <w:rPr>
          <w:b/>
          <w:bCs/>
        </w:rPr>
        <w:tab/>
      </w:r>
      <w:r w:rsidR="00123A43">
        <w:rPr>
          <w:b/>
          <w:bCs/>
        </w:rPr>
        <w:t>Chelsea Conlon</w:t>
      </w:r>
      <w:r w:rsidRPr="00345635">
        <w:rPr>
          <w:b/>
          <w:bCs/>
        </w:rPr>
        <w:t xml:space="preserve">, Idaho </w:t>
      </w:r>
      <w:r>
        <w:rPr>
          <w:b/>
          <w:bCs/>
        </w:rPr>
        <w:t>State Department of Agriculture</w:t>
      </w:r>
    </w:p>
    <w:p w14:paraId="704A484D" w14:textId="77777777" w:rsidR="001D4277" w:rsidRPr="00CC1A3A" w:rsidRDefault="001D4277" w:rsidP="001D4277">
      <w:pPr>
        <w:tabs>
          <w:tab w:val="left" w:pos="360"/>
        </w:tabs>
        <w:contextualSpacing/>
        <w:rPr>
          <w:color w:val="FF0000"/>
        </w:rPr>
      </w:pPr>
      <w:r>
        <w:tab/>
      </w:r>
      <w:r>
        <w:tab/>
        <w:t>Phone: (208) 332-8678</w:t>
      </w:r>
    </w:p>
    <w:p w14:paraId="6CC4A62F" w14:textId="7D443E27" w:rsidR="001D4277" w:rsidRDefault="001D4277" w:rsidP="001D4277">
      <w:pPr>
        <w:tabs>
          <w:tab w:val="left" w:pos="360"/>
        </w:tabs>
        <w:contextualSpacing/>
      </w:pPr>
      <w:r>
        <w:tab/>
      </w:r>
      <w:r>
        <w:tab/>
        <w:t xml:space="preserve">Email: </w:t>
      </w:r>
      <w:r>
        <w:rPr>
          <w:rFonts w:ascii="ZWAdobeF" w:hAnsi="ZWAdobeF" w:cs="ZWAdobeF"/>
          <w:sz w:val="2"/>
          <w:szCs w:val="2"/>
        </w:rPr>
        <w:t>33T</w:t>
      </w:r>
      <w:hyperlink r:id="rId17" w:history="1">
        <w:r>
          <w:rPr>
            <w:rFonts w:ascii="ZWAdobeF" w:hAnsi="ZWAdobeF" w:cs="ZWAdobeF"/>
            <w:sz w:val="2"/>
            <w:szCs w:val="2"/>
          </w:rPr>
          <w:t>33T</w:t>
        </w:r>
        <w:hyperlink r:id="rId18" w:history="1">
          <w:r w:rsidR="00123A43" w:rsidRPr="005A3BF3">
            <w:rPr>
              <w:rStyle w:val="Hyperlink"/>
              <w:rFonts w:asciiTheme="minorHAnsi" w:hAnsiTheme="minorHAnsi"/>
            </w:rPr>
            <w:t>Chelsea.Conlon@isda.idaho.gov</w:t>
          </w:r>
        </w:hyperlink>
      </w:hyperlink>
      <w:r w:rsidRPr="0095117E">
        <w:rPr>
          <w:rStyle w:val="Hyperlink"/>
          <w:rFonts w:ascii="ZWAdobeF" w:hAnsi="ZWAdobeF" w:cs="ZWAdobeF"/>
          <w:sz w:val="2"/>
          <w:szCs w:val="2"/>
        </w:rPr>
        <w:t>33T</w:t>
      </w:r>
      <w:r>
        <w:rPr>
          <w:rStyle w:val="Hyperlink"/>
          <w:rFonts w:ascii="ZWAdobeF" w:hAnsi="ZWAdobeF" w:cs="ZWAdobeF"/>
          <w:sz w:val="2"/>
          <w:szCs w:val="2"/>
        </w:rPr>
        <w:t>33T</w:t>
      </w:r>
    </w:p>
    <w:p w14:paraId="4F284EC9" w14:textId="77777777" w:rsidR="001D4277" w:rsidRDefault="001D4277" w:rsidP="001D4277">
      <w:pPr>
        <w:tabs>
          <w:tab w:val="left" w:pos="360"/>
        </w:tabs>
        <w:contextualSpacing/>
        <w:rPr>
          <w:rFonts w:cs="Times New Roman"/>
          <w:sz w:val="28"/>
          <w:szCs w:val="28"/>
        </w:rPr>
      </w:pPr>
    </w:p>
    <w:p w14:paraId="4CA9F936" w14:textId="77777777" w:rsidR="00990229" w:rsidRPr="00B87A87" w:rsidRDefault="00990229" w:rsidP="001D4277">
      <w:pPr>
        <w:tabs>
          <w:tab w:val="left" w:pos="360"/>
        </w:tabs>
        <w:contextualSpacing/>
        <w:rPr>
          <w:rFonts w:cs="Times New Roman"/>
          <w:sz w:val="28"/>
          <w:szCs w:val="28"/>
        </w:rPr>
      </w:pPr>
    </w:p>
    <w:p w14:paraId="53E74B48" w14:textId="55C589EF" w:rsidR="001D4277" w:rsidRDefault="001D4277" w:rsidP="001D4277">
      <w:pPr>
        <w:tabs>
          <w:tab w:val="left" w:pos="360"/>
        </w:tabs>
        <w:contextualSpacing/>
        <w:jc w:val="center"/>
        <w:rPr>
          <w:i/>
        </w:rPr>
      </w:pPr>
      <w:r w:rsidRPr="00E30D27">
        <w:rPr>
          <w:i/>
        </w:rPr>
        <w:t xml:space="preserve">Funded in part through a </w:t>
      </w:r>
      <w:r w:rsidR="005940DD">
        <w:rPr>
          <w:i/>
        </w:rPr>
        <w:t>grant</w:t>
      </w:r>
      <w:r w:rsidRPr="00E30D27">
        <w:rPr>
          <w:i/>
        </w:rPr>
        <w:t xml:space="preserve"> with the U.S. Small Business Administration.</w:t>
      </w:r>
    </w:p>
    <w:p w14:paraId="2FCA63AF" w14:textId="77777777" w:rsidR="00990229" w:rsidRDefault="00990229" w:rsidP="001D4277">
      <w:pPr>
        <w:tabs>
          <w:tab w:val="left" w:pos="360"/>
        </w:tabs>
        <w:contextualSpacing/>
        <w:jc w:val="center"/>
        <w:rPr>
          <w:i/>
        </w:rPr>
      </w:pPr>
    </w:p>
    <w:p w14:paraId="025F0CF7" w14:textId="77777777" w:rsidR="00990229" w:rsidRDefault="00990229" w:rsidP="001D4277">
      <w:pPr>
        <w:tabs>
          <w:tab w:val="left" w:pos="360"/>
        </w:tabs>
        <w:contextualSpacing/>
        <w:jc w:val="center"/>
        <w:rPr>
          <w:i/>
        </w:rPr>
      </w:pPr>
    </w:p>
    <w:p w14:paraId="138111C9" w14:textId="77777777" w:rsidR="00990229" w:rsidRPr="00E30D27" w:rsidRDefault="00990229" w:rsidP="001D4277">
      <w:pPr>
        <w:tabs>
          <w:tab w:val="left" w:pos="360"/>
        </w:tabs>
        <w:contextualSpacing/>
        <w:jc w:val="center"/>
        <w:rPr>
          <w:i/>
        </w:rPr>
      </w:pPr>
    </w:p>
    <w:p w14:paraId="0C86E73A" w14:textId="77777777" w:rsidR="001D4277" w:rsidRPr="00B87A87" w:rsidRDefault="001D4277" w:rsidP="001D4277">
      <w:pPr>
        <w:tabs>
          <w:tab w:val="left" w:pos="360"/>
        </w:tabs>
        <w:contextualSpacing/>
        <w:jc w:val="center"/>
        <w:rPr>
          <w:sz w:val="8"/>
          <w:szCs w:val="8"/>
        </w:rPr>
      </w:pPr>
    </w:p>
    <w:p w14:paraId="3A0942A0" w14:textId="77777777" w:rsidR="00B87A87" w:rsidRPr="00B87A87" w:rsidRDefault="001D4277" w:rsidP="00B87A87">
      <w:pPr>
        <w:tabs>
          <w:tab w:val="left" w:pos="360"/>
        </w:tabs>
        <w:spacing w:after="0"/>
        <w:contextualSpacing/>
        <w:jc w:val="center"/>
        <w:rPr>
          <w:sz w:val="8"/>
          <w:szCs w:val="8"/>
        </w:rPr>
      </w:pPr>
      <w:r w:rsidRPr="0070189D">
        <w:rPr>
          <w:noProof/>
        </w:rPr>
        <w:drawing>
          <wp:inline distT="0" distB="0" distL="0" distR="0" wp14:anchorId="6AE5DD47" wp14:editId="677B5EE3">
            <wp:extent cx="1121895" cy="441960"/>
            <wp:effectExtent l="0" t="0" r="2540" b="0"/>
            <wp:docPr id="3" name="Picture 3" descr="I:\Marketing\Logos\SBA\s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Logos\SBA\sba-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9800" cy="456892"/>
                    </a:xfrm>
                    <a:prstGeom prst="rect">
                      <a:avLst/>
                    </a:prstGeom>
                    <a:noFill/>
                    <a:ln>
                      <a:noFill/>
                    </a:ln>
                  </pic:spPr>
                </pic:pic>
              </a:graphicData>
            </a:graphic>
          </wp:inline>
        </w:drawing>
      </w:r>
    </w:p>
    <w:p w14:paraId="669CFAE0" w14:textId="28082B54" w:rsidR="00DB3534" w:rsidRDefault="001D4277" w:rsidP="00B87A87">
      <w:pPr>
        <w:tabs>
          <w:tab w:val="left" w:pos="360"/>
        </w:tabs>
        <w:spacing w:after="0"/>
        <w:contextualSpacing/>
        <w:jc w:val="center"/>
      </w:pPr>
      <w:r w:rsidRPr="0070189D">
        <w:rPr>
          <w:noProof/>
        </w:rPr>
        <w:drawing>
          <wp:inline distT="0" distB="0" distL="0" distR="0" wp14:anchorId="769C92A0" wp14:editId="111F366E">
            <wp:extent cx="982980"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 Unification\Logos\Idaho Commerce Logo\Black\New-Idaho-Commerce-Logo.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3306" cy="983306"/>
                    </a:xfrm>
                    <a:prstGeom prst="rect">
                      <a:avLst/>
                    </a:prstGeom>
                    <a:noFill/>
                    <a:ln>
                      <a:noFill/>
                    </a:ln>
                  </pic:spPr>
                </pic:pic>
              </a:graphicData>
            </a:graphic>
          </wp:inline>
        </w:drawing>
      </w:r>
      <w:r>
        <w:t xml:space="preserve">                                                          </w:t>
      </w:r>
      <w:r w:rsidRPr="0070189D">
        <w:rPr>
          <w:noProof/>
        </w:rPr>
        <w:drawing>
          <wp:inline distT="0" distB="0" distL="0" distR="0" wp14:anchorId="19A51020" wp14:editId="7397B258">
            <wp:extent cx="1084107" cy="701040"/>
            <wp:effectExtent l="0" t="0" r="1905" b="3810"/>
            <wp:docPr id="2" name="Picture 2" descr="I:\Marketing\Trade Missions\Archived\2002\Asia\Graphics\logos\ISDA Oblong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rketing\Trade Missions\Archived\2002\Asia\Graphics\logos\ISDA Oblong Logo.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2434" cy="712891"/>
                    </a:xfrm>
                    <a:prstGeom prst="rect">
                      <a:avLst/>
                    </a:prstGeom>
                    <a:noFill/>
                    <a:ln>
                      <a:noFill/>
                    </a:ln>
                  </pic:spPr>
                </pic:pic>
              </a:graphicData>
            </a:graphic>
          </wp:inline>
        </w:drawing>
      </w:r>
    </w:p>
    <w:sectPr w:rsidR="00DB3534" w:rsidSect="002779E4">
      <w:pgSz w:w="12240" w:h="15840"/>
      <w:pgMar w:top="117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42E8" w14:textId="77777777" w:rsidR="00736289" w:rsidRDefault="00736289" w:rsidP="001D4277">
      <w:pPr>
        <w:spacing w:after="0"/>
      </w:pPr>
      <w:r>
        <w:separator/>
      </w:r>
    </w:p>
  </w:endnote>
  <w:endnote w:type="continuationSeparator" w:id="0">
    <w:p w14:paraId="1C98D114" w14:textId="77777777" w:rsidR="00736289" w:rsidRDefault="00736289" w:rsidP="001D42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F2A8" w14:textId="77777777" w:rsidR="00736289" w:rsidRDefault="00736289" w:rsidP="001D4277">
      <w:pPr>
        <w:spacing w:after="0"/>
      </w:pPr>
      <w:r>
        <w:separator/>
      </w:r>
    </w:p>
  </w:footnote>
  <w:footnote w:type="continuationSeparator" w:id="0">
    <w:p w14:paraId="37B52E70" w14:textId="77777777" w:rsidR="00736289" w:rsidRDefault="00736289" w:rsidP="001D42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6DB"/>
    <w:multiLevelType w:val="hybridMultilevel"/>
    <w:tmpl w:val="EF1E10D6"/>
    <w:lvl w:ilvl="0" w:tplc="1424064C">
      <w:start w:val="2270"/>
      <w:numFmt w:val="bullet"/>
      <w:lvlText w:val="-"/>
      <w:lvlJc w:val="left"/>
      <w:pPr>
        <w:ind w:left="390" w:hanging="360"/>
      </w:pPr>
      <w:rPr>
        <w:rFonts w:ascii="Calibri" w:eastAsia="Times New Roman" w:hAnsi="Calibri" w:hint="default"/>
        <w:b w:val="0"/>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1" w15:restartNumberingAfterBreak="0">
    <w:nsid w:val="049C09AC"/>
    <w:multiLevelType w:val="hybridMultilevel"/>
    <w:tmpl w:val="03D0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826E3"/>
    <w:multiLevelType w:val="hybridMultilevel"/>
    <w:tmpl w:val="0EC4D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A17B7B"/>
    <w:multiLevelType w:val="hybridMultilevel"/>
    <w:tmpl w:val="F32A2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632FC"/>
    <w:multiLevelType w:val="hybridMultilevel"/>
    <w:tmpl w:val="4604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4F74"/>
    <w:multiLevelType w:val="hybridMultilevel"/>
    <w:tmpl w:val="CB16C686"/>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04B6B"/>
    <w:multiLevelType w:val="hybridMultilevel"/>
    <w:tmpl w:val="0E009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D4BD8"/>
    <w:multiLevelType w:val="hybridMultilevel"/>
    <w:tmpl w:val="BB3ED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E9A24F6"/>
    <w:multiLevelType w:val="hybridMultilevel"/>
    <w:tmpl w:val="3CEC7F26"/>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760B7"/>
    <w:multiLevelType w:val="hybridMultilevel"/>
    <w:tmpl w:val="3B803046"/>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351F3"/>
    <w:multiLevelType w:val="hybridMultilevel"/>
    <w:tmpl w:val="2250A36E"/>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F75AD"/>
    <w:multiLevelType w:val="hybridMultilevel"/>
    <w:tmpl w:val="3440E0EA"/>
    <w:lvl w:ilvl="0" w:tplc="F88EE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FA3267"/>
    <w:multiLevelType w:val="hybridMultilevel"/>
    <w:tmpl w:val="950C949E"/>
    <w:lvl w:ilvl="0" w:tplc="7B38AFA4">
      <w:start w:val="1"/>
      <w:numFmt w:val="upperLetter"/>
      <w:lvlText w:val="%1."/>
      <w:lvlJc w:val="left"/>
      <w:pPr>
        <w:ind w:left="1440" w:hanging="360"/>
      </w:pPr>
      <w:rPr>
        <w:rFonts w:hint="default"/>
        <w:sz w:val="20"/>
        <w:szCs w:val="2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2DDF72C1"/>
    <w:multiLevelType w:val="hybridMultilevel"/>
    <w:tmpl w:val="DB52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2D68"/>
    <w:multiLevelType w:val="hybridMultilevel"/>
    <w:tmpl w:val="709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E2460"/>
    <w:multiLevelType w:val="multilevel"/>
    <w:tmpl w:val="5382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F203D"/>
    <w:multiLevelType w:val="hybridMultilevel"/>
    <w:tmpl w:val="14405040"/>
    <w:lvl w:ilvl="0" w:tplc="1424064C">
      <w:start w:val="2270"/>
      <w:numFmt w:val="bullet"/>
      <w:lvlText w:val="-"/>
      <w:lvlJc w:val="left"/>
      <w:pPr>
        <w:ind w:left="360" w:hanging="360"/>
      </w:pPr>
      <w:rPr>
        <w:rFonts w:ascii="Calibri" w:eastAsia="Times New Roman" w:hAnsi="Calibri"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E625736"/>
    <w:multiLevelType w:val="hybridMultilevel"/>
    <w:tmpl w:val="F7088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BA6289"/>
    <w:multiLevelType w:val="hybridMultilevel"/>
    <w:tmpl w:val="F0662102"/>
    <w:lvl w:ilvl="0" w:tplc="D1B21056">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AA46632"/>
    <w:multiLevelType w:val="hybridMultilevel"/>
    <w:tmpl w:val="B39848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E17947"/>
    <w:multiLevelType w:val="hybridMultilevel"/>
    <w:tmpl w:val="B71054B0"/>
    <w:lvl w:ilvl="0" w:tplc="1424064C">
      <w:start w:val="2270"/>
      <w:numFmt w:val="bullet"/>
      <w:lvlText w:val="-"/>
      <w:lvlJc w:val="left"/>
      <w:pPr>
        <w:ind w:left="360" w:hanging="360"/>
      </w:pPr>
      <w:rPr>
        <w:rFonts w:ascii="Calibri" w:eastAsia="Times New Roman" w:hAnsi="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5B1FAE"/>
    <w:multiLevelType w:val="hybridMultilevel"/>
    <w:tmpl w:val="E37470A6"/>
    <w:lvl w:ilvl="0" w:tplc="04B4E86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94EFF"/>
    <w:multiLevelType w:val="hybridMultilevel"/>
    <w:tmpl w:val="1D24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124772"/>
    <w:multiLevelType w:val="hybridMultilevel"/>
    <w:tmpl w:val="DFDA2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653E9A"/>
    <w:multiLevelType w:val="hybridMultilevel"/>
    <w:tmpl w:val="BA82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4274A"/>
    <w:multiLevelType w:val="hybridMultilevel"/>
    <w:tmpl w:val="EE9EBB28"/>
    <w:lvl w:ilvl="0" w:tplc="1424064C">
      <w:start w:val="2270"/>
      <w:numFmt w:val="bullet"/>
      <w:lvlText w:val="-"/>
      <w:lvlJc w:val="left"/>
      <w:pPr>
        <w:ind w:left="390" w:hanging="360"/>
      </w:pPr>
      <w:rPr>
        <w:rFonts w:ascii="Calibri" w:eastAsia="Times New Roman" w:hAnsi="Calibri" w:hint="default"/>
        <w:b w:val="0"/>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num w:numId="1">
    <w:abstractNumId w:val="18"/>
  </w:num>
  <w:num w:numId="2">
    <w:abstractNumId w:val="1"/>
  </w:num>
  <w:num w:numId="3">
    <w:abstractNumId w:val="12"/>
  </w:num>
  <w:num w:numId="4">
    <w:abstractNumId w:val="2"/>
  </w:num>
  <w:num w:numId="5">
    <w:abstractNumId w:val="7"/>
  </w:num>
  <w:num w:numId="6">
    <w:abstractNumId w:val="4"/>
  </w:num>
  <w:num w:numId="7">
    <w:abstractNumId w:val="19"/>
  </w:num>
  <w:num w:numId="8">
    <w:abstractNumId w:val="5"/>
  </w:num>
  <w:num w:numId="9">
    <w:abstractNumId w:val="8"/>
  </w:num>
  <w:num w:numId="10">
    <w:abstractNumId w:val="0"/>
  </w:num>
  <w:num w:numId="11">
    <w:abstractNumId w:val="25"/>
  </w:num>
  <w:num w:numId="12">
    <w:abstractNumId w:val="10"/>
  </w:num>
  <w:num w:numId="13">
    <w:abstractNumId w:val="9"/>
  </w:num>
  <w:num w:numId="14">
    <w:abstractNumId w:val="20"/>
  </w:num>
  <w:num w:numId="15">
    <w:abstractNumId w:val="16"/>
  </w:num>
  <w:num w:numId="16">
    <w:abstractNumId w:val="22"/>
  </w:num>
  <w:num w:numId="17">
    <w:abstractNumId w:val="23"/>
  </w:num>
  <w:num w:numId="18">
    <w:abstractNumId w:val="17"/>
  </w:num>
  <w:num w:numId="19">
    <w:abstractNumId w:val="11"/>
  </w:num>
  <w:num w:numId="20">
    <w:abstractNumId w:val="21"/>
  </w:num>
  <w:num w:numId="21">
    <w:abstractNumId w:val="13"/>
  </w:num>
  <w:num w:numId="22">
    <w:abstractNumId w:val="3"/>
  </w:num>
  <w:num w:numId="23">
    <w:abstractNumId w:val="15"/>
  </w:num>
  <w:num w:numId="24">
    <w:abstractNumId w:val="14"/>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77"/>
    <w:rsid w:val="00011E82"/>
    <w:rsid w:val="00043818"/>
    <w:rsid w:val="000A345F"/>
    <w:rsid w:val="000A4E77"/>
    <w:rsid w:val="000A6360"/>
    <w:rsid w:val="000B7676"/>
    <w:rsid w:val="000C31D1"/>
    <w:rsid w:val="000D14E9"/>
    <w:rsid w:val="000E01D6"/>
    <w:rsid w:val="000F3F29"/>
    <w:rsid w:val="00113CA7"/>
    <w:rsid w:val="00123A43"/>
    <w:rsid w:val="00137B7C"/>
    <w:rsid w:val="0014461B"/>
    <w:rsid w:val="001D03CA"/>
    <w:rsid w:val="001D4277"/>
    <w:rsid w:val="001D7A53"/>
    <w:rsid w:val="001F5DE2"/>
    <w:rsid w:val="0020692F"/>
    <w:rsid w:val="00256731"/>
    <w:rsid w:val="00281729"/>
    <w:rsid w:val="0029650F"/>
    <w:rsid w:val="002A3CB9"/>
    <w:rsid w:val="002F1097"/>
    <w:rsid w:val="003011D7"/>
    <w:rsid w:val="00344314"/>
    <w:rsid w:val="003560D0"/>
    <w:rsid w:val="003A6664"/>
    <w:rsid w:val="003F0875"/>
    <w:rsid w:val="003F3098"/>
    <w:rsid w:val="00403B00"/>
    <w:rsid w:val="004805C0"/>
    <w:rsid w:val="00493979"/>
    <w:rsid w:val="004A180B"/>
    <w:rsid w:val="00522335"/>
    <w:rsid w:val="00531DEA"/>
    <w:rsid w:val="005356C6"/>
    <w:rsid w:val="005379AC"/>
    <w:rsid w:val="00563861"/>
    <w:rsid w:val="005660F4"/>
    <w:rsid w:val="00581989"/>
    <w:rsid w:val="005940DD"/>
    <w:rsid w:val="005A349D"/>
    <w:rsid w:val="005B7340"/>
    <w:rsid w:val="005C6A7E"/>
    <w:rsid w:val="00607788"/>
    <w:rsid w:val="00695348"/>
    <w:rsid w:val="006F2F63"/>
    <w:rsid w:val="00735FB3"/>
    <w:rsid w:val="00736289"/>
    <w:rsid w:val="007D1AD5"/>
    <w:rsid w:val="007D63F5"/>
    <w:rsid w:val="007F3272"/>
    <w:rsid w:val="0080307A"/>
    <w:rsid w:val="00823026"/>
    <w:rsid w:val="00827982"/>
    <w:rsid w:val="00830D7A"/>
    <w:rsid w:val="0083455D"/>
    <w:rsid w:val="0086311B"/>
    <w:rsid w:val="008674BD"/>
    <w:rsid w:val="008D40F7"/>
    <w:rsid w:val="00974A37"/>
    <w:rsid w:val="00981E46"/>
    <w:rsid w:val="00990229"/>
    <w:rsid w:val="009E6211"/>
    <w:rsid w:val="00A114A1"/>
    <w:rsid w:val="00A31E07"/>
    <w:rsid w:val="00A457A6"/>
    <w:rsid w:val="00A47FAA"/>
    <w:rsid w:val="00A620C3"/>
    <w:rsid w:val="00A62389"/>
    <w:rsid w:val="00A74D47"/>
    <w:rsid w:val="00AD0851"/>
    <w:rsid w:val="00AE011C"/>
    <w:rsid w:val="00B14BD4"/>
    <w:rsid w:val="00B87A87"/>
    <w:rsid w:val="00B97419"/>
    <w:rsid w:val="00BA5546"/>
    <w:rsid w:val="00BB2AAE"/>
    <w:rsid w:val="00BC7DF1"/>
    <w:rsid w:val="00BD3944"/>
    <w:rsid w:val="00BD6E33"/>
    <w:rsid w:val="00C75854"/>
    <w:rsid w:val="00CA2C18"/>
    <w:rsid w:val="00D618F7"/>
    <w:rsid w:val="00D64648"/>
    <w:rsid w:val="00D65FB1"/>
    <w:rsid w:val="00D675B4"/>
    <w:rsid w:val="00D77E52"/>
    <w:rsid w:val="00D92FFD"/>
    <w:rsid w:val="00DB3534"/>
    <w:rsid w:val="00DD71A2"/>
    <w:rsid w:val="00E82F51"/>
    <w:rsid w:val="00EB400E"/>
    <w:rsid w:val="00EC08E0"/>
    <w:rsid w:val="00EE58DE"/>
    <w:rsid w:val="00EF09D6"/>
    <w:rsid w:val="00F668DD"/>
    <w:rsid w:val="00F735CE"/>
    <w:rsid w:val="00F95B6A"/>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2EE3"/>
  <w15:chartTrackingRefBased/>
  <w15:docId w15:val="{516B8FF8-D08B-4596-A50D-F9C9179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44546A"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77"/>
    <w:pPr>
      <w:spacing w:after="200" w:line="240" w:lineRule="auto"/>
    </w:pPr>
    <w:rPr>
      <w:rFonts w:ascii="Calibri" w:eastAsia="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77"/>
    <w:pPr>
      <w:ind w:left="720"/>
    </w:pPr>
  </w:style>
  <w:style w:type="character" w:styleId="FootnoteReference">
    <w:name w:val="footnote reference"/>
    <w:basedOn w:val="DefaultParagraphFont"/>
    <w:uiPriority w:val="99"/>
    <w:semiHidden/>
    <w:rsid w:val="001D4277"/>
    <w:rPr>
      <w:rFonts w:cs="Times New Roman"/>
      <w:vertAlign w:val="superscript"/>
    </w:rPr>
  </w:style>
  <w:style w:type="character" w:styleId="Hyperlink">
    <w:name w:val="Hyperlink"/>
    <w:basedOn w:val="DefaultParagraphFont"/>
    <w:uiPriority w:val="99"/>
    <w:rsid w:val="001D4277"/>
    <w:rPr>
      <w:rFonts w:cs="Times New Roman"/>
      <w:color w:val="0000FF"/>
      <w:u w:val="single"/>
    </w:rPr>
  </w:style>
  <w:style w:type="paragraph" w:styleId="Footer">
    <w:name w:val="footer"/>
    <w:basedOn w:val="Normal"/>
    <w:link w:val="FooterChar"/>
    <w:uiPriority w:val="99"/>
    <w:rsid w:val="001D4277"/>
    <w:pPr>
      <w:tabs>
        <w:tab w:val="center" w:pos="4680"/>
        <w:tab w:val="right" w:pos="9360"/>
      </w:tabs>
      <w:spacing w:after="0"/>
    </w:pPr>
  </w:style>
  <w:style w:type="character" w:customStyle="1" w:styleId="FooterChar">
    <w:name w:val="Footer Char"/>
    <w:basedOn w:val="DefaultParagraphFont"/>
    <w:link w:val="Footer"/>
    <w:uiPriority w:val="99"/>
    <w:rsid w:val="001D4277"/>
    <w:rPr>
      <w:rFonts w:ascii="Calibri" w:eastAsia="Calibri" w:hAnsi="Calibri" w:cs="Calibri"/>
      <w:color w:val="auto"/>
    </w:rPr>
  </w:style>
  <w:style w:type="paragraph" w:customStyle="1" w:styleId="Default">
    <w:name w:val="Default"/>
    <w:rsid w:val="001D42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D4277"/>
    <w:pPr>
      <w:spacing w:before="100" w:beforeAutospacing="1" w:after="100" w:afterAutospacing="1"/>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974A37"/>
    <w:rPr>
      <w:sz w:val="16"/>
      <w:szCs w:val="16"/>
    </w:rPr>
  </w:style>
  <w:style w:type="paragraph" w:styleId="CommentText">
    <w:name w:val="annotation text"/>
    <w:basedOn w:val="Normal"/>
    <w:link w:val="CommentTextChar"/>
    <w:uiPriority w:val="99"/>
    <w:semiHidden/>
    <w:unhideWhenUsed/>
    <w:rsid w:val="00974A37"/>
    <w:rPr>
      <w:sz w:val="20"/>
      <w:szCs w:val="20"/>
    </w:rPr>
  </w:style>
  <w:style w:type="character" w:customStyle="1" w:styleId="CommentTextChar">
    <w:name w:val="Comment Text Char"/>
    <w:basedOn w:val="DefaultParagraphFont"/>
    <w:link w:val="CommentText"/>
    <w:uiPriority w:val="99"/>
    <w:semiHidden/>
    <w:rsid w:val="00974A37"/>
    <w:rPr>
      <w:rFonts w:ascii="Calibri" w:eastAsia="Calibri" w:hAnsi="Calibri" w:cs="Calibri"/>
      <w:color w:val="auto"/>
      <w:sz w:val="20"/>
      <w:szCs w:val="20"/>
    </w:rPr>
  </w:style>
  <w:style w:type="paragraph" w:styleId="CommentSubject">
    <w:name w:val="annotation subject"/>
    <w:basedOn w:val="CommentText"/>
    <w:next w:val="CommentText"/>
    <w:link w:val="CommentSubjectChar"/>
    <w:uiPriority w:val="99"/>
    <w:semiHidden/>
    <w:unhideWhenUsed/>
    <w:rsid w:val="00974A37"/>
    <w:rPr>
      <w:b/>
      <w:bCs/>
    </w:rPr>
  </w:style>
  <w:style w:type="character" w:customStyle="1" w:styleId="CommentSubjectChar">
    <w:name w:val="Comment Subject Char"/>
    <w:basedOn w:val="CommentTextChar"/>
    <w:link w:val="CommentSubject"/>
    <w:uiPriority w:val="99"/>
    <w:semiHidden/>
    <w:rsid w:val="00974A37"/>
    <w:rPr>
      <w:rFonts w:ascii="Calibri" w:eastAsia="Calibri" w:hAnsi="Calibri" w:cs="Calibri"/>
      <w:b/>
      <w:bCs/>
      <w:color w:val="auto"/>
      <w:sz w:val="20"/>
      <w:szCs w:val="20"/>
    </w:rPr>
  </w:style>
  <w:style w:type="paragraph" w:styleId="BalloonText">
    <w:name w:val="Balloon Text"/>
    <w:basedOn w:val="Normal"/>
    <w:link w:val="BalloonTextChar"/>
    <w:uiPriority w:val="99"/>
    <w:semiHidden/>
    <w:unhideWhenUsed/>
    <w:rsid w:val="00974A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37"/>
    <w:rPr>
      <w:rFonts w:ascii="Segoe UI" w:eastAsia="Calibri" w:hAnsi="Segoe UI" w:cs="Segoe UI"/>
      <w:color w:val="auto"/>
      <w:sz w:val="18"/>
      <w:szCs w:val="18"/>
    </w:rPr>
  </w:style>
  <w:style w:type="character" w:styleId="FollowedHyperlink">
    <w:name w:val="FollowedHyperlink"/>
    <w:basedOn w:val="DefaultParagraphFont"/>
    <w:uiPriority w:val="99"/>
    <w:semiHidden/>
    <w:unhideWhenUsed/>
    <w:rsid w:val="00344314"/>
    <w:rPr>
      <w:color w:val="954F72" w:themeColor="followedHyperlink"/>
      <w:u w:val="single"/>
    </w:rPr>
  </w:style>
  <w:style w:type="paragraph" w:styleId="FootnoteText">
    <w:name w:val="footnote text"/>
    <w:basedOn w:val="Normal"/>
    <w:link w:val="FootnoteTextChar"/>
    <w:uiPriority w:val="99"/>
    <w:semiHidden/>
    <w:unhideWhenUsed/>
    <w:rsid w:val="001D7A53"/>
    <w:pPr>
      <w:spacing w:after="0"/>
    </w:pPr>
    <w:rPr>
      <w:sz w:val="20"/>
      <w:szCs w:val="20"/>
    </w:rPr>
  </w:style>
  <w:style w:type="character" w:customStyle="1" w:styleId="FootnoteTextChar">
    <w:name w:val="Footnote Text Char"/>
    <w:basedOn w:val="DefaultParagraphFont"/>
    <w:link w:val="FootnoteText"/>
    <w:uiPriority w:val="99"/>
    <w:semiHidden/>
    <w:rsid w:val="001D7A53"/>
    <w:rPr>
      <w:rFonts w:ascii="Calibri" w:eastAsia="Calibri" w:hAnsi="Calibri" w:cs="Calibri"/>
      <w:color w:val="auto"/>
      <w:sz w:val="20"/>
      <w:szCs w:val="20"/>
    </w:rPr>
  </w:style>
  <w:style w:type="character" w:customStyle="1" w:styleId="apple-converted-space">
    <w:name w:val="apple-converted-space"/>
    <w:basedOn w:val="DefaultParagraphFont"/>
    <w:rsid w:val="00BB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category/navigation-structure/contracting/contracting-officials//small-business-size-standards" TargetMode="External"/><Relationship Id="rId13" Type="http://schemas.openxmlformats.org/officeDocument/2006/relationships/image" Target="media/image1.png"/><Relationship Id="rId18" Type="http://schemas.openxmlformats.org/officeDocument/2006/relationships/hyperlink" Target="mailto:Chelsea.Conlon@isda.idaho.gov" TargetMode="Externa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yperlink" Target="mailto:tina.salisbury@commerce.idaho.gov" TargetMode="External"/><Relationship Id="rId17" Type="http://schemas.openxmlformats.org/officeDocument/2006/relationships/hyperlink" Target="mailto:Pamela.Graviet@agri.idaho.gov" TargetMode="External"/><Relationship Id="rId2" Type="http://schemas.openxmlformats.org/officeDocument/2006/relationships/numbering" Target="numbering.xml"/><Relationship Id="rId16" Type="http://schemas.openxmlformats.org/officeDocument/2006/relationships/hyperlink" Target="mailto:tina.salisbury@commerce.idaho.gov"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ahocommerce.force.com/grant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en.wikipedia.org/wiki/Civil_Rights_Act_of_1964"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ecfr.gov/cgi-bin/text-idx?SID=3c42c71754fe74bd8961dfc6ded8be7b&amp;node=pt13.1.121&amp;rgn=div5"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AE92-7F8C-41F0-8C18-B1DBBAA6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Salisbury</dc:creator>
  <cp:keywords/>
  <dc:description/>
  <cp:lastModifiedBy>Tina Salisbury</cp:lastModifiedBy>
  <cp:revision>25</cp:revision>
  <cp:lastPrinted>2018-06-06T18:54:00Z</cp:lastPrinted>
  <dcterms:created xsi:type="dcterms:W3CDTF">2015-10-05T17:36:00Z</dcterms:created>
  <dcterms:modified xsi:type="dcterms:W3CDTF">2018-06-06T21:01:00Z</dcterms:modified>
</cp:coreProperties>
</file>